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sdt>
      <w:sdtPr>
        <w:rPr>
          <w:color w:val="156082" w:themeColor="accent1"/>
        </w:rPr>
        <w:id w:val="646015071"/>
        <w:docPartObj>
          <w:docPartGallery w:val="Cover Pages"/>
          <w:docPartUnique/>
        </w:docPartObj>
      </w:sdtPr>
      <w:sdtEndPr/>
      <w:sdtContent>
        <w:p w14:paraId="6D811135" w14:textId="292B21DB" w:rsidR="00C24AAB" w:rsidRDefault="00FD6F52">
          <w:pPr>
            <w:pStyle w:val="NoSpacing"/>
            <w:spacing w:before="1540" w:after="240"/>
            <w:jc w:val="center"/>
            <w:rPr>
              <w:color w:val="156082" w:themeColor="accent1"/>
            </w:rPr>
          </w:pPr>
          <w:r>
            <w:rPr>
              <w:noProof/>
              <w14:ligatures w14:val="standardContextual"/>
            </w:rPr>
            <mc:AlternateContent>
              <mc:Choice Requires="wpi">
                <w:drawing>
                  <wp:anchor distT="0" distB="0" distL="114300" distR="114300" simplePos="0" relativeHeight="251665408" behindDoc="0" locked="0" layoutInCell="1" allowOverlap="1" wp14:anchorId="76BE9849" wp14:editId="74AE5D86">
                    <wp:simplePos x="0" y="0"/>
                    <wp:positionH relativeFrom="column">
                      <wp:posOffset>5256140</wp:posOffset>
                    </wp:positionH>
                    <wp:positionV relativeFrom="paragraph">
                      <wp:posOffset>2064500</wp:posOffset>
                    </wp:positionV>
                    <wp:extent cx="853200" cy="360"/>
                    <wp:effectExtent l="38100" t="38100" r="42545" b="38100"/>
                    <wp:wrapNone/>
                    <wp:docPr id="1823419735" name="Ink 8"/>
                    <wp:cNvGraphicFramePr/>
                    <a:graphic xmlns:a="http://schemas.openxmlformats.org/drawingml/2006/main">
                      <a:graphicData uri="http://schemas.microsoft.com/office/word/2010/wordprocessingInk">
                        <w14:contentPart bwMode="auto" r:id="rId5">
                          <w14:nvContentPartPr>
                            <w14:cNvContentPartPr/>
                          </w14:nvContentPartPr>
                          <w14:xfrm>
                            <a:off x="0" y="0"/>
                            <a:ext cx="853200" cy="360"/>
                          </w14:xfrm>
                        </w14:contentPart>
                      </a:graphicData>
                    </a:graphic>
                  </wp:anchor>
                </w:drawing>
              </mc:Choice>
              <mc:Fallback>
                <w:pict>
                  <v:shapetype w14:anchorId="61560D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413.35pt;margin-top:162.05pt;width:68.2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">
                    <v:imagedata r:id="rId6" o:title=""/>
                  </v:shape>
                </w:pict>
              </mc:Fallback>
            </mc:AlternateContent>
          </w:r>
          <w:r>
            <w:rPr>
              <w:noProof/>
              <w14:ligatures w14:val="standardContextual"/>
            </w:rPr>
            <mc:AlternateContent>
              <mc:Choice Requires="wpi">
                <w:drawing>
                  <wp:anchor distT="0" distB="0" distL="114300" distR="114300" simplePos="0" relativeHeight="251664384" behindDoc="0" locked="0" layoutInCell="1" allowOverlap="1" wp14:anchorId="6C0F31A1" wp14:editId="3C6CA6ED">
                    <wp:simplePos x="0" y="0"/>
                    <wp:positionH relativeFrom="column">
                      <wp:posOffset>-400180</wp:posOffset>
                    </wp:positionH>
                    <wp:positionV relativeFrom="paragraph">
                      <wp:posOffset>2064500</wp:posOffset>
                    </wp:positionV>
                    <wp:extent cx="948240" cy="360"/>
                    <wp:effectExtent l="38100" t="38100" r="42545" b="38100"/>
                    <wp:wrapNone/>
                    <wp:docPr id="570849537" name="Ink 7"/>
                    <wp:cNvGraphicFramePr/>
                    <a:graphic xmlns:a="http://schemas.openxmlformats.org/drawingml/2006/main">
                      <a:graphicData uri="http://schemas.microsoft.com/office/word/2010/wordprocessingInk">
                        <w14:contentPart bwMode="auto" r:id="rId7">
                          <w14:nvContentPartPr>
                            <w14:cNvContentPartPr/>
                          </w14:nvContentPartPr>
                          <w14:xfrm>
                            <a:off x="0" y="0"/>
                            <a:ext cx="948240" cy="360"/>
                          </w14:xfrm>
                        </w14:contentPart>
                      </a:graphicData>
                    </a:graphic>
                  </wp:anchor>
                </w:drawing>
              </mc:Choice>
              <mc:Fallback>
                <w:pict>
                  <v:shape w14:anchorId="7D86C795" id="Ink 7" o:spid="_x0000_s1026" type="#_x0000_t75" style="position:absolute;margin-left:-32pt;margin-top:162.05pt;width:75.6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">
                    <v:imagedata r:id="rId8" o:title=""/>
                  </v:shape>
                </w:pict>
              </mc:Fallback>
            </mc:AlternateContent>
          </w:r>
          <w:r>
            <w:rPr>
              <w:noProof/>
              <w14:ligatures w14:val="standardContextual"/>
            </w:rPr>
            <mc:AlternateContent>
              <mc:Choice Requires="wpi">
                <w:drawing>
                  <wp:anchor distT="0" distB="0" distL="114300" distR="114300" simplePos="0" relativeHeight="251663360" behindDoc="0" locked="0" layoutInCell="1" allowOverlap="1" wp14:anchorId="7C8C1481" wp14:editId="570CC373">
                    <wp:simplePos x="0" y="0"/>
                    <wp:positionH relativeFrom="column">
                      <wp:posOffset>5260100</wp:posOffset>
                    </wp:positionH>
                    <wp:positionV relativeFrom="paragraph">
                      <wp:posOffset>2388140</wp:posOffset>
                    </wp:positionV>
                    <wp:extent cx="861480" cy="360"/>
                    <wp:effectExtent l="38100" t="38100" r="34290" b="38100"/>
                    <wp:wrapNone/>
                    <wp:docPr id="1506510733"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861480" cy="360"/>
                          </w14:xfrm>
                        </w14:contentPart>
                      </a:graphicData>
                    </a:graphic>
                  </wp:anchor>
                </w:drawing>
              </mc:Choice>
              <mc:Fallback>
                <w:pict>
                  <v:shape w14:anchorId="0D2A7824" id="Ink 6" o:spid="_x0000_s1026" type="#_x0000_t75" style="position:absolute;margin-left:413.7pt;margin-top:187.55pt;width:68.8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">
                    <v:imagedata r:id="rId10" o:title=""/>
                  </v:shape>
                </w:pict>
              </mc:Fallback>
            </mc:AlternateContent>
          </w:r>
          <w:r>
            <w:rPr>
              <w:noProof/>
              <w14:ligatures w14:val="standardContextual"/>
            </w:rPr>
            <mc:AlternateContent>
              <mc:Choice Requires="wpi">
                <w:drawing>
                  <wp:anchor distT="0" distB="0" distL="114300" distR="114300" simplePos="0" relativeHeight="251662336" behindDoc="0" locked="0" layoutInCell="1" allowOverlap="1" wp14:anchorId="203D09FC" wp14:editId="7AA73C32">
                    <wp:simplePos x="0" y="0"/>
                    <wp:positionH relativeFrom="column">
                      <wp:posOffset>-419260</wp:posOffset>
                    </wp:positionH>
                    <wp:positionV relativeFrom="paragraph">
                      <wp:posOffset>2388140</wp:posOffset>
                    </wp:positionV>
                    <wp:extent cx="986400" cy="360"/>
                    <wp:effectExtent l="38100" t="38100" r="42545" b="38100"/>
                    <wp:wrapNone/>
                    <wp:docPr id="420185096" name="Ink 5"/>
                    <wp:cNvGraphicFramePr/>
                    <a:graphic xmlns:a="http://schemas.openxmlformats.org/drawingml/2006/main">
                      <a:graphicData uri="http://schemas.microsoft.com/office/word/2010/wordprocessingInk">
                        <w14:contentPart bwMode="auto" r:id="rId11">
                          <w14:nvContentPartPr>
                            <w14:cNvContentPartPr/>
                          </w14:nvContentPartPr>
                          <w14:xfrm>
                            <a:off x="0" y="0"/>
                            <a:ext cx="986400" cy="360"/>
                          </w14:xfrm>
                        </w14:contentPart>
                      </a:graphicData>
                    </a:graphic>
                  </wp:anchor>
                </w:drawing>
              </mc:Choice>
              <mc:Fallback>
                <w:pict>
                  <v:shape w14:anchorId="3D1187E4" id="Ink 5" o:spid="_x0000_s1026" type="#_x0000_t75" style="position:absolute;margin-left:-33.5pt;margin-top:187.55pt;width:78.6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">
                    <v:imagedata r:id="rId12" o:title=""/>
                  </v:shape>
                </w:pict>
              </mc:Fallback>
            </mc:AlternateContent>
          </w:r>
          <w:r>
            <w:rPr>
              <w:noProof/>
              <w14:ligatures w14:val="standardContextual"/>
            </w:rPr>
            <mc:AlternateContent>
              <mc:Choice Requires="wpi">
                <w:drawing>
                  <wp:anchor distT="0" distB="0" distL="114300" distR="114300" simplePos="0" relativeHeight="251661312" behindDoc="0" locked="0" layoutInCell="1" allowOverlap="1" wp14:anchorId="6DB2EA98" wp14:editId="3CBB19CC">
                    <wp:simplePos x="0" y="0"/>
                    <wp:positionH relativeFrom="column">
                      <wp:posOffset>5301860</wp:posOffset>
                    </wp:positionH>
                    <wp:positionV relativeFrom="paragraph">
                      <wp:posOffset>2235860</wp:posOffset>
                    </wp:positionV>
                    <wp:extent cx="777240" cy="360"/>
                    <wp:effectExtent l="95250" t="152400" r="99060" b="152400"/>
                    <wp:wrapNone/>
                    <wp:docPr id="1370150160"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777240" cy="360"/>
                          </w14:xfrm>
                        </w14:contentPart>
                      </a:graphicData>
                    </a:graphic>
                  </wp:anchor>
                </w:drawing>
              </mc:Choice>
              <mc:Fallback>
                <w:pict>
                  <v:shape w14:anchorId="43694A06" id="Ink 4" o:spid="_x0000_s1026" type="#_x0000_t75" style="position:absolute;margin-left:413.25pt;margin-top:167.55pt;width:69.7pt;height:17.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">
                    <v:imagedata r:id="rId14" o:title=""/>
                  </v:shape>
                </w:pict>
              </mc:Fallback>
            </mc:AlternateContent>
          </w:r>
          <w:r>
            <w:rPr>
              <w:noProof/>
              <w14:ligatures w14:val="standardContextual"/>
            </w:rPr>
            <mc:AlternateContent>
              <mc:Choice Requires="wpi">
                <w:drawing>
                  <wp:anchor distT="0" distB="0" distL="114300" distR="114300" simplePos="0" relativeHeight="251660288" behindDoc="0" locked="0" layoutInCell="1" allowOverlap="1" wp14:anchorId="37F4ABB0" wp14:editId="25DEB2DD">
                    <wp:simplePos x="0" y="0"/>
                    <wp:positionH relativeFrom="column">
                      <wp:posOffset>-376780</wp:posOffset>
                    </wp:positionH>
                    <wp:positionV relativeFrom="paragraph">
                      <wp:posOffset>2235860</wp:posOffset>
                    </wp:positionV>
                    <wp:extent cx="897480" cy="360"/>
                    <wp:effectExtent l="95250" t="152400" r="93345" b="152400"/>
                    <wp:wrapNone/>
                    <wp:docPr id="356390391"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897480" cy="360"/>
                          </w14:xfrm>
                        </w14:contentPart>
                      </a:graphicData>
                    </a:graphic>
                  </wp:anchor>
                </w:drawing>
              </mc:Choice>
              <mc:Fallback>
                <w:pict>
                  <v:shape w14:anchorId="0F649978" id="Ink 2" o:spid="_x0000_s1026" type="#_x0000_t75" style="position:absolute;margin-left:-33.85pt;margin-top:167.55pt;width:79.15pt;height:17.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">
                    <v:imagedata r:id="rId16" o:title=""/>
                  </v:shape>
                </w:pict>
              </mc:Fallback>
            </mc:AlternateContent>
          </w:r>
          <w:r w:rsidR="00C24AAB">
            <w:rPr>
              <w:noProof/>
            </w:rPr>
            <mc:AlternateContent>
              <mc:Choice Requires="wps">
                <w:drawing>
                  <wp:anchor distT="0" distB="0" distL="114300" distR="114300" simplePos="0" relativeHeight="251659264" behindDoc="1" locked="0" layoutInCell="1" allowOverlap="1" wp14:anchorId="1F82C517" wp14:editId="7E7D9DD8">
                    <wp:simplePos x="0" y="0"/>
                    <wp:positionH relativeFrom="column">
                      <wp:posOffset>133350</wp:posOffset>
                    </wp:positionH>
                    <wp:positionV relativeFrom="paragraph">
                      <wp:posOffset>-266700</wp:posOffset>
                    </wp:positionV>
                    <wp:extent cx="1828800" cy="1016000"/>
                    <wp:effectExtent l="0" t="0" r="17145" b="12700"/>
                    <wp:wrapNone/>
                    <wp:docPr id="1656856596" name="Text Box 1"/>
                    <wp:cNvGraphicFramePr/>
                    <a:graphic xmlns:a="http://schemas.openxmlformats.org/drawingml/2006/main">
                      <a:graphicData uri="http://schemas.microsoft.com/office/word/2010/wordprocessingShape">
                        <wps:wsp>
                          <wps:cNvSpPr txBox="1"/>
                          <wps:spPr>
                            <a:xfrm>
                              <a:off x="0" y="0"/>
                              <a:ext cx="1828800" cy="1016000"/>
                            </a:xfrm>
                            <a:prstGeom prst="rect">
                              <a:avLst/>
                            </a:prstGeom>
                            <a:noFill/>
                            <a:ln w="6350">
                              <a:solidFill>
                                <a:prstClr val="black"/>
                              </a:solidFill>
                            </a:ln>
                          </wps:spPr>
                          <wps:txbx>
                            <w:txbxContent>
                              <w:p w14:paraId="5436F1E4" w14:textId="77777777" w:rsidR="00C24AAB" w:rsidRPr="001D5C0B" w:rsidRDefault="00C24AAB" w:rsidP="00C24AAB">
                                <w:pPr>
                                  <w:spacing w:line="360" w:lineRule="auto"/>
                                  <w:jc w:val="center"/>
                                  <w:rPr>
                                    <w:rFonts w:ascii="Arial" w:eastAsia="Aptos" w:hAnsi="Arial" w:cs="Arial"/>
                                    <w:color w:val="156082" w:themeColor="accent1"/>
                                    <w:sz w:val="22"/>
                                    <w:szCs w:val="22"/>
                                  </w:rPr>
                                </w:pPr>
                                <w:r w:rsidRPr="001D5C0B">
                                  <w:rPr>
                                    <w:rFonts w:ascii="Arial" w:eastAsia="Aptos" w:hAnsi="Arial" w:cs="Arial"/>
                                    <w:b/>
                                    <w:color w:val="156082" w:themeColor="accent1"/>
                                    <w:sz w:val="22"/>
                                    <w:szCs w:val="22"/>
                                  </w:rPr>
                                  <w:t>name:</w:t>
                                </w:r>
                                <w:r w:rsidRPr="001D5C0B">
                                  <w:rPr>
                                    <w:rFonts w:ascii="Arial" w:eastAsia="Aptos" w:hAnsi="Arial" w:cs="Arial"/>
                                    <w:color w:val="156082" w:themeColor="accent1"/>
                                    <w:sz w:val="22"/>
                                    <w:szCs w:val="22"/>
                                  </w:rPr>
                                  <w:t xml:space="preserve"> Shahnaz Kausar                 </w:t>
                                </w:r>
                                <w:r w:rsidRPr="001D5C0B">
                                  <w:rPr>
                                    <w:rFonts w:ascii="Arial" w:eastAsia="Aptos" w:hAnsi="Arial" w:cs="Arial"/>
                                    <w:b/>
                                    <w:color w:val="156082" w:themeColor="accent1"/>
                                    <w:sz w:val="22"/>
                                    <w:szCs w:val="22"/>
                                  </w:rPr>
                                  <w:t>Student number:</w:t>
                                </w:r>
                                <w:r w:rsidRPr="001D5C0B">
                                  <w:rPr>
                                    <w:rFonts w:ascii="Arial" w:eastAsia="Aptos" w:hAnsi="Arial" w:cs="Arial"/>
                                    <w:color w:val="156082" w:themeColor="accent1"/>
                                    <w:sz w:val="22"/>
                                    <w:szCs w:val="22"/>
                                  </w:rPr>
                                  <w:t xml:space="preserve"> 1714217</w:t>
                                </w:r>
                              </w:p>
                              <w:p w14:paraId="5AEAACA4" w14:textId="77777777" w:rsidR="00C24AAB" w:rsidRPr="001D5C0B" w:rsidRDefault="00C24AAB" w:rsidP="00C24AAB">
                                <w:pPr>
                                  <w:spacing w:line="360" w:lineRule="auto"/>
                                  <w:jc w:val="center"/>
                                  <w:rPr>
                                    <w:rFonts w:ascii="Arial" w:eastAsia="Aptos" w:hAnsi="Arial" w:cs="Arial"/>
                                    <w:color w:val="156082" w:themeColor="accent1"/>
                                    <w:sz w:val="22"/>
                                    <w:szCs w:val="22"/>
                                  </w:rPr>
                                </w:pPr>
                                <w:r w:rsidRPr="001D5C0B">
                                  <w:rPr>
                                    <w:rFonts w:ascii="Arial" w:eastAsia="Aptos" w:hAnsi="Arial" w:cs="Arial"/>
                                    <w:b/>
                                    <w:color w:val="156082" w:themeColor="accent1"/>
                                    <w:sz w:val="22"/>
                                    <w:szCs w:val="22"/>
                                  </w:rPr>
                                  <w:t>module name:</w:t>
                                </w:r>
                                <w:r w:rsidRPr="001D5C0B">
                                  <w:rPr>
                                    <w:rFonts w:ascii="Arial" w:eastAsia="Aptos" w:hAnsi="Arial" w:cs="Arial"/>
                                    <w:color w:val="156082" w:themeColor="accent1"/>
                                    <w:sz w:val="22"/>
                                    <w:szCs w:val="22"/>
                                  </w:rPr>
                                  <w:t xml:space="preserve"> introduction to independent research skills</w:t>
                                </w:r>
                              </w:p>
                              <w:p w14:paraId="77EDF03C" w14:textId="77777777" w:rsidR="00C24AAB" w:rsidRPr="00605E37" w:rsidRDefault="00C24AAB" w:rsidP="00C24AAB">
                                <w:pPr>
                                  <w:spacing w:line="360" w:lineRule="auto"/>
                                  <w:jc w:val="center"/>
                                  <w:rPr>
                                    <w:rFonts w:ascii="Arial" w:eastAsia="Aptos" w:hAnsi="Arial" w:cs="Arial"/>
                                    <w:bCs/>
                                    <w:color w:val="156082" w:themeColor="accent1"/>
                                    <w:sz w:val="22"/>
                                    <w:szCs w:val="22"/>
                                  </w:rPr>
                                </w:pPr>
                                <w:r w:rsidRPr="001D5C0B">
                                  <w:rPr>
                                    <w:rFonts w:ascii="Arial" w:eastAsia="Aptos" w:hAnsi="Arial" w:cs="Arial"/>
                                    <w:b/>
                                    <w:color w:val="156082" w:themeColor="accent1"/>
                                    <w:sz w:val="22"/>
                                    <w:szCs w:val="22"/>
                                  </w:rPr>
                                  <w:t>module code:</w:t>
                                </w:r>
                                <w:r w:rsidRPr="001D5C0B">
                                  <w:rPr>
                                    <w:rFonts w:ascii="Arial" w:eastAsia="Aptos" w:hAnsi="Arial" w:cs="Arial"/>
                                    <w:color w:val="156082" w:themeColor="accent1"/>
                                    <w:sz w:val="22"/>
                                    <w:szCs w:val="22"/>
                                  </w:rPr>
                                  <w:t xml:space="preserve"> BMHP5019                                     </w:t>
                                </w:r>
                                <w:r w:rsidRPr="001D5C0B">
                                  <w:rPr>
                                    <w:rFonts w:ascii="Arial" w:eastAsia="Aptos" w:hAnsi="Arial" w:cs="Arial"/>
                                    <w:b/>
                                    <w:color w:val="156082" w:themeColor="accent1"/>
                                    <w:sz w:val="22"/>
                                    <w:szCs w:val="22"/>
                                  </w:rPr>
                                  <w:t>module lecturer:</w:t>
                                </w:r>
                                <w:r>
                                  <w:rPr>
                                    <w:rFonts w:ascii="Arial" w:eastAsia="Aptos" w:hAnsi="Arial" w:cs="Arial"/>
                                    <w:b/>
                                    <w:color w:val="156082" w:themeColor="accent1"/>
                                    <w:sz w:val="22"/>
                                    <w:szCs w:val="22"/>
                                  </w:rPr>
                                  <w:t xml:space="preserve"> </w:t>
                                </w:r>
                                <w:r>
                                  <w:rPr>
                                    <w:rFonts w:ascii="Arial" w:eastAsia="Aptos" w:hAnsi="Arial" w:cs="Arial"/>
                                    <w:bCs/>
                                    <w:color w:val="156082" w:themeColor="accent1"/>
                                    <w:sz w:val="22"/>
                                    <w:szCs w:val="22"/>
                                  </w:rPr>
                                  <w:t>Dr Rizwan Nadim</w:t>
                                </w:r>
                              </w:p>
                              <w:p w14:paraId="7E2613C5" w14:textId="77777777" w:rsidR="00C24AAB" w:rsidRDefault="00C24AA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82C517" id="_x0000_t202" coordsize="21600,21600" o:spt="202" path="m,l,21600r21600,l21600,xe">
                    <v:stroke joinstyle="miter"/>
                    <v:path gradientshapeok="t" o:connecttype="rect"/>
                  </v:shapetype>
                  <v:shape id="Text Box 1" o:spid="_x0000_s1026" type="#_x0000_t202" style="position:absolute;left:0;text-align:left;margin-left:10.5pt;margin-top:-21pt;width:2in;height:80pt;z-index:-2516572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" filled="f" strokeweight=".5pt">
                    <v:fill o:detectmouseclick="t"/>
                    <v:textbox>
                      <w:txbxContent>
                        <w:p w14:paraId="5436F1E4" w14:textId="77777777" w:rsidR="00C24AAB" w:rsidRPr="001D5C0B" w:rsidRDefault="00C24AAB" w:rsidP="00C24AAB">
                          <w:pPr>
                            <w:spacing w:line="360" w:lineRule="auto"/>
                            <w:jc w:val="center"/>
                            <w:rPr>
                              <w:rFonts w:ascii="Arial" w:eastAsia="Aptos" w:hAnsi="Arial" w:cs="Arial"/>
                              <w:color w:val="156082" w:themeColor="accent1"/>
                              <w:sz w:val="22"/>
                              <w:szCs w:val="22"/>
                            </w:rPr>
                          </w:pPr>
                          <w:r w:rsidRPr="001D5C0B">
                            <w:rPr>
                              <w:rFonts w:ascii="Arial" w:eastAsia="Aptos" w:hAnsi="Arial" w:cs="Arial"/>
                              <w:b/>
                              <w:color w:val="156082" w:themeColor="accent1"/>
                              <w:sz w:val="22"/>
                              <w:szCs w:val="22"/>
                            </w:rPr>
                            <w:t>name:</w:t>
                          </w:r>
                          <w:r w:rsidRPr="001D5C0B">
                            <w:rPr>
                              <w:rFonts w:ascii="Arial" w:eastAsia="Aptos" w:hAnsi="Arial" w:cs="Arial"/>
                              <w:color w:val="156082" w:themeColor="accent1"/>
                              <w:sz w:val="22"/>
                              <w:szCs w:val="22"/>
                            </w:rPr>
                            <w:t xml:space="preserve"> Shahnaz Kausar                 </w:t>
                          </w:r>
                          <w:r w:rsidRPr="001D5C0B">
                            <w:rPr>
                              <w:rFonts w:ascii="Arial" w:eastAsia="Aptos" w:hAnsi="Arial" w:cs="Arial"/>
                              <w:b/>
                              <w:color w:val="156082" w:themeColor="accent1"/>
                              <w:sz w:val="22"/>
                              <w:szCs w:val="22"/>
                            </w:rPr>
                            <w:t>Student number:</w:t>
                          </w:r>
                          <w:r w:rsidRPr="001D5C0B">
                            <w:rPr>
                              <w:rFonts w:ascii="Arial" w:eastAsia="Aptos" w:hAnsi="Arial" w:cs="Arial"/>
                              <w:color w:val="156082" w:themeColor="accent1"/>
                              <w:sz w:val="22"/>
                              <w:szCs w:val="22"/>
                            </w:rPr>
                            <w:t xml:space="preserve"> 1714217</w:t>
                          </w:r>
                        </w:p>
                        <w:p w14:paraId="5AEAACA4" w14:textId="77777777" w:rsidR="00C24AAB" w:rsidRPr="001D5C0B" w:rsidRDefault="00C24AAB" w:rsidP="00C24AAB">
                          <w:pPr>
                            <w:spacing w:line="360" w:lineRule="auto"/>
                            <w:jc w:val="center"/>
                            <w:rPr>
                              <w:rFonts w:ascii="Arial" w:eastAsia="Aptos" w:hAnsi="Arial" w:cs="Arial"/>
                              <w:color w:val="156082" w:themeColor="accent1"/>
                              <w:sz w:val="22"/>
                              <w:szCs w:val="22"/>
                            </w:rPr>
                          </w:pPr>
                          <w:r w:rsidRPr="001D5C0B">
                            <w:rPr>
                              <w:rFonts w:ascii="Arial" w:eastAsia="Aptos" w:hAnsi="Arial" w:cs="Arial"/>
                              <w:b/>
                              <w:color w:val="156082" w:themeColor="accent1"/>
                              <w:sz w:val="22"/>
                              <w:szCs w:val="22"/>
                            </w:rPr>
                            <w:t>module name:</w:t>
                          </w:r>
                          <w:r w:rsidRPr="001D5C0B">
                            <w:rPr>
                              <w:rFonts w:ascii="Arial" w:eastAsia="Aptos" w:hAnsi="Arial" w:cs="Arial"/>
                              <w:color w:val="156082" w:themeColor="accent1"/>
                              <w:sz w:val="22"/>
                              <w:szCs w:val="22"/>
                            </w:rPr>
                            <w:t xml:space="preserve"> introduction to independent research skills</w:t>
                          </w:r>
                        </w:p>
                        <w:p w14:paraId="77EDF03C" w14:textId="77777777" w:rsidR="00C24AAB" w:rsidRPr="00605E37" w:rsidRDefault="00C24AAB" w:rsidP="00C24AAB">
                          <w:pPr>
                            <w:spacing w:line="360" w:lineRule="auto"/>
                            <w:jc w:val="center"/>
                            <w:rPr>
                              <w:rFonts w:ascii="Arial" w:eastAsia="Aptos" w:hAnsi="Arial" w:cs="Arial"/>
                              <w:bCs/>
                              <w:color w:val="156082" w:themeColor="accent1"/>
                              <w:sz w:val="22"/>
                              <w:szCs w:val="22"/>
                            </w:rPr>
                          </w:pPr>
                          <w:r w:rsidRPr="001D5C0B">
                            <w:rPr>
                              <w:rFonts w:ascii="Arial" w:eastAsia="Aptos" w:hAnsi="Arial" w:cs="Arial"/>
                              <w:b/>
                              <w:color w:val="156082" w:themeColor="accent1"/>
                              <w:sz w:val="22"/>
                              <w:szCs w:val="22"/>
                            </w:rPr>
                            <w:t>module code:</w:t>
                          </w:r>
                          <w:r w:rsidRPr="001D5C0B">
                            <w:rPr>
                              <w:rFonts w:ascii="Arial" w:eastAsia="Aptos" w:hAnsi="Arial" w:cs="Arial"/>
                              <w:color w:val="156082" w:themeColor="accent1"/>
                              <w:sz w:val="22"/>
                              <w:szCs w:val="22"/>
                            </w:rPr>
                            <w:t xml:space="preserve"> BMHP5019                                     </w:t>
                          </w:r>
                          <w:r w:rsidRPr="001D5C0B">
                            <w:rPr>
                              <w:rFonts w:ascii="Arial" w:eastAsia="Aptos" w:hAnsi="Arial" w:cs="Arial"/>
                              <w:b/>
                              <w:color w:val="156082" w:themeColor="accent1"/>
                              <w:sz w:val="22"/>
                              <w:szCs w:val="22"/>
                            </w:rPr>
                            <w:t>module lecturer:</w:t>
                          </w:r>
                          <w:r>
                            <w:rPr>
                              <w:rFonts w:ascii="Arial" w:eastAsia="Aptos" w:hAnsi="Arial" w:cs="Arial"/>
                              <w:b/>
                              <w:color w:val="156082" w:themeColor="accent1"/>
                              <w:sz w:val="22"/>
                              <w:szCs w:val="22"/>
                            </w:rPr>
                            <w:t xml:space="preserve"> </w:t>
                          </w:r>
                          <w:r>
                            <w:rPr>
                              <w:rFonts w:ascii="Arial" w:eastAsia="Aptos" w:hAnsi="Arial" w:cs="Arial"/>
                              <w:bCs/>
                              <w:color w:val="156082" w:themeColor="accent1"/>
                              <w:sz w:val="22"/>
                              <w:szCs w:val="22"/>
                            </w:rPr>
                            <w:t>Dr Rizwan Nadim</w:t>
                          </w:r>
                        </w:p>
                        <w:p w14:paraId="7E2613C5" w14:textId="77777777" w:rsidR="00C24AAB" w:rsidRDefault="00C24AAB"/>
                      </w:txbxContent>
                    </v:textbox>
                  </v:shape>
                </w:pict>
              </mc:Fallback>
            </mc:AlternateContent>
          </w:r>
          <w:r w:rsidR="00C24AAB">
            <w:rPr>
              <w:noProof/>
              <w:color w:val="156082" w:themeColor="accent1"/>
            </w:rPr>
            <w:drawing>
              <wp:inline distT="0" distB="0" distL="0" distR="0" wp14:anchorId="29811F41" wp14:editId="5998B74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7939B55850E4FA490E3AE2BD0E96C9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E4118D2" w14:textId="22101F93" w:rsidR="00C24AAB" w:rsidRPr="001B4428" w:rsidRDefault="001B4428" w:rsidP="001B442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written assignment</w:t>
              </w:r>
            </w:p>
          </w:sdtContent>
        </w:sdt>
        <w:p w14:paraId="083AF320" w14:textId="2585EEB4" w:rsidR="00BB1E0C" w:rsidRPr="0044682E" w:rsidRDefault="00BB1E0C" w:rsidP="0044682E">
          <w:pPr>
            <w:jc w:val="center"/>
            <w:rPr>
              <w:rFonts w:ascii="Times New Roman" w:eastAsia="Algerian" w:hAnsi="Times New Roman" w:cs="Times New Roman"/>
              <w:b/>
              <w:color w:val="0F4761" w:themeColor="accent1" w:themeShade="BF"/>
              <w:sz w:val="28"/>
              <w:szCs w:val="16"/>
              <w:u w:val="single"/>
            </w:rPr>
          </w:pPr>
          <w:r w:rsidRPr="0044682E">
            <w:rPr>
              <w:rFonts w:ascii="Times New Roman" w:eastAsia="Algerian" w:hAnsi="Times New Roman" w:cs="Times New Roman"/>
              <w:b/>
              <w:color w:val="0F4761" w:themeColor="accent1" w:themeShade="BF"/>
              <w:sz w:val="28"/>
              <w:szCs w:val="16"/>
              <w:u w:val="single"/>
            </w:rPr>
            <w:t>How does social isolation affect the mental wellbeing of older adults living alone in the United Kingdom</w:t>
          </w:r>
        </w:p>
        <w:p w14:paraId="22622062" w14:textId="4B214EB8" w:rsidR="00C24AAB" w:rsidRDefault="00C24AAB">
          <w:pPr>
            <w:pStyle w:val="NoSpacing"/>
            <w:spacing w:before="480"/>
            <w:jc w:val="center"/>
            <w:rPr>
              <w:color w:val="156082" w:themeColor="accent1"/>
            </w:rPr>
          </w:pPr>
          <w:r>
            <w:rPr>
              <w:noProof/>
              <w:color w:val="156082" w:themeColor="accent1"/>
            </w:rPr>
            <w:drawing>
              <wp:inline distT="0" distB="0" distL="0" distR="0" wp14:anchorId="73A130C4" wp14:editId="26BC636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7FB18CE3" w14:textId="77777777" w:rsidR="00E53C69" w:rsidRDefault="00E53C69" w:rsidP="008B6020"/>
    <w:p w14:paraId="42AF59C2" w14:textId="77777777" w:rsidR="00E53C69" w:rsidRDefault="00E53C69" w:rsidP="008B6020"/>
    <w:p w14:paraId="6B41A0A3" w14:textId="77777777" w:rsidR="00E53C69" w:rsidRDefault="00E53C69" w:rsidP="008B6020"/>
    <w:p w14:paraId="0C96158F" w14:textId="77777777" w:rsidR="00E53C69" w:rsidRDefault="00E53C69" w:rsidP="008B6020"/>
    <w:p w14:paraId="6322315C" w14:textId="77777777" w:rsidR="00E53C69" w:rsidRDefault="00E53C69" w:rsidP="008B6020"/>
    <w:p w14:paraId="0F73988B" w14:textId="77777777" w:rsidR="00E53C69" w:rsidRDefault="00E53C69" w:rsidP="008B6020"/>
    <w:p w14:paraId="52BD759C" w14:textId="77777777" w:rsidR="00E53C69" w:rsidRDefault="00E53C69" w:rsidP="008B6020"/>
    <w:p w14:paraId="79971BCB" w14:textId="77777777" w:rsidR="00E53C69" w:rsidRDefault="00E53C69" w:rsidP="008B6020"/>
    <w:p w14:paraId="1538E760" w14:textId="77777777" w:rsidR="00E53C69" w:rsidRDefault="00E53C69" w:rsidP="008B6020"/>
    <w:p w14:paraId="7FB83C7E" w14:textId="77777777" w:rsidR="00E53C69" w:rsidRDefault="00E53C69" w:rsidP="008B6020"/>
    <w:p w14:paraId="3F0699AD" w14:textId="77777777" w:rsidR="00E53C69" w:rsidRDefault="00E53C69" w:rsidP="008B6020"/>
    <w:p w14:paraId="3C345B91" w14:textId="77777777" w:rsidR="00E53C69" w:rsidRDefault="00E53C69" w:rsidP="008B6020"/>
    <w:p w14:paraId="68CD9DD0" w14:textId="77777777" w:rsidR="00E53C69" w:rsidRDefault="00E53C69" w:rsidP="008B6020"/>
    <w:p w14:paraId="41A0987F" w14:textId="77777777" w:rsidR="00E53C69" w:rsidRDefault="00E53C69" w:rsidP="008B6020"/>
    <w:p w14:paraId="796A1B10" w14:textId="77777777" w:rsidR="00E53C69" w:rsidRDefault="00E53C69" w:rsidP="008B6020"/>
    <w:p w14:paraId="0988DAE0" w14:textId="5FDF76E5" w:rsidR="00E53C69" w:rsidRPr="00175529" w:rsidRDefault="00175529" w:rsidP="00175529">
      <w:pPr>
        <w:jc w:val="center"/>
        <w:rPr>
          <w:rFonts w:ascii="Algerian" w:hAnsi="Algerian"/>
          <w:color w:val="0F4761" w:themeColor="accent1" w:themeShade="BF"/>
          <w:sz w:val="40"/>
          <w:szCs w:val="40"/>
          <w:u w:val="single"/>
        </w:rPr>
      </w:pPr>
      <w:r w:rsidRPr="00175529">
        <w:rPr>
          <w:rFonts w:ascii="Algerian" w:hAnsi="Algerian"/>
          <w:color w:val="0F4761" w:themeColor="accent1" w:themeShade="BF"/>
          <w:sz w:val="40"/>
          <w:szCs w:val="40"/>
          <w:u w:val="single"/>
        </w:rPr>
        <w:lastRenderedPageBreak/>
        <w:t>Introduction</w:t>
      </w:r>
    </w:p>
    <w:p w14:paraId="75A1FD8B" w14:textId="769D3F0D" w:rsidR="008B6020" w:rsidRPr="008B6020" w:rsidRDefault="008B6020" w:rsidP="008B6020">
      <w:r w:rsidRPr="008B6020">
        <w:t>Social isolation has become a significant public health concern affecting older adults in the United Kingdom, particularly those who live alone. Social isolation is understood as an objective lack of social contact, social relationships, or engagement with others, and is distinct from loneliness, which refers to the subjective feeling of being alone (Victor et al., 2021). As the UK population continues to age, increasing numbers of older adults—commonly defined in policy and research as individuals aged 65 and over—are living in single</w:t>
      </w:r>
      <w:r w:rsidRPr="008B6020">
        <w:noBreakHyphen/>
        <w:t>person households (Office for National Statistics, 2023). This demographic shift has heightened interest in understanding how reduced social networks and limited daily interaction may influence mental wellbeing.</w:t>
      </w:r>
    </w:p>
    <w:p w14:paraId="6288B7A1" w14:textId="77777777" w:rsidR="008B6020" w:rsidRPr="008B6020" w:rsidRDefault="008B6020" w:rsidP="008B6020">
      <w:r w:rsidRPr="008B6020">
        <w:t>Mental wellbeing encompasses emotional, psychological, and social functioning, including life satisfaction, resilience, and the ability to cope with everyday stressors (World Health Organization, 2022). Evidence suggests that social isolation can negatively affect these aspects of wellbeing, contributing to outcomes such as depression, anxiety, cognitive decline, and reduced quality of life (Holt-Lunstad et al., 2015). However, the relationship between social isolation and mental wellbeing is complex and shaped by factors such as physical health, socioeconomic status, access to community resources, and the availability of informal or formal support.</w:t>
      </w:r>
    </w:p>
    <w:p w14:paraId="31F97853" w14:textId="77777777" w:rsidR="008B6020" w:rsidRPr="008B6020" w:rsidRDefault="008B6020" w:rsidP="008B6020">
      <w:r w:rsidRPr="008B6020">
        <w:t xml:space="preserve">Given the growing number of older adults living alone in the UK and the potential consequences of social isolation on mental wellbeing, there is a clear need to map the existing evidence base. A scoping review is an appropriate methodological approach for exploring how social isolation is defined, measured, and experienced within this population, and for identifying gaps in current knowledge. This review therefore seeks to answer the question: </w:t>
      </w:r>
      <w:r w:rsidRPr="008B6020">
        <w:rPr>
          <w:b/>
          <w:bCs/>
        </w:rPr>
        <w:t>How does social isolation affect the mental wellbeing of older adults living alone in the United Kingdom?</w:t>
      </w:r>
    </w:p>
    <w:p w14:paraId="4A89E404" w14:textId="77777777" w:rsidR="008B6020" w:rsidRPr="008B6020" w:rsidRDefault="008B6020" w:rsidP="008B6020">
      <w:r w:rsidRPr="008B6020">
        <w:t>The objectives of this scoping review are to:</w:t>
      </w:r>
    </w:p>
    <w:p w14:paraId="26FD3B75" w14:textId="77777777" w:rsidR="008B6020" w:rsidRPr="008B6020" w:rsidRDefault="008B6020" w:rsidP="00EE77EE">
      <w:pPr>
        <w:numPr>
          <w:ilvl w:val="0"/>
          <w:numId w:val="2"/>
        </w:numPr>
      </w:pPr>
      <w:r w:rsidRPr="008B6020">
        <w:t>Identify and map existing research on the relationship between social isolation and mental wellbeing among older adults living alone in the UK.</w:t>
      </w:r>
    </w:p>
    <w:p w14:paraId="5BDEAE5A" w14:textId="77777777" w:rsidR="008B6020" w:rsidRPr="008B6020" w:rsidRDefault="008B6020" w:rsidP="00EE77EE">
      <w:pPr>
        <w:numPr>
          <w:ilvl w:val="0"/>
          <w:numId w:val="2"/>
        </w:numPr>
      </w:pPr>
      <w:r w:rsidRPr="008B6020">
        <w:t>Explore how social isolation is conceptualised and measured within the literature.</w:t>
      </w:r>
    </w:p>
    <w:p w14:paraId="08D38B0A" w14:textId="77777777" w:rsidR="008B6020" w:rsidRPr="008B6020" w:rsidRDefault="008B6020" w:rsidP="00EE77EE">
      <w:pPr>
        <w:numPr>
          <w:ilvl w:val="0"/>
          <w:numId w:val="2"/>
        </w:numPr>
      </w:pPr>
      <w:r w:rsidRPr="008B6020">
        <w:t>Examine the mental wellbeing outcomes associated with social isolation in this population.</w:t>
      </w:r>
    </w:p>
    <w:p w14:paraId="3689B807" w14:textId="77777777" w:rsidR="008B6020" w:rsidRPr="008B6020" w:rsidRDefault="008B6020" w:rsidP="00EE77EE">
      <w:pPr>
        <w:numPr>
          <w:ilvl w:val="0"/>
          <w:numId w:val="2"/>
        </w:numPr>
      </w:pPr>
      <w:r w:rsidRPr="008B6020">
        <w:t>Identify risk factors, protective factors, and contextual influences that shape this relationship.</w:t>
      </w:r>
    </w:p>
    <w:p w14:paraId="5C65C3A0" w14:textId="77777777" w:rsidR="008B6020" w:rsidRDefault="008B6020" w:rsidP="00EE77EE">
      <w:pPr>
        <w:numPr>
          <w:ilvl w:val="0"/>
          <w:numId w:val="2"/>
        </w:numPr>
      </w:pPr>
      <w:r w:rsidRPr="008B6020">
        <w:t>Highlight gaps in the evidence to inform future research, policy, and practice.</w:t>
      </w:r>
    </w:p>
    <w:p w14:paraId="1F38353C" w14:textId="4E615A54" w:rsidR="00185D6D" w:rsidRPr="00185D6D" w:rsidRDefault="006303F2" w:rsidP="00185D6D">
      <w:pPr>
        <w:ind w:left="720"/>
        <w:jc w:val="center"/>
        <w:rPr>
          <w:rFonts w:ascii="Algerian" w:hAnsi="Algerian"/>
          <w:color w:val="0F4761" w:themeColor="accent1" w:themeShade="BF"/>
          <w:sz w:val="40"/>
          <w:szCs w:val="40"/>
          <w:u w:val="single"/>
        </w:rPr>
      </w:pPr>
      <w:r w:rsidRPr="00DC1A27">
        <w:rPr>
          <w:rFonts w:ascii="Algerian" w:hAnsi="Algerian"/>
          <w:color w:val="0F4761" w:themeColor="accent1" w:themeShade="BF"/>
          <w:sz w:val="40"/>
          <w:szCs w:val="40"/>
          <w:u w:val="single"/>
        </w:rPr>
        <w:lastRenderedPageBreak/>
        <w:t>Background</w:t>
      </w:r>
    </w:p>
    <w:p w14:paraId="4A5F0827" w14:textId="77777777" w:rsidR="00185D6D" w:rsidRPr="00185D6D" w:rsidRDefault="00185D6D" w:rsidP="00185D6D">
      <w:pPr>
        <w:ind w:left="720"/>
        <w:rPr>
          <w:b/>
          <w:bCs/>
          <w:color w:val="000000" w:themeColor="text1"/>
        </w:rPr>
      </w:pPr>
      <w:r w:rsidRPr="00185D6D">
        <w:rPr>
          <w:b/>
          <w:bCs/>
          <w:color w:val="000000" w:themeColor="text1"/>
        </w:rPr>
        <w:t>Context, Policies, and Services Related to Social Isolation and Mental Wellbeing in Older Adults</w:t>
      </w:r>
    </w:p>
    <w:p w14:paraId="3AC89357" w14:textId="3DB4CDEF" w:rsidR="00185D6D" w:rsidRPr="00185D6D" w:rsidRDefault="00185D6D" w:rsidP="00185D6D">
      <w:pPr>
        <w:ind w:left="720"/>
        <w:rPr>
          <w:color w:val="000000" w:themeColor="text1"/>
        </w:rPr>
      </w:pPr>
      <w:r w:rsidRPr="00185D6D">
        <w:rPr>
          <w:color w:val="000000" w:themeColor="text1"/>
        </w:rPr>
        <w:t xml:space="preserve">Social isolation among older adults is increasingly recognised as a significant public health issue within health and social care systems in the United Kingdom. Research consistently shows that up to half of adults aged over 60 are at risk of social isolation, with substantial implications for mental wellbeing, including heightened risk of depression, anxiety, and reduced quality of </w:t>
      </w:r>
      <w:r w:rsidR="00BE7A4F" w:rsidRPr="00185D6D">
        <w:rPr>
          <w:color w:val="000000" w:themeColor="text1"/>
        </w:rPr>
        <w:t>life.</w:t>
      </w:r>
      <w:r w:rsidRPr="00185D6D">
        <w:rPr>
          <w:color w:val="000000" w:themeColor="text1"/>
        </w:rPr>
        <w:t xml:space="preserve"> Within health and social care, social isolation is understood not only as a lack of social contact but also as a structural issue shaped by ageing, bereavement, mobility limitations, and reduced community participation. These factors intersect with broader determinants of health, making social isolation a complex challenge requiring coordinated, multi</w:t>
      </w:r>
      <w:r w:rsidRPr="00185D6D">
        <w:rPr>
          <w:color w:val="000000" w:themeColor="text1"/>
        </w:rPr>
        <w:noBreakHyphen/>
        <w:t>agency responses.</w:t>
      </w:r>
    </w:p>
    <w:p w14:paraId="3BC93BE9" w14:textId="56E1F87E" w:rsidR="00185D6D" w:rsidRPr="00185D6D" w:rsidRDefault="00185D6D" w:rsidP="00185D6D">
      <w:pPr>
        <w:ind w:left="720"/>
        <w:rPr>
          <w:color w:val="000000" w:themeColor="text1"/>
        </w:rPr>
      </w:pPr>
      <w:r w:rsidRPr="00185D6D">
        <w:rPr>
          <w:color w:val="000000" w:themeColor="text1"/>
        </w:rPr>
        <w:t>Although the UK has national strategies addressing loneliness, peer</w:t>
      </w:r>
      <w:r w:rsidRPr="00185D6D">
        <w:rPr>
          <w:color w:val="000000" w:themeColor="text1"/>
        </w:rPr>
        <w:noBreakHyphen/>
        <w:t>reviewed research highlights that effective responses require alignment with evidence</w:t>
      </w:r>
      <w:r w:rsidRPr="00185D6D">
        <w:rPr>
          <w:color w:val="000000" w:themeColor="text1"/>
        </w:rPr>
        <w:noBreakHyphen/>
        <w:t>based frameworks. For example, Fakoya et al. (2020) emphasise that interventions must be embedded within integrated care systems, combining health, social care, and community</w:t>
      </w:r>
      <w:r w:rsidRPr="00185D6D">
        <w:rPr>
          <w:color w:val="000000" w:themeColor="text1"/>
        </w:rPr>
        <w:noBreakHyphen/>
        <w:t xml:space="preserve">based approaches to reduce isolation and improve wellbeing among older </w:t>
      </w:r>
      <w:r w:rsidR="00BE7A4F" w:rsidRPr="00185D6D">
        <w:rPr>
          <w:color w:val="000000" w:themeColor="text1"/>
        </w:rPr>
        <w:t>adults.</w:t>
      </w:r>
      <w:r w:rsidRPr="00185D6D">
        <w:rPr>
          <w:color w:val="000000" w:themeColor="text1"/>
        </w:rPr>
        <w:t xml:space="preserve"> Similarly, studies published in </w:t>
      </w:r>
      <w:r w:rsidRPr="00185D6D">
        <w:rPr>
          <w:i/>
          <w:iCs/>
          <w:color w:val="000000" w:themeColor="text1"/>
        </w:rPr>
        <w:t>The Lancet Healthy Longevity</w:t>
      </w:r>
      <w:r w:rsidRPr="00185D6D">
        <w:rPr>
          <w:color w:val="000000" w:themeColor="text1"/>
        </w:rPr>
        <w:t xml:space="preserve"> highlight the need for mental health services to recognise loneliness and isolation as modifiable risk factors for depression in later life, reinforcing the importance of early identification and preventative care within clinical </w:t>
      </w:r>
      <w:r w:rsidR="00BE7A4F" w:rsidRPr="00185D6D">
        <w:rPr>
          <w:color w:val="000000" w:themeColor="text1"/>
        </w:rPr>
        <w:t>practice.</w:t>
      </w:r>
    </w:p>
    <w:p w14:paraId="320C222D" w14:textId="77777777" w:rsidR="00185D6D" w:rsidRPr="00185D6D" w:rsidRDefault="00185D6D" w:rsidP="00185D6D">
      <w:pPr>
        <w:ind w:left="720"/>
        <w:rPr>
          <w:color w:val="000000" w:themeColor="text1"/>
        </w:rPr>
      </w:pPr>
      <w:r w:rsidRPr="00185D6D">
        <w:rPr>
          <w:color w:val="000000" w:themeColor="text1"/>
        </w:rPr>
        <w:t>Peer</w:t>
      </w:r>
      <w:r w:rsidRPr="00185D6D">
        <w:rPr>
          <w:color w:val="000000" w:themeColor="text1"/>
        </w:rPr>
        <w:noBreakHyphen/>
        <w:t>reviewed evidence also points to the importance of structured assessment and monitoring within health and social care. For example, validated tools such as the UCLA Loneliness Scale and Lubben Social Network Scale are frequently used in UK</w:t>
      </w:r>
      <w:r w:rsidRPr="00185D6D">
        <w:rPr>
          <w:color w:val="000000" w:themeColor="text1"/>
        </w:rPr>
        <w:noBreakHyphen/>
        <w:t>based research to identify older adults at risk of isolation and to guide care planning. These tools support practitioners in tailoring interventions, ensuring that support is person</w:t>
      </w:r>
      <w:r w:rsidRPr="00185D6D">
        <w:rPr>
          <w:color w:val="000000" w:themeColor="text1"/>
        </w:rPr>
        <w:noBreakHyphen/>
        <w:t>centred and responsive to individual needs.</w:t>
      </w:r>
    </w:p>
    <w:p w14:paraId="1687EB99" w14:textId="25169C53" w:rsidR="00185D6D" w:rsidRPr="00185D6D" w:rsidRDefault="00185D6D" w:rsidP="00185D6D">
      <w:pPr>
        <w:ind w:left="720"/>
        <w:rPr>
          <w:color w:val="000000" w:themeColor="text1"/>
        </w:rPr>
      </w:pPr>
      <w:r w:rsidRPr="00185D6D">
        <w:rPr>
          <w:color w:val="000000" w:themeColor="text1"/>
        </w:rPr>
        <w:t>In terms of services and practices, a wide range of evidence</w:t>
      </w:r>
      <w:r w:rsidRPr="00185D6D">
        <w:rPr>
          <w:color w:val="000000" w:themeColor="text1"/>
        </w:rPr>
        <w:noBreakHyphen/>
        <w:t>based interventions have been identified in the literature. A scoping review of reviews by Fakoya et al. (2020) found that effective approaches include group</w:t>
      </w:r>
      <w:r w:rsidRPr="00185D6D">
        <w:rPr>
          <w:color w:val="000000" w:themeColor="text1"/>
        </w:rPr>
        <w:noBreakHyphen/>
        <w:t xml:space="preserve">based social activities, befriending programmes, psychological therapies, and community engagement initiatives, all of which have demonstrated positive impacts on mental wellbeing among older </w:t>
      </w:r>
      <w:r w:rsidR="00BE7A4F" w:rsidRPr="00185D6D">
        <w:rPr>
          <w:color w:val="000000" w:themeColor="text1"/>
        </w:rPr>
        <w:t>adults.</w:t>
      </w:r>
      <w:r w:rsidRPr="00185D6D">
        <w:rPr>
          <w:color w:val="000000" w:themeColor="text1"/>
        </w:rPr>
        <w:t xml:space="preserve"> These interventions are often delivered through partnerships between NHS services, local authorities, voluntary organisations, and community groups, reflecting the multi</w:t>
      </w:r>
      <w:r w:rsidRPr="00185D6D">
        <w:rPr>
          <w:color w:val="000000" w:themeColor="text1"/>
        </w:rPr>
        <w:noBreakHyphen/>
        <w:t>layered nature of support required to address social isolation.</w:t>
      </w:r>
    </w:p>
    <w:p w14:paraId="7765F87D" w14:textId="77777777" w:rsidR="00185D6D" w:rsidRPr="00185D6D" w:rsidRDefault="00185D6D" w:rsidP="00185D6D">
      <w:pPr>
        <w:ind w:left="720"/>
        <w:rPr>
          <w:color w:val="000000" w:themeColor="text1"/>
        </w:rPr>
      </w:pPr>
      <w:r w:rsidRPr="00185D6D">
        <w:rPr>
          <w:color w:val="000000" w:themeColor="text1"/>
        </w:rPr>
        <w:lastRenderedPageBreak/>
        <w:t>Furthermore, peer</w:t>
      </w:r>
      <w:r w:rsidRPr="00185D6D">
        <w:rPr>
          <w:color w:val="000000" w:themeColor="text1"/>
        </w:rPr>
        <w:noBreakHyphen/>
        <w:t>reviewed studies emphasise that digital inclusion initiatives—such as technology training, virtual social groups, and telehealth—can play a valuable role in reducing isolation, particularly for older adults with mobility limitations. However, research also cautions that digital interventions must be accessible, user</w:t>
      </w:r>
      <w:r w:rsidRPr="00185D6D">
        <w:rPr>
          <w:color w:val="000000" w:themeColor="text1"/>
        </w:rPr>
        <w:noBreakHyphen/>
        <w:t>friendly, and supported by training to avoid exacerbating inequalities.</w:t>
      </w:r>
    </w:p>
    <w:p w14:paraId="35C16B1A" w14:textId="1C0EB249" w:rsidR="00DC1A27" w:rsidRPr="00BE7A4F" w:rsidRDefault="00185D6D" w:rsidP="00BE7A4F">
      <w:pPr>
        <w:ind w:left="720"/>
        <w:rPr>
          <w:color w:val="000000" w:themeColor="text1"/>
        </w:rPr>
      </w:pPr>
      <w:r w:rsidRPr="00185D6D">
        <w:rPr>
          <w:color w:val="000000" w:themeColor="text1"/>
        </w:rPr>
        <w:t>Overall, the peer</w:t>
      </w:r>
      <w:r w:rsidRPr="00185D6D">
        <w:rPr>
          <w:color w:val="000000" w:themeColor="text1"/>
        </w:rPr>
        <w:noBreakHyphen/>
        <w:t>reviewed evidence demonstrates that addressing social isolation among older adults living alone in the UK requires a combination of clinical, social, and community</w:t>
      </w:r>
      <w:r w:rsidRPr="00185D6D">
        <w:rPr>
          <w:color w:val="000000" w:themeColor="text1"/>
        </w:rPr>
        <w:noBreakHyphen/>
        <w:t>based strategies. These approaches must be grounded in robust assessment, interdisciplinary collaboration, and person</w:t>
      </w:r>
      <w:r w:rsidRPr="00185D6D">
        <w:rPr>
          <w:color w:val="000000" w:themeColor="text1"/>
        </w:rPr>
        <w:noBreakHyphen/>
        <w:t>centred care to effectively support mental wellbeing and reduce the long</w:t>
      </w:r>
      <w:r w:rsidRPr="00185D6D">
        <w:rPr>
          <w:color w:val="000000" w:themeColor="text1"/>
        </w:rPr>
        <w:noBreakHyphen/>
        <w:t>term health impacts associated with isolation.</w:t>
      </w:r>
    </w:p>
    <w:p w14:paraId="478F7446" w14:textId="5CEC473D" w:rsidR="00BE7A4F" w:rsidRDefault="006303F2" w:rsidP="00BE7A4F">
      <w:pPr>
        <w:ind w:left="720"/>
        <w:jc w:val="center"/>
        <w:rPr>
          <w:rFonts w:ascii="Algerian" w:hAnsi="Algerian"/>
          <w:color w:val="0F4761" w:themeColor="accent1" w:themeShade="BF"/>
          <w:sz w:val="40"/>
          <w:szCs w:val="40"/>
          <w:u w:val="single"/>
        </w:rPr>
      </w:pPr>
      <w:r w:rsidRPr="00DC1A27">
        <w:rPr>
          <w:rFonts w:ascii="Algerian" w:hAnsi="Algerian"/>
          <w:color w:val="0F4761" w:themeColor="accent1" w:themeShade="BF"/>
          <w:sz w:val="40"/>
          <w:szCs w:val="40"/>
          <w:u w:val="single"/>
        </w:rPr>
        <w:t>Methods</w:t>
      </w:r>
    </w:p>
    <w:p w14:paraId="79B192C1" w14:textId="77777777" w:rsidR="005601A8" w:rsidRPr="005601A8" w:rsidRDefault="005601A8" w:rsidP="005601A8">
      <w:pPr>
        <w:ind w:left="720"/>
        <w:rPr>
          <w:color w:val="000000" w:themeColor="text1"/>
        </w:rPr>
      </w:pPr>
      <w:r w:rsidRPr="005601A8">
        <w:rPr>
          <w:color w:val="000000" w:themeColor="text1"/>
        </w:rPr>
        <w:t>This scoping review was conducted using the methodological guidance provided by the Joanna Briggs Institute (JBI), which offers a structured and transparent approach for mapping the breadth of existing evidence. This design was selected because the review aimed to explore how social isolation affects the mental wellbeing of older adults living alone in the United Kingdom, a topic characterised by complex social, psychological, and environmental influences. The JBI framework allowed for the inclusion of diverse study designs and supported a comprehensive understanding of the available literature.</w:t>
      </w:r>
    </w:p>
    <w:p w14:paraId="2C57E95B" w14:textId="77777777" w:rsidR="005601A8" w:rsidRPr="005601A8" w:rsidRDefault="005601A8" w:rsidP="005601A8">
      <w:pPr>
        <w:ind w:left="720"/>
        <w:rPr>
          <w:color w:val="000000" w:themeColor="text1"/>
        </w:rPr>
      </w:pPr>
      <w:r w:rsidRPr="005601A8">
        <w:rPr>
          <w:color w:val="000000" w:themeColor="text1"/>
        </w:rPr>
        <w:t>A systematic search strategy was developed to identify relevant peer</w:t>
      </w:r>
      <w:r w:rsidRPr="005601A8">
        <w:rPr>
          <w:color w:val="000000" w:themeColor="text1"/>
        </w:rPr>
        <w:noBreakHyphen/>
        <w:t>reviewed studies. The search terms were derived from the core concepts of the review question, including social isolation, mental wellbeing, older adults, living alone, and the UK context. Keywords and synonyms were combined using Boolean operators to ensure both sensitivity and specificity. Examples of search terms included “social isolation AND older adults AND United Kingdom”, “loneliness AND mental wellbeing AND ageing population”, and “living alone AND older people AND mental health”. Additional synonyms such as “elderly”, “ageing”, “psychological wellbeing”, and “social disconnectedness” were incorporated to widen the search. Truncation was used where appropriate to capture variations of key terms. Only peer</w:t>
      </w:r>
      <w:r w:rsidRPr="005601A8">
        <w:rPr>
          <w:color w:val="000000" w:themeColor="text1"/>
        </w:rPr>
        <w:noBreakHyphen/>
        <w:t>reviewed journal articles were included to ensure the academic quality and reliability of the evidence base.</w:t>
      </w:r>
    </w:p>
    <w:p w14:paraId="43A0099F" w14:textId="77777777" w:rsidR="005601A8" w:rsidRPr="005601A8" w:rsidRDefault="005601A8" w:rsidP="005601A8">
      <w:pPr>
        <w:ind w:left="720"/>
        <w:rPr>
          <w:color w:val="000000" w:themeColor="text1"/>
        </w:rPr>
      </w:pPr>
      <w:r w:rsidRPr="005601A8">
        <w:rPr>
          <w:color w:val="000000" w:themeColor="text1"/>
        </w:rPr>
        <w:t xml:space="preserve">Searches were conducted across several major academic databases to ensure comprehensive coverage of health, social care, and psychological research. These included CINAHL Plus, PsycINFO, MEDLINE/PubMed, Scopus, and Web of Science. These databases were selected because they index the most relevant journals for research on ageing, mental wellbeing, and social isolation. All </w:t>
      </w:r>
      <w:r w:rsidRPr="005601A8">
        <w:rPr>
          <w:color w:val="000000" w:themeColor="text1"/>
        </w:rPr>
        <w:lastRenderedPageBreak/>
        <w:t>search results were exported into a reference management system, where duplicates were removed. Titles and abstracts were screened against the inclusion and exclusion criteria, followed by full</w:t>
      </w:r>
      <w:r w:rsidRPr="005601A8">
        <w:rPr>
          <w:color w:val="000000" w:themeColor="text1"/>
        </w:rPr>
        <w:noBreakHyphen/>
        <w:t>text screening of potentially relevant studies. This process ensured that only studies directly addressing the relationship between social isolation and mental wellbeing among older adults living alone in the UK were included.</w:t>
      </w:r>
    </w:p>
    <w:p w14:paraId="6D9DF020" w14:textId="77777777" w:rsidR="005601A8" w:rsidRPr="005601A8" w:rsidRDefault="005601A8" w:rsidP="005601A8">
      <w:pPr>
        <w:ind w:left="720"/>
        <w:rPr>
          <w:color w:val="000000" w:themeColor="text1"/>
        </w:rPr>
      </w:pPr>
      <w:r w:rsidRPr="005601A8">
        <w:rPr>
          <w:color w:val="000000" w:themeColor="text1"/>
        </w:rPr>
        <w:t>The inclusion criteria required studies to be peer</w:t>
      </w:r>
      <w:r w:rsidRPr="005601A8">
        <w:rPr>
          <w:color w:val="000000" w:themeColor="text1"/>
        </w:rPr>
        <w:noBreakHyphen/>
        <w:t>reviewed, written in English, and conducted within the United Kingdom. Eligible studies included participants aged 60 or 65 and over and examined social isolation, loneliness, or reduced social networks in relation to mental wellbeing or mental health outcomes. Qualitative, quantitative, and mixed</w:t>
      </w:r>
      <w:r w:rsidRPr="005601A8">
        <w:rPr>
          <w:color w:val="000000" w:themeColor="text1"/>
        </w:rPr>
        <w:noBreakHyphen/>
        <w:t>methods studies were all considered appropriate for inclusion. Studies were excluded if they were not peer</w:t>
      </w:r>
      <w:r w:rsidRPr="005601A8">
        <w:rPr>
          <w:color w:val="000000" w:themeColor="text1"/>
        </w:rPr>
        <w:noBreakHyphen/>
        <w:t>reviewed, did not focus on the UK, included mixed</w:t>
      </w:r>
      <w:r w:rsidRPr="005601A8">
        <w:rPr>
          <w:color w:val="000000" w:themeColor="text1"/>
        </w:rPr>
        <w:noBreakHyphen/>
        <w:t>age samples without separate analysis for older adults, or focused solely on physical health outcomes. Research that did not involve individuals living alone or did not examine social isolation or mental wellbeing was also excluded. These criteria ensured that the final selection of studies aligned closely with the review question and contributed meaningfully to the synthesis.</w:t>
      </w:r>
    </w:p>
    <w:p w14:paraId="5F11F3E2" w14:textId="77777777" w:rsidR="005601A8" w:rsidRPr="005601A8" w:rsidRDefault="005601A8" w:rsidP="005601A8">
      <w:pPr>
        <w:ind w:left="720"/>
        <w:rPr>
          <w:color w:val="000000" w:themeColor="text1"/>
        </w:rPr>
      </w:pPr>
      <w:r w:rsidRPr="005601A8">
        <w:rPr>
          <w:color w:val="000000" w:themeColor="text1"/>
        </w:rPr>
        <w:t>Data extraction was conducted using a structured approach to ensure consistency across studies. Key information extracted included author details, publication year, study design, participant characteristics, definitions and measures of social isolation, mental wellbeing outcomes, and findings relevant to the review question. This process enabled a clear comparison of how different studies conceptualised and measured social isolation and mental wellbeing among older adults living alone.</w:t>
      </w:r>
    </w:p>
    <w:p w14:paraId="4EC61378" w14:textId="77777777" w:rsidR="005601A8" w:rsidRPr="005601A8" w:rsidRDefault="005601A8" w:rsidP="005601A8">
      <w:pPr>
        <w:ind w:left="720"/>
        <w:rPr>
          <w:color w:val="000000" w:themeColor="text1"/>
        </w:rPr>
      </w:pPr>
      <w:r w:rsidRPr="005601A8">
        <w:rPr>
          <w:color w:val="000000" w:themeColor="text1"/>
        </w:rPr>
        <w:t>A reflexive thematic analysis was used to synthesise the findings across the included studies, following Braun and Clarke’s (2006) six</w:t>
      </w:r>
      <w:r w:rsidRPr="005601A8">
        <w:rPr>
          <w:color w:val="000000" w:themeColor="text1"/>
        </w:rPr>
        <w:noBreakHyphen/>
        <w:t>phase framework. The analysis began with familiarisation, which involved reading each study multiple times to gain an in</w:t>
      </w:r>
      <w:r w:rsidRPr="005601A8">
        <w:rPr>
          <w:color w:val="000000" w:themeColor="text1"/>
        </w:rPr>
        <w:noBreakHyphen/>
        <w:t>depth understanding of the data. Initial codes were then generated to identify meaningful segments related to social isolation, mental wellbeing, and living alone. These codes were grouped into broader themes, which were reviewed and refined to ensure coherence and distinctiveness. Themes were then defined and named, and the final synthesis was produced by integrating these themes into a narrative that addressed the review question. This approach allowed for the identification of patterns across diverse study designs and supported a nuanced understanding of the topic.</w:t>
      </w:r>
    </w:p>
    <w:p w14:paraId="1628459B" w14:textId="609CFD4A" w:rsidR="00BE7A4F" w:rsidRPr="005601A8" w:rsidRDefault="005601A8" w:rsidP="005601A8">
      <w:pPr>
        <w:ind w:left="720"/>
        <w:rPr>
          <w:color w:val="000000" w:themeColor="text1"/>
        </w:rPr>
      </w:pPr>
      <w:r w:rsidRPr="005601A8">
        <w:rPr>
          <w:color w:val="000000" w:themeColor="text1"/>
        </w:rPr>
        <w:t xml:space="preserve">Ethical approval was not required for this scoping review because it synthesised existing published research rather than collecting primary data. However, ethical principles were upheld throughout the process. Only studies that had obtained </w:t>
      </w:r>
      <w:r w:rsidRPr="005601A8">
        <w:rPr>
          <w:color w:val="000000" w:themeColor="text1"/>
        </w:rPr>
        <w:lastRenderedPageBreak/>
        <w:t>ethical approval from their respective institutions were included, and all findings were reported accurately and transparently. Proper citation and paraphrasing were used to avoid plagiarism, and the review process was documented clearly to ensure replicability. No personal or sensitive data were collected as part of this review.</w:t>
      </w:r>
    </w:p>
    <w:p w14:paraId="1577FF76" w14:textId="1B20AA08" w:rsidR="00404602" w:rsidRPr="00404602" w:rsidRDefault="006303F2" w:rsidP="009E7768">
      <w:pPr>
        <w:ind w:left="720"/>
        <w:jc w:val="center"/>
        <w:rPr>
          <w:rFonts w:ascii="Algerian" w:hAnsi="Algerian"/>
          <w:color w:val="0F4761" w:themeColor="accent1" w:themeShade="BF"/>
          <w:sz w:val="40"/>
          <w:szCs w:val="40"/>
          <w:u w:val="single"/>
        </w:rPr>
      </w:pPr>
      <w:r w:rsidRPr="00DC1A27">
        <w:rPr>
          <w:rFonts w:ascii="Algerian" w:hAnsi="Algerian"/>
          <w:color w:val="0F4761" w:themeColor="accent1" w:themeShade="BF"/>
          <w:sz w:val="40"/>
          <w:szCs w:val="40"/>
          <w:u w:val="single"/>
        </w:rPr>
        <w:t>Results</w:t>
      </w:r>
    </w:p>
    <w:p w14:paraId="379017A0" w14:textId="77777777" w:rsidR="00404602" w:rsidRPr="00404602" w:rsidRDefault="00404602" w:rsidP="00404602">
      <w:pPr>
        <w:rPr>
          <w:color w:val="000000" w:themeColor="text1"/>
        </w:rPr>
      </w:pPr>
      <w:r w:rsidRPr="00404602">
        <w:rPr>
          <w:color w:val="000000" w:themeColor="text1"/>
        </w:rPr>
        <w:t>The search identified a body of peer</w:t>
      </w:r>
      <w:r w:rsidRPr="00404602">
        <w:rPr>
          <w:color w:val="000000" w:themeColor="text1"/>
        </w:rPr>
        <w:noBreakHyphen/>
        <w:t xml:space="preserve">reviewed literature exploring the relationship between social isolation and mental wellbeing among older adults living alone in the United Kingdom. Following thematic analysis, three overarching themes were developed: </w:t>
      </w:r>
      <w:r w:rsidRPr="00404602">
        <w:rPr>
          <w:b/>
          <w:bCs/>
          <w:color w:val="000000" w:themeColor="text1"/>
        </w:rPr>
        <w:t>(1) Emotional and Psychological Impact of Social Isolation</w:t>
      </w:r>
      <w:r w:rsidRPr="00404602">
        <w:rPr>
          <w:color w:val="000000" w:themeColor="text1"/>
        </w:rPr>
        <w:t xml:space="preserve">, </w:t>
      </w:r>
      <w:r w:rsidRPr="00404602">
        <w:rPr>
          <w:b/>
          <w:bCs/>
          <w:color w:val="000000" w:themeColor="text1"/>
        </w:rPr>
        <w:t>(2) Barriers to Social Participation and Connectedness</w:t>
      </w:r>
      <w:r w:rsidRPr="00404602">
        <w:rPr>
          <w:color w:val="000000" w:themeColor="text1"/>
        </w:rPr>
        <w:t xml:space="preserve">, and </w:t>
      </w:r>
      <w:r w:rsidRPr="00404602">
        <w:rPr>
          <w:b/>
          <w:bCs/>
          <w:color w:val="000000" w:themeColor="text1"/>
        </w:rPr>
        <w:t>(3) Protective Factors and Supportive Interventions</w:t>
      </w:r>
      <w:r w:rsidRPr="00404602">
        <w:rPr>
          <w:color w:val="000000" w:themeColor="text1"/>
        </w:rPr>
        <w:t xml:space="preserve">. These themes were generated from recurring codes across the included studies, which are summarised in </w:t>
      </w:r>
      <w:r w:rsidRPr="00404602">
        <w:rPr>
          <w:b/>
          <w:bCs/>
          <w:color w:val="000000" w:themeColor="text1"/>
        </w:rPr>
        <w:t>Table 1</w:t>
      </w:r>
      <w:r w:rsidRPr="00404602">
        <w:rPr>
          <w:color w:val="000000" w:themeColor="text1"/>
        </w:rPr>
        <w:t xml:space="preserve"> and discussed in detail below.</w:t>
      </w:r>
    </w:p>
    <w:p w14:paraId="2DE73316" w14:textId="07FCBC27" w:rsidR="00404602" w:rsidRPr="00404602" w:rsidRDefault="00404602" w:rsidP="00404602">
      <w:pPr>
        <w:rPr>
          <w:color w:val="000000" w:themeColor="text1"/>
        </w:rPr>
      </w:pPr>
    </w:p>
    <w:p w14:paraId="199FA44B" w14:textId="77777777" w:rsidR="00404602" w:rsidRPr="00404602" w:rsidRDefault="00404602" w:rsidP="00404602">
      <w:pPr>
        <w:rPr>
          <w:b/>
          <w:bCs/>
          <w:color w:val="000000" w:themeColor="text1"/>
        </w:rPr>
      </w:pPr>
      <w:r w:rsidRPr="00404602">
        <w:rPr>
          <w:b/>
          <w:bCs/>
          <w:color w:val="000000" w:themeColor="text1"/>
        </w:rPr>
        <w:t>Theme 1: Emotional and Psychological Impact of Social Isolation</w:t>
      </w:r>
    </w:p>
    <w:p w14:paraId="1C6E87CC" w14:textId="77777777" w:rsidR="00404602" w:rsidRPr="00404602" w:rsidRDefault="00404602" w:rsidP="00404602">
      <w:pPr>
        <w:rPr>
          <w:color w:val="000000" w:themeColor="text1"/>
        </w:rPr>
      </w:pPr>
      <w:r w:rsidRPr="00404602">
        <w:rPr>
          <w:color w:val="000000" w:themeColor="text1"/>
        </w:rPr>
        <w:t xml:space="preserve">Across the included studies, social isolation was consistently associated with negative emotional and psychological outcomes. Codes such as </w:t>
      </w:r>
      <w:r w:rsidRPr="00404602">
        <w:rPr>
          <w:i/>
          <w:iCs/>
          <w:color w:val="000000" w:themeColor="text1"/>
        </w:rPr>
        <w:t>depressive symptoms</w:t>
      </w:r>
      <w:r w:rsidRPr="00404602">
        <w:rPr>
          <w:color w:val="000000" w:themeColor="text1"/>
        </w:rPr>
        <w:t xml:space="preserve">, </w:t>
      </w:r>
      <w:r w:rsidRPr="00404602">
        <w:rPr>
          <w:i/>
          <w:iCs/>
          <w:color w:val="000000" w:themeColor="text1"/>
        </w:rPr>
        <w:t>anxiety</w:t>
      </w:r>
      <w:r w:rsidRPr="00404602">
        <w:rPr>
          <w:color w:val="000000" w:themeColor="text1"/>
        </w:rPr>
        <w:t xml:space="preserve">, </w:t>
      </w:r>
      <w:r w:rsidRPr="00404602">
        <w:rPr>
          <w:i/>
          <w:iCs/>
          <w:color w:val="000000" w:themeColor="text1"/>
        </w:rPr>
        <w:t>low mood</w:t>
      </w:r>
      <w:r w:rsidRPr="00404602">
        <w:rPr>
          <w:color w:val="000000" w:themeColor="text1"/>
        </w:rPr>
        <w:t xml:space="preserve">, </w:t>
      </w:r>
      <w:r w:rsidRPr="00404602">
        <w:rPr>
          <w:i/>
          <w:iCs/>
          <w:color w:val="000000" w:themeColor="text1"/>
        </w:rPr>
        <w:t>loss of purpose</w:t>
      </w:r>
      <w:r w:rsidRPr="00404602">
        <w:rPr>
          <w:color w:val="000000" w:themeColor="text1"/>
        </w:rPr>
        <w:t xml:space="preserve">, and </w:t>
      </w:r>
      <w:r w:rsidRPr="00404602">
        <w:rPr>
          <w:i/>
          <w:iCs/>
          <w:color w:val="000000" w:themeColor="text1"/>
        </w:rPr>
        <w:t>reduced life satisfaction</w:t>
      </w:r>
      <w:r w:rsidRPr="00404602">
        <w:rPr>
          <w:color w:val="000000" w:themeColor="text1"/>
        </w:rPr>
        <w:t xml:space="preserve"> appeared frequently in the data. Victor et al. (2021) found that older adults living alone reported significantly higher levels of loneliness and emotional distress, which contributed to poorer mental wellbeing. Similarly, Gardiner et al. (2018) identified that isolation heightened vulnerability to depression, particularly among individuals with limited social networks.</w:t>
      </w:r>
    </w:p>
    <w:p w14:paraId="575C5993" w14:textId="77777777" w:rsidR="00404602" w:rsidRPr="00404602" w:rsidRDefault="00404602" w:rsidP="00404602">
      <w:pPr>
        <w:rPr>
          <w:color w:val="000000" w:themeColor="text1"/>
        </w:rPr>
      </w:pPr>
      <w:r w:rsidRPr="00404602">
        <w:rPr>
          <w:color w:val="000000" w:themeColor="text1"/>
        </w:rPr>
        <w:t>Holt-Lunstad et al. (2015) further demonstrated that social isolation is a significant risk factor for mental health decline, with isolated older adults experiencing reduced resilience and increased psychological strain. These findings collectively highlight that emotional distress is a central consequence of social isolation, reinforcing the importance of early identification and support.</w:t>
      </w:r>
    </w:p>
    <w:p w14:paraId="0CE54CA6" w14:textId="7F735E7C" w:rsidR="00404602" w:rsidRPr="00404602" w:rsidRDefault="00404602" w:rsidP="00404602">
      <w:pPr>
        <w:rPr>
          <w:color w:val="000000" w:themeColor="text1"/>
        </w:rPr>
      </w:pPr>
    </w:p>
    <w:p w14:paraId="53BA3387" w14:textId="77777777" w:rsidR="00404602" w:rsidRPr="00404602" w:rsidRDefault="00404602" w:rsidP="00404602">
      <w:pPr>
        <w:rPr>
          <w:b/>
          <w:bCs/>
          <w:color w:val="000000" w:themeColor="text1"/>
        </w:rPr>
      </w:pPr>
      <w:r w:rsidRPr="00404602">
        <w:rPr>
          <w:b/>
          <w:bCs/>
          <w:color w:val="000000" w:themeColor="text1"/>
        </w:rPr>
        <w:t>Theme 2: Barriers to Social Participation and Connectedness</w:t>
      </w:r>
    </w:p>
    <w:p w14:paraId="295796DD" w14:textId="77777777" w:rsidR="00404602" w:rsidRPr="00404602" w:rsidRDefault="00404602" w:rsidP="00404602">
      <w:pPr>
        <w:rPr>
          <w:color w:val="000000" w:themeColor="text1"/>
        </w:rPr>
      </w:pPr>
      <w:r w:rsidRPr="00404602">
        <w:rPr>
          <w:color w:val="000000" w:themeColor="text1"/>
        </w:rPr>
        <w:t xml:space="preserve">A second theme emerged around the structural and personal barriers that prevent older adults from maintaining social connections. Codes contributing to this theme included </w:t>
      </w:r>
      <w:r w:rsidRPr="00404602">
        <w:rPr>
          <w:i/>
          <w:iCs/>
          <w:color w:val="000000" w:themeColor="text1"/>
        </w:rPr>
        <w:t>mobility limitations</w:t>
      </w:r>
      <w:r w:rsidRPr="00404602">
        <w:rPr>
          <w:color w:val="000000" w:themeColor="text1"/>
        </w:rPr>
        <w:t xml:space="preserve">, </w:t>
      </w:r>
      <w:r w:rsidRPr="00404602">
        <w:rPr>
          <w:i/>
          <w:iCs/>
          <w:color w:val="000000" w:themeColor="text1"/>
        </w:rPr>
        <w:t>bereavement</w:t>
      </w:r>
      <w:r w:rsidRPr="00404602">
        <w:rPr>
          <w:color w:val="000000" w:themeColor="text1"/>
        </w:rPr>
        <w:t xml:space="preserve">, </w:t>
      </w:r>
      <w:r w:rsidRPr="00404602">
        <w:rPr>
          <w:i/>
          <w:iCs/>
          <w:color w:val="000000" w:themeColor="text1"/>
        </w:rPr>
        <w:t>transport difficulties</w:t>
      </w:r>
      <w:r w:rsidRPr="00404602">
        <w:rPr>
          <w:color w:val="000000" w:themeColor="text1"/>
        </w:rPr>
        <w:t xml:space="preserve">, </w:t>
      </w:r>
      <w:r w:rsidRPr="00404602">
        <w:rPr>
          <w:i/>
          <w:iCs/>
          <w:color w:val="000000" w:themeColor="text1"/>
        </w:rPr>
        <w:t>fear of burdening others</w:t>
      </w:r>
      <w:r w:rsidRPr="00404602">
        <w:rPr>
          <w:color w:val="000000" w:themeColor="text1"/>
        </w:rPr>
        <w:t xml:space="preserve">, and </w:t>
      </w:r>
      <w:r w:rsidRPr="00404602">
        <w:rPr>
          <w:i/>
          <w:iCs/>
          <w:color w:val="000000" w:themeColor="text1"/>
        </w:rPr>
        <w:t>reduced community engagement</w:t>
      </w:r>
      <w:r w:rsidRPr="00404602">
        <w:rPr>
          <w:color w:val="000000" w:themeColor="text1"/>
        </w:rPr>
        <w:t>. Kharicha et al. (2018) found that older adults often struggled to maintain social relationships following major life transitions such as retirement or the loss of a partner, which was particularly pronounced among those living alone.</w:t>
      </w:r>
    </w:p>
    <w:p w14:paraId="20436771" w14:textId="77777777" w:rsidR="00404602" w:rsidRPr="00404602" w:rsidRDefault="00404602" w:rsidP="00404602">
      <w:pPr>
        <w:rPr>
          <w:color w:val="000000" w:themeColor="text1"/>
        </w:rPr>
      </w:pPr>
      <w:r w:rsidRPr="00404602">
        <w:rPr>
          <w:color w:val="000000" w:themeColor="text1"/>
        </w:rPr>
        <w:lastRenderedPageBreak/>
        <w:t>Fakoya et al. (2020) also identified that practical barriers—such as inaccessible community spaces or limited local services—restricted opportunities for social participation. These barriers not only increased isolation but also reduced older adults’ confidence in seeking social contact, further exacerbating mental wellbeing challenges.</w:t>
      </w:r>
    </w:p>
    <w:p w14:paraId="54E414A5" w14:textId="1D5921D3" w:rsidR="00404602" w:rsidRPr="00404602" w:rsidRDefault="00404602" w:rsidP="00404602">
      <w:pPr>
        <w:rPr>
          <w:color w:val="000000" w:themeColor="text1"/>
        </w:rPr>
      </w:pPr>
    </w:p>
    <w:p w14:paraId="4CF8D96E" w14:textId="77777777" w:rsidR="00404602" w:rsidRPr="00404602" w:rsidRDefault="00404602" w:rsidP="00404602">
      <w:pPr>
        <w:rPr>
          <w:b/>
          <w:bCs/>
          <w:color w:val="000000" w:themeColor="text1"/>
        </w:rPr>
      </w:pPr>
      <w:r w:rsidRPr="00404602">
        <w:rPr>
          <w:b/>
          <w:bCs/>
          <w:color w:val="000000" w:themeColor="text1"/>
        </w:rPr>
        <w:t>Theme 3: Protective Factors and Supportive Interventions</w:t>
      </w:r>
    </w:p>
    <w:p w14:paraId="01BA227D" w14:textId="77777777" w:rsidR="00404602" w:rsidRPr="00404602" w:rsidRDefault="00404602" w:rsidP="00404602">
      <w:pPr>
        <w:rPr>
          <w:color w:val="000000" w:themeColor="text1"/>
        </w:rPr>
      </w:pPr>
      <w:r w:rsidRPr="00404602">
        <w:rPr>
          <w:color w:val="000000" w:themeColor="text1"/>
        </w:rPr>
        <w:t xml:space="preserve">Despite the challenges associated with social isolation, several studies highlighted protective factors and interventions that supported mental wellbeing. Codes such as </w:t>
      </w:r>
      <w:r w:rsidRPr="00404602">
        <w:rPr>
          <w:i/>
          <w:iCs/>
          <w:color w:val="000000" w:themeColor="text1"/>
        </w:rPr>
        <w:t>community programmes</w:t>
      </w:r>
      <w:r w:rsidRPr="00404602">
        <w:rPr>
          <w:color w:val="000000" w:themeColor="text1"/>
        </w:rPr>
        <w:t xml:space="preserve">, </w:t>
      </w:r>
      <w:r w:rsidRPr="00404602">
        <w:rPr>
          <w:i/>
          <w:iCs/>
          <w:color w:val="000000" w:themeColor="text1"/>
        </w:rPr>
        <w:t>befriending services</w:t>
      </w:r>
      <w:r w:rsidRPr="00404602">
        <w:rPr>
          <w:color w:val="000000" w:themeColor="text1"/>
        </w:rPr>
        <w:t xml:space="preserve">, </w:t>
      </w:r>
      <w:r w:rsidRPr="00404602">
        <w:rPr>
          <w:i/>
          <w:iCs/>
          <w:color w:val="000000" w:themeColor="text1"/>
        </w:rPr>
        <w:t>digital inclusion</w:t>
      </w:r>
      <w:r w:rsidRPr="00404602">
        <w:rPr>
          <w:color w:val="000000" w:themeColor="text1"/>
        </w:rPr>
        <w:t xml:space="preserve">, </w:t>
      </w:r>
      <w:r w:rsidRPr="00404602">
        <w:rPr>
          <w:i/>
          <w:iCs/>
          <w:color w:val="000000" w:themeColor="text1"/>
        </w:rPr>
        <w:t>group activities</w:t>
      </w:r>
      <w:r w:rsidRPr="00404602">
        <w:rPr>
          <w:color w:val="000000" w:themeColor="text1"/>
        </w:rPr>
        <w:t xml:space="preserve">, and </w:t>
      </w:r>
      <w:r w:rsidRPr="00404602">
        <w:rPr>
          <w:i/>
          <w:iCs/>
          <w:color w:val="000000" w:themeColor="text1"/>
        </w:rPr>
        <w:t>psychological support</w:t>
      </w:r>
      <w:r w:rsidRPr="00404602">
        <w:rPr>
          <w:color w:val="000000" w:themeColor="text1"/>
        </w:rPr>
        <w:t xml:space="preserve"> contributed to this theme. Cattan et al. (2005) found that group</w:t>
      </w:r>
      <w:r w:rsidRPr="00404602">
        <w:rPr>
          <w:color w:val="000000" w:themeColor="text1"/>
        </w:rPr>
        <w:noBreakHyphen/>
        <w:t>based social activities were effective in reducing loneliness and improving wellbeing among older adults.</w:t>
      </w:r>
    </w:p>
    <w:p w14:paraId="5CC9BA80" w14:textId="77777777" w:rsidR="00404602" w:rsidRPr="00404602" w:rsidRDefault="00404602" w:rsidP="00404602">
      <w:pPr>
        <w:rPr>
          <w:color w:val="000000" w:themeColor="text1"/>
        </w:rPr>
      </w:pPr>
      <w:r w:rsidRPr="00404602">
        <w:rPr>
          <w:color w:val="000000" w:themeColor="text1"/>
        </w:rPr>
        <w:t>Digital interventions also emerged as a promising area. Chen and Schulz (2016) demonstrated that technology</w:t>
      </w:r>
      <w:r w:rsidRPr="00404602">
        <w:rPr>
          <w:color w:val="000000" w:themeColor="text1"/>
        </w:rPr>
        <w:noBreakHyphen/>
        <w:t>based programmes, such as video</w:t>
      </w:r>
      <w:r w:rsidRPr="00404602">
        <w:rPr>
          <w:color w:val="000000" w:themeColor="text1"/>
        </w:rPr>
        <w:noBreakHyphen/>
        <w:t>calling and online social groups, enhanced social connectedness and reduced feelings of isolation. Seifert et al. (2020) similarly noted that digital inclusion initiatives helped older adults maintain social contact during periods of restricted mobility, although digital literacy remained a barrier for some.</w:t>
      </w:r>
    </w:p>
    <w:p w14:paraId="420496F8" w14:textId="77777777" w:rsidR="00404602" w:rsidRPr="00404602" w:rsidRDefault="00404602" w:rsidP="00404602">
      <w:pPr>
        <w:rPr>
          <w:color w:val="000000" w:themeColor="text1"/>
        </w:rPr>
      </w:pPr>
      <w:r w:rsidRPr="00404602">
        <w:rPr>
          <w:color w:val="000000" w:themeColor="text1"/>
        </w:rPr>
        <w:t>These findings suggest that multi</w:t>
      </w:r>
      <w:r w:rsidRPr="00404602">
        <w:rPr>
          <w:color w:val="000000" w:themeColor="text1"/>
        </w:rPr>
        <w:noBreakHyphen/>
        <w:t>layered, person</w:t>
      </w:r>
      <w:r w:rsidRPr="00404602">
        <w:rPr>
          <w:color w:val="000000" w:themeColor="text1"/>
        </w:rPr>
        <w:noBreakHyphen/>
        <w:t>centred interventions—combining social, psychological, and digital support—can play a significant role in mitigating the mental health impacts of social isolation.</w:t>
      </w:r>
    </w:p>
    <w:p w14:paraId="45208A1A" w14:textId="53311756" w:rsidR="00404602" w:rsidRPr="00404602" w:rsidRDefault="00404602" w:rsidP="00404602">
      <w:pPr>
        <w:rPr>
          <w:color w:val="000000" w:themeColor="text1"/>
        </w:rPr>
      </w:pPr>
    </w:p>
    <w:tbl>
      <w:tblPr>
        <w:tblStyle w:val="TableGrid"/>
        <w:tblW w:w="0" w:type="auto"/>
        <w:tblLook w:val="04A0" w:firstRow="1" w:lastRow="0" w:firstColumn="1" w:lastColumn="0" w:noHBand="0" w:noVBand="1"/>
      </w:tblPr>
      <w:tblGrid>
        <w:gridCol w:w="9016"/>
      </w:tblGrid>
      <w:tr w:rsidR="00C613DF" w:rsidRPr="00404602" w14:paraId="7D7DC7AC" w14:textId="77777777">
        <w:tc>
          <w:tcPr>
            <w:tcW w:w="9016" w:type="dxa"/>
          </w:tcPr>
          <w:p w14:paraId="3514E40E" w14:textId="77777777" w:rsidR="00C613DF" w:rsidRPr="00404602" w:rsidRDefault="00C613DF" w:rsidP="00D75282">
            <w:pPr>
              <w:rPr>
                <w:b/>
                <w:bCs/>
                <w:color w:val="000000" w:themeColor="text1"/>
              </w:rPr>
            </w:pPr>
            <w:r w:rsidRPr="00404602">
              <w:rPr>
                <w:b/>
                <w:bCs/>
                <w:color w:val="000000" w:themeColor="text1"/>
              </w:rPr>
              <w:t>Table 1. Summary of Codes and Themes Identified in the Thematic Analysis</w:t>
            </w:r>
          </w:p>
        </w:tc>
      </w:tr>
      <w:tr w:rsidR="00C613DF" w:rsidRPr="00404602" w14:paraId="0D2BE9D4" w14:textId="77777777">
        <w:tc>
          <w:tcPr>
            <w:tcW w:w="9016" w:type="dxa"/>
          </w:tcPr>
          <w:tbl>
            <w:tblPr>
              <w:tblStyle w:val="GridTable6Colorful-Accent4"/>
              <w:tblW w:w="0" w:type="auto"/>
              <w:tblLook w:val="0420" w:firstRow="1" w:lastRow="0" w:firstColumn="0" w:lastColumn="0" w:noHBand="0" w:noVBand="1"/>
            </w:tblPr>
            <w:tblGrid>
              <w:gridCol w:w="2986"/>
              <w:gridCol w:w="3139"/>
              <w:gridCol w:w="2665"/>
            </w:tblGrid>
            <w:tr w:rsidR="00C613DF" w:rsidRPr="00C613DF" w14:paraId="60401304" w14:textId="77777777" w:rsidTr="00B82D77">
              <w:trPr>
                <w:cnfStyle w:val="100000000000" w:firstRow="1" w:lastRow="0" w:firstColumn="0" w:lastColumn="0" w:oddVBand="0" w:evenVBand="0" w:oddHBand="0" w:evenHBand="0" w:firstRowFirstColumn="0" w:firstRowLastColumn="0" w:lastRowFirstColumn="0" w:lastRowLastColumn="0"/>
              </w:trPr>
              <w:tc>
                <w:tcPr>
                  <w:tcW w:w="0" w:type="auto"/>
                  <w:hideMark/>
                </w:tcPr>
                <w:p w14:paraId="5D62197A" w14:textId="77777777" w:rsidR="00C613DF" w:rsidRPr="00404602" w:rsidRDefault="00C613DF" w:rsidP="00D75282">
                  <w:pPr>
                    <w:spacing w:after="160" w:line="278" w:lineRule="auto"/>
                    <w:rPr>
                      <w:color w:val="000000" w:themeColor="text1"/>
                    </w:rPr>
                  </w:pPr>
                  <w:r w:rsidRPr="00404602">
                    <w:rPr>
                      <w:color w:val="000000" w:themeColor="text1"/>
                    </w:rPr>
                    <w:t>Codes Identified</w:t>
                  </w:r>
                </w:p>
              </w:tc>
              <w:tc>
                <w:tcPr>
                  <w:tcW w:w="0" w:type="auto"/>
                  <w:hideMark/>
                </w:tcPr>
                <w:p w14:paraId="1778513D" w14:textId="77777777" w:rsidR="00C613DF" w:rsidRPr="00404602" w:rsidRDefault="00C613DF" w:rsidP="00D75282">
                  <w:pPr>
                    <w:spacing w:after="160" w:line="278" w:lineRule="auto"/>
                    <w:rPr>
                      <w:color w:val="000000" w:themeColor="text1"/>
                    </w:rPr>
                  </w:pPr>
                  <w:r w:rsidRPr="00404602">
                    <w:rPr>
                      <w:color w:val="000000" w:themeColor="text1"/>
                    </w:rPr>
                    <w:t>Description</w:t>
                  </w:r>
                </w:p>
              </w:tc>
              <w:tc>
                <w:tcPr>
                  <w:tcW w:w="0" w:type="auto"/>
                  <w:hideMark/>
                </w:tcPr>
                <w:p w14:paraId="7DD1448F" w14:textId="77777777" w:rsidR="00C613DF" w:rsidRPr="00404602" w:rsidRDefault="00C613DF" w:rsidP="00D75282">
                  <w:pPr>
                    <w:spacing w:after="160" w:line="278" w:lineRule="auto"/>
                    <w:rPr>
                      <w:color w:val="000000" w:themeColor="text1"/>
                    </w:rPr>
                  </w:pPr>
                  <w:r w:rsidRPr="00404602">
                    <w:rPr>
                      <w:color w:val="000000" w:themeColor="text1"/>
                    </w:rPr>
                    <w:t>Theme Contributed To</w:t>
                  </w:r>
                </w:p>
              </w:tc>
            </w:tr>
            <w:tr w:rsidR="00C613DF" w:rsidRPr="00C613DF" w14:paraId="4B304147" w14:textId="77777777" w:rsidTr="00B82D77">
              <w:trPr>
                <w:cnfStyle w:val="000000100000" w:firstRow="0" w:lastRow="0" w:firstColumn="0" w:lastColumn="0" w:oddVBand="0" w:evenVBand="0" w:oddHBand="1" w:evenHBand="0" w:firstRowFirstColumn="0" w:firstRowLastColumn="0" w:lastRowFirstColumn="0" w:lastRowLastColumn="0"/>
              </w:trPr>
              <w:tc>
                <w:tcPr>
                  <w:tcW w:w="0" w:type="auto"/>
                  <w:hideMark/>
                </w:tcPr>
                <w:p w14:paraId="15265E0B" w14:textId="77777777" w:rsidR="00C613DF" w:rsidRPr="00404602" w:rsidRDefault="00C613DF" w:rsidP="00D75282">
                  <w:pPr>
                    <w:spacing w:after="160" w:line="278" w:lineRule="auto"/>
                    <w:rPr>
                      <w:color w:val="000000" w:themeColor="text1"/>
                    </w:rPr>
                  </w:pPr>
                  <w:r w:rsidRPr="00404602">
                    <w:rPr>
                      <w:color w:val="000000" w:themeColor="text1"/>
                    </w:rPr>
                    <w:t>Depressive symptoms, anxiety, low mood</w:t>
                  </w:r>
                </w:p>
              </w:tc>
              <w:tc>
                <w:tcPr>
                  <w:tcW w:w="0" w:type="auto"/>
                  <w:hideMark/>
                </w:tcPr>
                <w:p w14:paraId="7BF27A73" w14:textId="77777777" w:rsidR="00C613DF" w:rsidRPr="00404602" w:rsidRDefault="00C613DF" w:rsidP="00D75282">
                  <w:pPr>
                    <w:spacing w:after="160" w:line="278" w:lineRule="auto"/>
                    <w:rPr>
                      <w:color w:val="000000" w:themeColor="text1"/>
                    </w:rPr>
                  </w:pPr>
                  <w:r w:rsidRPr="00404602">
                    <w:rPr>
                      <w:color w:val="000000" w:themeColor="text1"/>
                    </w:rPr>
                    <w:t>Emotional consequences of isolation</w:t>
                  </w:r>
                </w:p>
              </w:tc>
              <w:tc>
                <w:tcPr>
                  <w:tcW w:w="0" w:type="auto"/>
                  <w:hideMark/>
                </w:tcPr>
                <w:p w14:paraId="20507F4C" w14:textId="77777777" w:rsidR="00C613DF" w:rsidRPr="00404602" w:rsidRDefault="00C613DF" w:rsidP="00D75282">
                  <w:pPr>
                    <w:spacing w:after="160" w:line="278" w:lineRule="auto"/>
                    <w:rPr>
                      <w:color w:val="000000" w:themeColor="text1"/>
                    </w:rPr>
                  </w:pPr>
                  <w:r w:rsidRPr="00404602">
                    <w:rPr>
                      <w:color w:val="000000" w:themeColor="text1"/>
                    </w:rPr>
                    <w:t>Emotional and Psychological Impact</w:t>
                  </w:r>
                </w:p>
              </w:tc>
            </w:tr>
            <w:tr w:rsidR="00C613DF" w:rsidRPr="00C613DF" w14:paraId="44235815" w14:textId="77777777" w:rsidTr="00B82D77">
              <w:tc>
                <w:tcPr>
                  <w:tcW w:w="0" w:type="auto"/>
                  <w:hideMark/>
                </w:tcPr>
                <w:p w14:paraId="15452340" w14:textId="77777777" w:rsidR="00C613DF" w:rsidRPr="00404602" w:rsidRDefault="00C613DF" w:rsidP="00D75282">
                  <w:pPr>
                    <w:spacing w:after="160" w:line="278" w:lineRule="auto"/>
                    <w:rPr>
                      <w:color w:val="000000" w:themeColor="text1"/>
                    </w:rPr>
                  </w:pPr>
                  <w:r w:rsidRPr="00404602">
                    <w:rPr>
                      <w:color w:val="000000" w:themeColor="text1"/>
                    </w:rPr>
                    <w:t>Loss of purpose, reduced life satisfaction</w:t>
                  </w:r>
                </w:p>
              </w:tc>
              <w:tc>
                <w:tcPr>
                  <w:tcW w:w="0" w:type="auto"/>
                  <w:hideMark/>
                </w:tcPr>
                <w:p w14:paraId="18661BA7" w14:textId="77777777" w:rsidR="00C613DF" w:rsidRPr="00404602" w:rsidRDefault="00C613DF" w:rsidP="00D75282">
                  <w:pPr>
                    <w:spacing w:after="160" w:line="278" w:lineRule="auto"/>
                    <w:rPr>
                      <w:color w:val="000000" w:themeColor="text1"/>
                    </w:rPr>
                  </w:pPr>
                  <w:r w:rsidRPr="00404602">
                    <w:rPr>
                      <w:color w:val="000000" w:themeColor="text1"/>
                    </w:rPr>
                    <w:t>Diminished wellbeing linked to isolation</w:t>
                  </w:r>
                </w:p>
              </w:tc>
              <w:tc>
                <w:tcPr>
                  <w:tcW w:w="0" w:type="auto"/>
                  <w:hideMark/>
                </w:tcPr>
                <w:p w14:paraId="203FA17F" w14:textId="77777777" w:rsidR="00C613DF" w:rsidRPr="00404602" w:rsidRDefault="00C613DF" w:rsidP="00D75282">
                  <w:pPr>
                    <w:spacing w:after="160" w:line="278" w:lineRule="auto"/>
                    <w:rPr>
                      <w:color w:val="000000" w:themeColor="text1"/>
                    </w:rPr>
                  </w:pPr>
                  <w:r w:rsidRPr="00404602">
                    <w:rPr>
                      <w:color w:val="000000" w:themeColor="text1"/>
                    </w:rPr>
                    <w:t>Emotional and Psychological Impact</w:t>
                  </w:r>
                </w:p>
              </w:tc>
            </w:tr>
            <w:tr w:rsidR="00C613DF" w:rsidRPr="00C613DF" w14:paraId="66DE08DA" w14:textId="77777777" w:rsidTr="00B82D77">
              <w:trPr>
                <w:cnfStyle w:val="000000100000" w:firstRow="0" w:lastRow="0" w:firstColumn="0" w:lastColumn="0" w:oddVBand="0" w:evenVBand="0" w:oddHBand="1" w:evenHBand="0" w:firstRowFirstColumn="0" w:firstRowLastColumn="0" w:lastRowFirstColumn="0" w:lastRowLastColumn="0"/>
              </w:trPr>
              <w:tc>
                <w:tcPr>
                  <w:tcW w:w="0" w:type="auto"/>
                  <w:hideMark/>
                </w:tcPr>
                <w:p w14:paraId="1AF6FA65" w14:textId="77777777" w:rsidR="00C613DF" w:rsidRPr="00404602" w:rsidRDefault="00C613DF" w:rsidP="00D75282">
                  <w:pPr>
                    <w:spacing w:after="160" w:line="278" w:lineRule="auto"/>
                    <w:rPr>
                      <w:color w:val="000000" w:themeColor="text1"/>
                    </w:rPr>
                  </w:pPr>
                  <w:r w:rsidRPr="00404602">
                    <w:rPr>
                      <w:color w:val="000000" w:themeColor="text1"/>
                    </w:rPr>
                    <w:t>Mobility limitations, bereavement</w:t>
                  </w:r>
                </w:p>
              </w:tc>
              <w:tc>
                <w:tcPr>
                  <w:tcW w:w="0" w:type="auto"/>
                  <w:hideMark/>
                </w:tcPr>
                <w:p w14:paraId="0FF0A33A" w14:textId="77777777" w:rsidR="00C613DF" w:rsidRPr="00404602" w:rsidRDefault="00C613DF" w:rsidP="00D75282">
                  <w:pPr>
                    <w:spacing w:after="160" w:line="278" w:lineRule="auto"/>
                    <w:rPr>
                      <w:color w:val="000000" w:themeColor="text1"/>
                    </w:rPr>
                  </w:pPr>
                  <w:r w:rsidRPr="00404602">
                    <w:rPr>
                      <w:color w:val="000000" w:themeColor="text1"/>
                    </w:rPr>
                    <w:t>Personal barriers to social contact</w:t>
                  </w:r>
                </w:p>
              </w:tc>
              <w:tc>
                <w:tcPr>
                  <w:tcW w:w="0" w:type="auto"/>
                  <w:hideMark/>
                </w:tcPr>
                <w:p w14:paraId="1DB293D5" w14:textId="77777777" w:rsidR="00C613DF" w:rsidRPr="00404602" w:rsidRDefault="00C613DF" w:rsidP="00D75282">
                  <w:pPr>
                    <w:spacing w:after="160" w:line="278" w:lineRule="auto"/>
                    <w:rPr>
                      <w:color w:val="000000" w:themeColor="text1"/>
                    </w:rPr>
                  </w:pPr>
                  <w:r w:rsidRPr="00404602">
                    <w:rPr>
                      <w:color w:val="000000" w:themeColor="text1"/>
                    </w:rPr>
                    <w:t>Barriers to Social Participation</w:t>
                  </w:r>
                </w:p>
              </w:tc>
            </w:tr>
            <w:tr w:rsidR="00C613DF" w:rsidRPr="00C613DF" w14:paraId="29F6BA1F" w14:textId="77777777" w:rsidTr="00B82D77">
              <w:tc>
                <w:tcPr>
                  <w:tcW w:w="0" w:type="auto"/>
                  <w:hideMark/>
                </w:tcPr>
                <w:p w14:paraId="6F066F0E" w14:textId="77777777" w:rsidR="00C613DF" w:rsidRPr="00404602" w:rsidRDefault="00C613DF" w:rsidP="00D75282">
                  <w:pPr>
                    <w:spacing w:after="160" w:line="278" w:lineRule="auto"/>
                    <w:rPr>
                      <w:color w:val="000000" w:themeColor="text1"/>
                    </w:rPr>
                  </w:pPr>
                  <w:r w:rsidRPr="00404602">
                    <w:rPr>
                      <w:color w:val="000000" w:themeColor="text1"/>
                    </w:rPr>
                    <w:t>Transport difficulties, inaccessible services</w:t>
                  </w:r>
                </w:p>
              </w:tc>
              <w:tc>
                <w:tcPr>
                  <w:tcW w:w="0" w:type="auto"/>
                  <w:hideMark/>
                </w:tcPr>
                <w:p w14:paraId="64DF6073" w14:textId="77777777" w:rsidR="00C613DF" w:rsidRPr="00404602" w:rsidRDefault="00C613DF" w:rsidP="00D75282">
                  <w:pPr>
                    <w:spacing w:after="160" w:line="278" w:lineRule="auto"/>
                    <w:rPr>
                      <w:color w:val="000000" w:themeColor="text1"/>
                    </w:rPr>
                  </w:pPr>
                  <w:r w:rsidRPr="00404602">
                    <w:rPr>
                      <w:color w:val="000000" w:themeColor="text1"/>
                    </w:rPr>
                    <w:t>Structural barriers to engagement</w:t>
                  </w:r>
                </w:p>
              </w:tc>
              <w:tc>
                <w:tcPr>
                  <w:tcW w:w="0" w:type="auto"/>
                  <w:hideMark/>
                </w:tcPr>
                <w:p w14:paraId="6883F910" w14:textId="77777777" w:rsidR="00C613DF" w:rsidRPr="00404602" w:rsidRDefault="00C613DF" w:rsidP="00D75282">
                  <w:pPr>
                    <w:spacing w:after="160" w:line="278" w:lineRule="auto"/>
                    <w:rPr>
                      <w:color w:val="000000" w:themeColor="text1"/>
                    </w:rPr>
                  </w:pPr>
                  <w:r w:rsidRPr="00404602">
                    <w:rPr>
                      <w:color w:val="000000" w:themeColor="text1"/>
                    </w:rPr>
                    <w:t>Barriers to Social Participation</w:t>
                  </w:r>
                </w:p>
              </w:tc>
            </w:tr>
            <w:tr w:rsidR="00C613DF" w:rsidRPr="00C613DF" w14:paraId="19B025B8" w14:textId="77777777" w:rsidTr="00B82D77">
              <w:trPr>
                <w:cnfStyle w:val="000000100000" w:firstRow="0" w:lastRow="0" w:firstColumn="0" w:lastColumn="0" w:oddVBand="0" w:evenVBand="0" w:oddHBand="1" w:evenHBand="0" w:firstRowFirstColumn="0" w:firstRowLastColumn="0" w:lastRowFirstColumn="0" w:lastRowLastColumn="0"/>
              </w:trPr>
              <w:tc>
                <w:tcPr>
                  <w:tcW w:w="0" w:type="auto"/>
                  <w:hideMark/>
                </w:tcPr>
                <w:p w14:paraId="794F12E5" w14:textId="77777777" w:rsidR="00C613DF" w:rsidRPr="00404602" w:rsidRDefault="00C613DF" w:rsidP="00D75282">
                  <w:pPr>
                    <w:spacing w:after="160" w:line="278" w:lineRule="auto"/>
                    <w:rPr>
                      <w:color w:val="000000" w:themeColor="text1"/>
                    </w:rPr>
                  </w:pPr>
                  <w:r w:rsidRPr="00404602">
                    <w:rPr>
                      <w:color w:val="000000" w:themeColor="text1"/>
                    </w:rPr>
                    <w:t>Community programmes, group activities</w:t>
                  </w:r>
                </w:p>
              </w:tc>
              <w:tc>
                <w:tcPr>
                  <w:tcW w:w="0" w:type="auto"/>
                  <w:hideMark/>
                </w:tcPr>
                <w:p w14:paraId="6994E103" w14:textId="77777777" w:rsidR="00C613DF" w:rsidRPr="00404602" w:rsidRDefault="00C613DF" w:rsidP="00D75282">
                  <w:pPr>
                    <w:spacing w:after="160" w:line="278" w:lineRule="auto"/>
                    <w:rPr>
                      <w:color w:val="000000" w:themeColor="text1"/>
                    </w:rPr>
                  </w:pPr>
                  <w:r w:rsidRPr="00404602">
                    <w:rPr>
                      <w:color w:val="000000" w:themeColor="text1"/>
                    </w:rPr>
                    <w:t>Social interventions supporting wellbeing</w:t>
                  </w:r>
                </w:p>
              </w:tc>
              <w:tc>
                <w:tcPr>
                  <w:tcW w:w="0" w:type="auto"/>
                  <w:hideMark/>
                </w:tcPr>
                <w:p w14:paraId="0F8919D1" w14:textId="77777777" w:rsidR="00C613DF" w:rsidRPr="00404602" w:rsidRDefault="00C613DF" w:rsidP="00D75282">
                  <w:pPr>
                    <w:spacing w:after="160" w:line="278" w:lineRule="auto"/>
                    <w:rPr>
                      <w:color w:val="000000" w:themeColor="text1"/>
                    </w:rPr>
                  </w:pPr>
                  <w:r w:rsidRPr="00404602">
                    <w:rPr>
                      <w:color w:val="000000" w:themeColor="text1"/>
                    </w:rPr>
                    <w:t>Protective Factors and Interventions</w:t>
                  </w:r>
                </w:p>
              </w:tc>
            </w:tr>
            <w:tr w:rsidR="00C613DF" w:rsidRPr="00C613DF" w14:paraId="04F85683" w14:textId="77777777" w:rsidTr="00B82D77">
              <w:tc>
                <w:tcPr>
                  <w:tcW w:w="0" w:type="auto"/>
                  <w:hideMark/>
                </w:tcPr>
                <w:p w14:paraId="15A3BF91" w14:textId="77777777" w:rsidR="00C613DF" w:rsidRPr="00404602" w:rsidRDefault="00C613DF" w:rsidP="00D75282">
                  <w:pPr>
                    <w:spacing w:after="160" w:line="278" w:lineRule="auto"/>
                    <w:rPr>
                      <w:color w:val="000000" w:themeColor="text1"/>
                    </w:rPr>
                  </w:pPr>
                  <w:r w:rsidRPr="00404602">
                    <w:rPr>
                      <w:color w:val="000000" w:themeColor="text1"/>
                    </w:rPr>
                    <w:lastRenderedPageBreak/>
                    <w:t>Befriending services, psychological support</w:t>
                  </w:r>
                </w:p>
              </w:tc>
              <w:tc>
                <w:tcPr>
                  <w:tcW w:w="0" w:type="auto"/>
                  <w:hideMark/>
                </w:tcPr>
                <w:p w14:paraId="45F8C83C" w14:textId="77777777" w:rsidR="00C613DF" w:rsidRPr="00404602" w:rsidRDefault="00C613DF" w:rsidP="00D75282">
                  <w:pPr>
                    <w:spacing w:after="160" w:line="278" w:lineRule="auto"/>
                    <w:rPr>
                      <w:color w:val="000000" w:themeColor="text1"/>
                    </w:rPr>
                  </w:pPr>
                  <w:r w:rsidRPr="00404602">
                    <w:rPr>
                      <w:color w:val="000000" w:themeColor="text1"/>
                    </w:rPr>
                    <w:t>One</w:t>
                  </w:r>
                  <w:r w:rsidRPr="00404602">
                    <w:rPr>
                      <w:color w:val="000000" w:themeColor="text1"/>
                    </w:rPr>
                    <w:noBreakHyphen/>
                    <w:t>to</w:t>
                  </w:r>
                  <w:r w:rsidRPr="00404602">
                    <w:rPr>
                      <w:color w:val="000000" w:themeColor="text1"/>
                    </w:rPr>
                    <w:noBreakHyphen/>
                    <w:t>one and therapeutic support</w:t>
                  </w:r>
                </w:p>
              </w:tc>
              <w:tc>
                <w:tcPr>
                  <w:tcW w:w="0" w:type="auto"/>
                  <w:hideMark/>
                </w:tcPr>
                <w:p w14:paraId="7426863A" w14:textId="77777777" w:rsidR="00C613DF" w:rsidRPr="00404602" w:rsidRDefault="00C613DF" w:rsidP="00D75282">
                  <w:pPr>
                    <w:spacing w:after="160" w:line="278" w:lineRule="auto"/>
                    <w:rPr>
                      <w:color w:val="000000" w:themeColor="text1"/>
                    </w:rPr>
                  </w:pPr>
                  <w:r w:rsidRPr="00404602">
                    <w:rPr>
                      <w:color w:val="000000" w:themeColor="text1"/>
                    </w:rPr>
                    <w:t>Protective Factors and Interventions</w:t>
                  </w:r>
                </w:p>
              </w:tc>
            </w:tr>
            <w:tr w:rsidR="00C613DF" w:rsidRPr="00C613DF" w14:paraId="38457315" w14:textId="77777777" w:rsidTr="00B82D77">
              <w:trPr>
                <w:cnfStyle w:val="000000100000" w:firstRow="0" w:lastRow="0" w:firstColumn="0" w:lastColumn="0" w:oddVBand="0" w:evenVBand="0" w:oddHBand="1" w:evenHBand="0" w:firstRowFirstColumn="0" w:firstRowLastColumn="0" w:lastRowFirstColumn="0" w:lastRowLastColumn="0"/>
              </w:trPr>
              <w:tc>
                <w:tcPr>
                  <w:tcW w:w="0" w:type="auto"/>
                  <w:hideMark/>
                </w:tcPr>
                <w:p w14:paraId="461B8162" w14:textId="77777777" w:rsidR="00C613DF" w:rsidRPr="00404602" w:rsidRDefault="00C613DF" w:rsidP="00D75282">
                  <w:pPr>
                    <w:spacing w:after="160" w:line="278" w:lineRule="auto"/>
                    <w:rPr>
                      <w:color w:val="000000" w:themeColor="text1"/>
                    </w:rPr>
                  </w:pPr>
                  <w:r w:rsidRPr="00404602">
                    <w:rPr>
                      <w:color w:val="000000" w:themeColor="text1"/>
                    </w:rPr>
                    <w:t>Digital inclusion, video</w:t>
                  </w:r>
                  <w:r w:rsidRPr="00404602">
                    <w:rPr>
                      <w:color w:val="000000" w:themeColor="text1"/>
                    </w:rPr>
                    <w:noBreakHyphen/>
                    <w:t>calling</w:t>
                  </w:r>
                </w:p>
              </w:tc>
              <w:tc>
                <w:tcPr>
                  <w:tcW w:w="0" w:type="auto"/>
                  <w:hideMark/>
                </w:tcPr>
                <w:p w14:paraId="283F635F" w14:textId="77777777" w:rsidR="00C613DF" w:rsidRPr="00404602" w:rsidRDefault="00C613DF" w:rsidP="00D75282">
                  <w:pPr>
                    <w:spacing w:after="160" w:line="278" w:lineRule="auto"/>
                    <w:rPr>
                      <w:color w:val="000000" w:themeColor="text1"/>
                    </w:rPr>
                  </w:pPr>
                  <w:r w:rsidRPr="00404602">
                    <w:rPr>
                      <w:color w:val="000000" w:themeColor="text1"/>
                    </w:rPr>
                    <w:t>Technology</w:t>
                  </w:r>
                  <w:r w:rsidRPr="00404602">
                    <w:rPr>
                      <w:color w:val="000000" w:themeColor="text1"/>
                    </w:rPr>
                    <w:noBreakHyphen/>
                    <w:t>based solutions to isolation</w:t>
                  </w:r>
                </w:p>
              </w:tc>
              <w:tc>
                <w:tcPr>
                  <w:tcW w:w="0" w:type="auto"/>
                  <w:hideMark/>
                </w:tcPr>
                <w:p w14:paraId="22D3F407" w14:textId="77777777" w:rsidR="00C613DF" w:rsidRPr="00404602" w:rsidRDefault="00C613DF" w:rsidP="00D75282">
                  <w:pPr>
                    <w:spacing w:after="160" w:line="278" w:lineRule="auto"/>
                    <w:rPr>
                      <w:color w:val="000000" w:themeColor="text1"/>
                    </w:rPr>
                  </w:pPr>
                  <w:r w:rsidRPr="00404602">
                    <w:rPr>
                      <w:color w:val="000000" w:themeColor="text1"/>
                    </w:rPr>
                    <w:t>Protective Factors and Interventions</w:t>
                  </w:r>
                </w:p>
              </w:tc>
            </w:tr>
          </w:tbl>
          <w:p w14:paraId="5B5CAB7E" w14:textId="77777777" w:rsidR="00C613DF" w:rsidRPr="00404602" w:rsidRDefault="00C613DF" w:rsidP="00404602">
            <w:pPr>
              <w:rPr>
                <w:color w:val="000000" w:themeColor="text1"/>
              </w:rPr>
            </w:pPr>
            <w:r w:rsidRPr="00404602">
              <w:rPr>
                <w:i/>
                <w:iCs/>
                <w:color w:val="000000" w:themeColor="text1"/>
              </w:rPr>
              <w:t>Table summarises the key codes identified across the included studies and shows how these codes informed the development of the three overarching themes.</w:t>
            </w:r>
          </w:p>
        </w:tc>
      </w:tr>
    </w:tbl>
    <w:p w14:paraId="5DC37617" w14:textId="6CA94246" w:rsidR="00404602" w:rsidRPr="00404602" w:rsidRDefault="00404602" w:rsidP="00404602">
      <w:pPr>
        <w:rPr>
          <w:color w:val="000000" w:themeColor="text1"/>
        </w:rPr>
      </w:pPr>
    </w:p>
    <w:p w14:paraId="2E962EFE" w14:textId="77777777" w:rsidR="00404602" w:rsidRPr="00404602" w:rsidRDefault="00404602" w:rsidP="00404602">
      <w:pPr>
        <w:rPr>
          <w:b/>
          <w:bCs/>
          <w:color w:val="000000" w:themeColor="text1"/>
        </w:rPr>
      </w:pPr>
      <w:r w:rsidRPr="00404602">
        <w:rPr>
          <w:b/>
          <w:bCs/>
          <w:color w:val="000000" w:themeColor="text1"/>
        </w:rPr>
        <w:t>Summary of Findings</w:t>
      </w:r>
    </w:p>
    <w:p w14:paraId="1C68C7DC" w14:textId="4021766D" w:rsidR="00BE7A4F" w:rsidRPr="00B82D77" w:rsidRDefault="00404602" w:rsidP="00404602">
      <w:pPr>
        <w:rPr>
          <w:color w:val="0F4761" w:themeColor="accent1" w:themeShade="BF"/>
        </w:rPr>
      </w:pPr>
      <w:r w:rsidRPr="00404602">
        <w:rPr>
          <w:color w:val="000000" w:themeColor="text1"/>
        </w:rPr>
        <w:t>The thematic analysis revealed that social isolation has a profound impact on the mental wellbeing of older adults living alone in the UK. Emotional distress, structural and personal barriers to social participation, and the importance of supportive interventions were consistently highlighted across the literature. The findings demonstrate that social isolation is not only an individual experience but also a systemic issue shaped by health, social care, and community environments. The themes identified provide a foundation for understanding the multifaceted nature of isolation and highlight the need for integrated, person</w:t>
      </w:r>
      <w:r w:rsidRPr="00404602">
        <w:rPr>
          <w:color w:val="000000" w:themeColor="text1"/>
        </w:rPr>
        <w:noBreakHyphen/>
        <w:t>centred approaches to support older adults’ mental wellbeing.</w:t>
      </w:r>
    </w:p>
    <w:p w14:paraId="07916B86" w14:textId="52C9F8AB" w:rsidR="006303F2" w:rsidRDefault="006303F2" w:rsidP="006303F2">
      <w:pPr>
        <w:ind w:left="720"/>
        <w:jc w:val="center"/>
        <w:rPr>
          <w:rFonts w:ascii="Algerian" w:hAnsi="Algerian"/>
          <w:color w:val="0F4761" w:themeColor="accent1" w:themeShade="BF"/>
          <w:sz w:val="40"/>
          <w:szCs w:val="40"/>
          <w:u w:val="single"/>
        </w:rPr>
      </w:pPr>
      <w:r w:rsidRPr="00DC1A27">
        <w:rPr>
          <w:rFonts w:ascii="Algerian" w:hAnsi="Algerian"/>
          <w:color w:val="0F4761" w:themeColor="accent1" w:themeShade="BF"/>
          <w:sz w:val="40"/>
          <w:szCs w:val="40"/>
          <w:u w:val="single"/>
        </w:rPr>
        <w:t>Discussion</w:t>
      </w:r>
    </w:p>
    <w:p w14:paraId="3A701550" w14:textId="3D896BB7" w:rsidR="00CC04C2" w:rsidRDefault="00CC04C2" w:rsidP="00CC04C2">
      <w:pPr>
        <w:rPr>
          <w:color w:val="000000" w:themeColor="text1"/>
        </w:rPr>
      </w:pPr>
      <w:r w:rsidRPr="00CC04C2">
        <w:rPr>
          <w:color w:val="000000" w:themeColor="text1"/>
        </w:rPr>
        <w:t xml:space="preserve">This scoping review explored how social isolation affects the mental wellbeing of older adults living alone in the United Kingdom. The thematic analysis generated three key themes: </w:t>
      </w:r>
      <w:r w:rsidRPr="00CC04C2">
        <w:rPr>
          <w:b/>
          <w:bCs/>
          <w:color w:val="000000" w:themeColor="text1"/>
        </w:rPr>
        <w:t>Emotional and Psychological Impact</w:t>
      </w:r>
      <w:r w:rsidRPr="00CC04C2">
        <w:rPr>
          <w:color w:val="000000" w:themeColor="text1"/>
        </w:rPr>
        <w:t xml:space="preserve">, </w:t>
      </w:r>
      <w:r w:rsidRPr="00CC04C2">
        <w:rPr>
          <w:b/>
          <w:bCs/>
          <w:color w:val="000000" w:themeColor="text1"/>
        </w:rPr>
        <w:t>Barriers to Social Participation</w:t>
      </w:r>
      <w:r w:rsidRPr="00CC04C2">
        <w:rPr>
          <w:color w:val="000000" w:themeColor="text1"/>
        </w:rPr>
        <w:t xml:space="preserve">, and </w:t>
      </w:r>
      <w:r w:rsidRPr="00CC04C2">
        <w:rPr>
          <w:b/>
          <w:bCs/>
          <w:color w:val="000000" w:themeColor="text1"/>
        </w:rPr>
        <w:t>Protective Factors and Supportive Interventions</w:t>
      </w:r>
      <w:r w:rsidRPr="00CC04C2">
        <w:rPr>
          <w:color w:val="000000" w:themeColor="text1"/>
        </w:rPr>
        <w:t>. This chapter discusses these themes in depth, identifies patterns and contradictions across the literature, and critically evaluates the strengths and limitations of the reviewed studies. The discussion also links the findings back to the review objectives outlined in the introduction.</w:t>
      </w:r>
    </w:p>
    <w:p w14:paraId="0C3675A6" w14:textId="77777777" w:rsidR="00CC04C2" w:rsidRPr="00CC04C2" w:rsidRDefault="00CC04C2" w:rsidP="00CC04C2">
      <w:pPr>
        <w:rPr>
          <w:color w:val="000000" w:themeColor="text1"/>
        </w:rPr>
      </w:pPr>
    </w:p>
    <w:p w14:paraId="78EE63AB" w14:textId="77777777" w:rsidR="00CC04C2" w:rsidRPr="00CC04C2" w:rsidRDefault="00CC04C2" w:rsidP="00CC04C2">
      <w:pPr>
        <w:rPr>
          <w:b/>
          <w:bCs/>
          <w:color w:val="000000" w:themeColor="text1"/>
        </w:rPr>
      </w:pPr>
      <w:r w:rsidRPr="00CC04C2">
        <w:rPr>
          <w:b/>
          <w:bCs/>
          <w:color w:val="000000" w:themeColor="text1"/>
        </w:rPr>
        <w:t>Emotional and Psychological Impact of Social Isolation</w:t>
      </w:r>
    </w:p>
    <w:p w14:paraId="6C728D81" w14:textId="77777777" w:rsidR="00CC04C2" w:rsidRPr="00CC04C2" w:rsidRDefault="00CC04C2" w:rsidP="00CC04C2">
      <w:pPr>
        <w:rPr>
          <w:color w:val="000000" w:themeColor="text1"/>
        </w:rPr>
      </w:pPr>
      <w:r w:rsidRPr="00CC04C2">
        <w:rPr>
          <w:color w:val="000000" w:themeColor="text1"/>
        </w:rPr>
        <w:t>The first theme highlights the profound emotional and psychological consequences of social isolation for older adults living alone. Studies consistently reported associations between isolation and increased depressive symptoms, anxiety, and reduced life satisfaction (Victor et al., 2021; Gardiner et al., 2018). Holt-Lunstad et al. (2015) further demonstrated that social isolation is a significant risk factor for mental health decline, reinforcing the severity of its impact.</w:t>
      </w:r>
    </w:p>
    <w:p w14:paraId="01AB8DC5" w14:textId="77777777" w:rsidR="00CC04C2" w:rsidRPr="00CC04C2" w:rsidRDefault="00CC04C2" w:rsidP="00CC04C2">
      <w:pPr>
        <w:rPr>
          <w:color w:val="000000" w:themeColor="text1"/>
        </w:rPr>
      </w:pPr>
      <w:r w:rsidRPr="00CC04C2">
        <w:rPr>
          <w:color w:val="000000" w:themeColor="text1"/>
        </w:rPr>
        <w:t xml:space="preserve">This theme directly addresses the review objective of examining mental wellbeing outcomes associated with social isolation. The consistency of findings across </w:t>
      </w:r>
      <w:r w:rsidRPr="00CC04C2">
        <w:rPr>
          <w:color w:val="000000" w:themeColor="text1"/>
        </w:rPr>
        <w:lastRenderedPageBreak/>
        <w:t>qualitative and quantitative studies strengthens the evidence base, suggesting that emotional distress is a central and well</w:t>
      </w:r>
      <w:r w:rsidRPr="00CC04C2">
        <w:rPr>
          <w:color w:val="000000" w:themeColor="text1"/>
        </w:rPr>
        <w:noBreakHyphen/>
        <w:t>established consequence of isolation in later life.</w:t>
      </w:r>
    </w:p>
    <w:p w14:paraId="6801DD88" w14:textId="5F042B8F" w:rsidR="00CC04C2" w:rsidRDefault="00CC04C2" w:rsidP="00CC04C2">
      <w:pPr>
        <w:rPr>
          <w:color w:val="000000" w:themeColor="text1"/>
        </w:rPr>
      </w:pPr>
      <w:r w:rsidRPr="00CC04C2">
        <w:rPr>
          <w:color w:val="000000" w:themeColor="text1"/>
        </w:rPr>
        <w:t>However, a key limitation is that most studies used cross</w:t>
      </w:r>
      <w:r w:rsidRPr="00CC04C2">
        <w:rPr>
          <w:color w:val="000000" w:themeColor="text1"/>
        </w:rPr>
        <w:noBreakHyphen/>
        <w:t>sectional designs, which restrict causal interpretation. While isolation is linked to poorer mental wellbeing, it is equally plausible that pre</w:t>
      </w:r>
      <w:r w:rsidRPr="00CC04C2">
        <w:rPr>
          <w:color w:val="000000" w:themeColor="text1"/>
        </w:rPr>
        <w:noBreakHyphen/>
        <w:t>existing mental health difficulties contribute to withdrawal and reduced social contact. This bidirectional relationship remains underexplored, representing a gap in the literature.</w:t>
      </w:r>
    </w:p>
    <w:p w14:paraId="544C9597" w14:textId="77777777" w:rsidR="00CC04C2" w:rsidRPr="00CC04C2" w:rsidRDefault="00CC04C2" w:rsidP="00CC04C2">
      <w:pPr>
        <w:rPr>
          <w:color w:val="000000" w:themeColor="text1"/>
        </w:rPr>
      </w:pPr>
    </w:p>
    <w:p w14:paraId="2A9C8A04" w14:textId="77777777" w:rsidR="00CC04C2" w:rsidRPr="00CC04C2" w:rsidRDefault="00CC04C2" w:rsidP="00CC04C2">
      <w:pPr>
        <w:rPr>
          <w:b/>
          <w:bCs/>
          <w:color w:val="000000" w:themeColor="text1"/>
        </w:rPr>
      </w:pPr>
      <w:r w:rsidRPr="00CC04C2">
        <w:rPr>
          <w:b/>
          <w:bCs/>
          <w:color w:val="000000" w:themeColor="text1"/>
        </w:rPr>
        <w:t>Barriers to Social Participation and Connectedness</w:t>
      </w:r>
    </w:p>
    <w:p w14:paraId="52678C9A" w14:textId="77777777" w:rsidR="00CC04C2" w:rsidRPr="00CC04C2" w:rsidRDefault="00CC04C2" w:rsidP="00CC04C2">
      <w:pPr>
        <w:rPr>
          <w:color w:val="000000" w:themeColor="text1"/>
        </w:rPr>
      </w:pPr>
      <w:r w:rsidRPr="00CC04C2">
        <w:rPr>
          <w:color w:val="000000" w:themeColor="text1"/>
        </w:rPr>
        <w:t>The second theme identifies the structural and personal barriers that limit older adults’ ability to maintain social relationships. Kharicha et al. (2018) found that bereavement, mobility limitations, and fear of burdening others were significant personal barriers, while Fakoya et al. (2020) highlighted environmental barriers such as inaccessible community spaces and limited transport options.</w:t>
      </w:r>
    </w:p>
    <w:p w14:paraId="6989BEEB" w14:textId="77777777" w:rsidR="00CC04C2" w:rsidRPr="00CC04C2" w:rsidRDefault="00CC04C2" w:rsidP="00CC04C2">
      <w:pPr>
        <w:rPr>
          <w:color w:val="000000" w:themeColor="text1"/>
        </w:rPr>
      </w:pPr>
      <w:r w:rsidRPr="00CC04C2">
        <w:rPr>
          <w:color w:val="000000" w:themeColor="text1"/>
        </w:rPr>
        <w:t xml:space="preserve">This theme aligns with the review objective of identifying contextual influences that shape the impact of social isolation. A clear pattern across studies is that these barriers often </w:t>
      </w:r>
      <w:proofErr w:type="gramStart"/>
      <w:r w:rsidRPr="00CC04C2">
        <w:rPr>
          <w:color w:val="000000" w:themeColor="text1"/>
        </w:rPr>
        <w:t>interact:</w:t>
      </w:r>
      <w:proofErr w:type="gramEnd"/>
      <w:r w:rsidRPr="00CC04C2">
        <w:rPr>
          <w:color w:val="000000" w:themeColor="text1"/>
        </w:rPr>
        <w:t xml:space="preserve"> for example, mobility limitations reduce access to community activities, which in turn increases loneliness and emotional distress.</w:t>
      </w:r>
    </w:p>
    <w:p w14:paraId="646E2871" w14:textId="77777777" w:rsidR="00CC04C2" w:rsidRPr="00CC04C2" w:rsidRDefault="00CC04C2" w:rsidP="00CC04C2">
      <w:pPr>
        <w:rPr>
          <w:color w:val="000000" w:themeColor="text1"/>
        </w:rPr>
      </w:pPr>
      <w:r w:rsidRPr="00CC04C2">
        <w:rPr>
          <w:color w:val="000000" w:themeColor="text1"/>
        </w:rPr>
        <w:t>Contradictions arise in how older adults are portrayed. Some studies emphasise resilience and coping strategies, while others describe feelings of helplessness and resignation. These differences may reflect variations in sample characteristics, such as socioeconomic status or health conditions, which were not consistently controlled for.</w:t>
      </w:r>
    </w:p>
    <w:p w14:paraId="7112668B" w14:textId="77777777" w:rsidR="00CC04C2" w:rsidRPr="00CC04C2" w:rsidRDefault="00CC04C2" w:rsidP="00CC04C2">
      <w:pPr>
        <w:rPr>
          <w:color w:val="000000" w:themeColor="text1"/>
        </w:rPr>
      </w:pPr>
      <w:r w:rsidRPr="00CC04C2">
        <w:rPr>
          <w:color w:val="000000" w:themeColor="text1"/>
        </w:rPr>
        <w:t>A notable gap is the limited representation of diverse populations. Most studies focus on relatively homogenous samples, often excluding minority ethnic groups, LGBTQ+ older adults, or individuals with cognitive impairments. This limits the generalisability of findings and highlights the need for more inclusive research.</w:t>
      </w:r>
    </w:p>
    <w:p w14:paraId="69F4C71F" w14:textId="1913B15A" w:rsidR="00CC04C2" w:rsidRPr="00CC04C2" w:rsidRDefault="00CC04C2" w:rsidP="00CC04C2">
      <w:pPr>
        <w:rPr>
          <w:color w:val="000000" w:themeColor="text1"/>
        </w:rPr>
      </w:pPr>
    </w:p>
    <w:p w14:paraId="6E87EE5D" w14:textId="77777777" w:rsidR="00CC04C2" w:rsidRPr="00CC04C2" w:rsidRDefault="00CC04C2" w:rsidP="00CC04C2">
      <w:pPr>
        <w:rPr>
          <w:b/>
          <w:bCs/>
          <w:color w:val="000000" w:themeColor="text1"/>
        </w:rPr>
      </w:pPr>
      <w:r w:rsidRPr="00CC04C2">
        <w:rPr>
          <w:b/>
          <w:bCs/>
          <w:color w:val="000000" w:themeColor="text1"/>
        </w:rPr>
        <w:t>Protective Factors and Supportive Interventions</w:t>
      </w:r>
    </w:p>
    <w:p w14:paraId="6FD05A85" w14:textId="77777777" w:rsidR="00CC04C2" w:rsidRPr="00CC04C2" w:rsidRDefault="00CC04C2" w:rsidP="00CC04C2">
      <w:pPr>
        <w:rPr>
          <w:color w:val="000000" w:themeColor="text1"/>
        </w:rPr>
      </w:pPr>
      <w:r w:rsidRPr="00CC04C2">
        <w:rPr>
          <w:color w:val="000000" w:themeColor="text1"/>
        </w:rPr>
        <w:t>The third theme identifies interventions and protective factors that mitigate the negative effects of social isolation. Group</w:t>
      </w:r>
      <w:r w:rsidRPr="00CC04C2">
        <w:rPr>
          <w:color w:val="000000" w:themeColor="text1"/>
        </w:rPr>
        <w:noBreakHyphen/>
        <w:t>based activities, befriending services, and community programmes were shown to improve social connectedness and mental wellbeing (Cattan et al., 2005; Gardiner et al., 2018). Digital interventions, such as video</w:t>
      </w:r>
      <w:r w:rsidRPr="00CC04C2">
        <w:rPr>
          <w:color w:val="000000" w:themeColor="text1"/>
        </w:rPr>
        <w:noBreakHyphen/>
        <w:t>calling and online social groups, also demonstrated positive outcomes (Chen and Schulz, 2016; Seifert et al., 2020).</w:t>
      </w:r>
    </w:p>
    <w:p w14:paraId="272DA085" w14:textId="77777777" w:rsidR="00CC04C2" w:rsidRPr="00CC04C2" w:rsidRDefault="00CC04C2" w:rsidP="00CC04C2">
      <w:pPr>
        <w:rPr>
          <w:color w:val="000000" w:themeColor="text1"/>
        </w:rPr>
      </w:pPr>
      <w:r w:rsidRPr="00CC04C2">
        <w:rPr>
          <w:color w:val="000000" w:themeColor="text1"/>
        </w:rPr>
        <w:lastRenderedPageBreak/>
        <w:t>This theme supports the review objective of identifying risk and protective factors and highlights the importance of multi</w:t>
      </w:r>
      <w:r w:rsidRPr="00CC04C2">
        <w:rPr>
          <w:color w:val="000000" w:themeColor="text1"/>
        </w:rPr>
        <w:noBreakHyphen/>
        <w:t>layered, person</w:t>
      </w:r>
      <w:r w:rsidRPr="00CC04C2">
        <w:rPr>
          <w:color w:val="000000" w:themeColor="text1"/>
        </w:rPr>
        <w:noBreakHyphen/>
        <w:t>centred approaches. However, a recurring limitation is the lack of long</w:t>
      </w:r>
      <w:r w:rsidRPr="00CC04C2">
        <w:rPr>
          <w:color w:val="000000" w:themeColor="text1"/>
        </w:rPr>
        <w:noBreakHyphen/>
        <w:t>term follow</w:t>
      </w:r>
      <w:r w:rsidRPr="00CC04C2">
        <w:rPr>
          <w:color w:val="000000" w:themeColor="text1"/>
        </w:rPr>
        <w:noBreakHyphen/>
        <w:t>up. Many interventions show short</w:t>
      </w:r>
      <w:r w:rsidRPr="00CC04C2">
        <w:rPr>
          <w:color w:val="000000" w:themeColor="text1"/>
        </w:rPr>
        <w:noBreakHyphen/>
        <w:t>term improvements, but evidence of sustained impact is limited. Additionally, digital interventions often exclude older adults with low digital literacy, creating an equity gap that is insufficiently addressed in current research.</w:t>
      </w:r>
    </w:p>
    <w:p w14:paraId="1C73E011" w14:textId="77777777" w:rsidR="00CC04C2" w:rsidRPr="00CC04C2" w:rsidRDefault="00CC04C2" w:rsidP="00CC04C2">
      <w:pPr>
        <w:rPr>
          <w:color w:val="000000" w:themeColor="text1"/>
        </w:rPr>
      </w:pPr>
      <w:r w:rsidRPr="00CC04C2">
        <w:rPr>
          <w:color w:val="000000" w:themeColor="text1"/>
        </w:rPr>
        <w:t>Another weakness is that intervention studies vary widely in design, making comparisons difficult. Some use robust mixed</w:t>
      </w:r>
      <w:r w:rsidRPr="00CC04C2">
        <w:rPr>
          <w:color w:val="000000" w:themeColor="text1"/>
        </w:rPr>
        <w:noBreakHyphen/>
        <w:t>methods approaches, while others rely on small qualitative samples or lack control groups.</w:t>
      </w:r>
    </w:p>
    <w:p w14:paraId="2467A62C" w14:textId="238787F6" w:rsidR="00CC04C2" w:rsidRPr="00CC04C2" w:rsidRDefault="00CC04C2" w:rsidP="00CC04C2">
      <w:pPr>
        <w:rPr>
          <w:color w:val="000000" w:themeColor="text1"/>
        </w:rPr>
      </w:pPr>
    </w:p>
    <w:p w14:paraId="375EB017" w14:textId="77777777" w:rsidR="00CC04C2" w:rsidRPr="00CC04C2" w:rsidRDefault="00CC04C2" w:rsidP="00CC04C2">
      <w:pPr>
        <w:rPr>
          <w:b/>
          <w:bCs/>
          <w:color w:val="000000" w:themeColor="text1"/>
        </w:rPr>
      </w:pPr>
      <w:r w:rsidRPr="00CC04C2">
        <w:rPr>
          <w:b/>
          <w:bCs/>
          <w:color w:val="000000" w:themeColor="text1"/>
        </w:rPr>
        <w:t>Patterns, Gaps, and Contradictions in the Literature</w:t>
      </w:r>
    </w:p>
    <w:p w14:paraId="46962E7C" w14:textId="77777777" w:rsidR="00CC04C2" w:rsidRPr="00CC04C2" w:rsidRDefault="00CC04C2" w:rsidP="00CC04C2">
      <w:pPr>
        <w:rPr>
          <w:color w:val="000000" w:themeColor="text1"/>
        </w:rPr>
      </w:pPr>
      <w:r w:rsidRPr="00CC04C2">
        <w:rPr>
          <w:color w:val="000000" w:themeColor="text1"/>
        </w:rPr>
        <w:t>Across the themes, several patterns emerge:</w:t>
      </w:r>
    </w:p>
    <w:p w14:paraId="0A821382" w14:textId="77777777" w:rsidR="00CC04C2" w:rsidRPr="00CC04C2" w:rsidRDefault="00CC04C2" w:rsidP="00CC04C2">
      <w:pPr>
        <w:numPr>
          <w:ilvl w:val="0"/>
          <w:numId w:val="6"/>
        </w:numPr>
        <w:rPr>
          <w:color w:val="000000" w:themeColor="text1"/>
        </w:rPr>
      </w:pPr>
      <w:r w:rsidRPr="00CC04C2">
        <w:rPr>
          <w:b/>
          <w:bCs/>
          <w:color w:val="000000" w:themeColor="text1"/>
        </w:rPr>
        <w:t>Consistent evidence</w:t>
      </w:r>
      <w:r w:rsidRPr="00CC04C2">
        <w:rPr>
          <w:color w:val="000000" w:themeColor="text1"/>
        </w:rPr>
        <w:t xml:space="preserve"> links social isolation with poorer mental wellbeing.</w:t>
      </w:r>
    </w:p>
    <w:p w14:paraId="3B330824" w14:textId="77777777" w:rsidR="00CC04C2" w:rsidRPr="00CC04C2" w:rsidRDefault="00CC04C2" w:rsidP="00CC04C2">
      <w:pPr>
        <w:numPr>
          <w:ilvl w:val="0"/>
          <w:numId w:val="6"/>
        </w:numPr>
        <w:rPr>
          <w:color w:val="000000" w:themeColor="text1"/>
        </w:rPr>
      </w:pPr>
      <w:r w:rsidRPr="00CC04C2">
        <w:rPr>
          <w:b/>
          <w:bCs/>
          <w:color w:val="000000" w:themeColor="text1"/>
        </w:rPr>
        <w:t>Barriers to social participation</w:t>
      </w:r>
      <w:r w:rsidRPr="00CC04C2">
        <w:rPr>
          <w:color w:val="000000" w:themeColor="text1"/>
        </w:rPr>
        <w:t xml:space="preserve"> are both structural and personal, often compounding one another.</w:t>
      </w:r>
    </w:p>
    <w:p w14:paraId="2FCC2379" w14:textId="77777777" w:rsidR="00CC04C2" w:rsidRPr="00CC04C2" w:rsidRDefault="00CC04C2" w:rsidP="00CC04C2">
      <w:pPr>
        <w:numPr>
          <w:ilvl w:val="0"/>
          <w:numId w:val="6"/>
        </w:numPr>
        <w:rPr>
          <w:color w:val="000000" w:themeColor="text1"/>
        </w:rPr>
      </w:pPr>
      <w:r w:rsidRPr="00CC04C2">
        <w:rPr>
          <w:b/>
          <w:bCs/>
          <w:color w:val="000000" w:themeColor="text1"/>
        </w:rPr>
        <w:t>Interventions show promise</w:t>
      </w:r>
      <w:r w:rsidRPr="00CC04C2">
        <w:rPr>
          <w:color w:val="000000" w:themeColor="text1"/>
        </w:rPr>
        <w:t>, particularly those combining social, psychological, and digital support.</w:t>
      </w:r>
    </w:p>
    <w:p w14:paraId="45799CFE" w14:textId="77777777" w:rsidR="00CC04C2" w:rsidRPr="00CC04C2" w:rsidRDefault="00CC04C2" w:rsidP="00CC04C2">
      <w:pPr>
        <w:rPr>
          <w:color w:val="000000" w:themeColor="text1"/>
        </w:rPr>
      </w:pPr>
      <w:r w:rsidRPr="00CC04C2">
        <w:rPr>
          <w:color w:val="000000" w:themeColor="text1"/>
        </w:rPr>
        <w:t>However, the review also identified important gaps:</w:t>
      </w:r>
    </w:p>
    <w:p w14:paraId="6588936A" w14:textId="77777777" w:rsidR="00CC04C2" w:rsidRPr="00CC04C2" w:rsidRDefault="00CC04C2" w:rsidP="00CC04C2">
      <w:pPr>
        <w:numPr>
          <w:ilvl w:val="0"/>
          <w:numId w:val="7"/>
        </w:numPr>
        <w:rPr>
          <w:color w:val="000000" w:themeColor="text1"/>
        </w:rPr>
      </w:pPr>
      <w:r w:rsidRPr="00CC04C2">
        <w:rPr>
          <w:color w:val="000000" w:themeColor="text1"/>
        </w:rPr>
        <w:t xml:space="preserve">A lack of </w:t>
      </w:r>
      <w:r w:rsidRPr="00CC04C2">
        <w:rPr>
          <w:b/>
          <w:bCs/>
          <w:color w:val="000000" w:themeColor="text1"/>
        </w:rPr>
        <w:t>longitudinal studies</w:t>
      </w:r>
      <w:r w:rsidRPr="00CC04C2">
        <w:rPr>
          <w:color w:val="000000" w:themeColor="text1"/>
        </w:rPr>
        <w:t xml:space="preserve"> to establish causal pathways.</w:t>
      </w:r>
    </w:p>
    <w:p w14:paraId="438C2CDD" w14:textId="77777777" w:rsidR="00CC04C2" w:rsidRPr="00CC04C2" w:rsidRDefault="00CC04C2" w:rsidP="00CC04C2">
      <w:pPr>
        <w:numPr>
          <w:ilvl w:val="0"/>
          <w:numId w:val="7"/>
        </w:numPr>
        <w:rPr>
          <w:color w:val="000000" w:themeColor="text1"/>
        </w:rPr>
      </w:pPr>
      <w:r w:rsidRPr="00CC04C2">
        <w:rPr>
          <w:color w:val="000000" w:themeColor="text1"/>
        </w:rPr>
        <w:t xml:space="preserve">Limited research on </w:t>
      </w:r>
      <w:r w:rsidRPr="00CC04C2">
        <w:rPr>
          <w:b/>
          <w:bCs/>
          <w:color w:val="000000" w:themeColor="text1"/>
        </w:rPr>
        <w:t>diverse older adult populations</w:t>
      </w:r>
      <w:r w:rsidRPr="00CC04C2">
        <w:rPr>
          <w:color w:val="000000" w:themeColor="text1"/>
        </w:rPr>
        <w:t>, including minority ethnic groups and those with disabilities.</w:t>
      </w:r>
    </w:p>
    <w:p w14:paraId="73A1EE94" w14:textId="77777777" w:rsidR="00CC04C2" w:rsidRPr="00CC04C2" w:rsidRDefault="00CC04C2" w:rsidP="00CC04C2">
      <w:pPr>
        <w:numPr>
          <w:ilvl w:val="0"/>
          <w:numId w:val="7"/>
        </w:numPr>
        <w:rPr>
          <w:color w:val="000000" w:themeColor="text1"/>
        </w:rPr>
      </w:pPr>
      <w:r w:rsidRPr="00CC04C2">
        <w:rPr>
          <w:color w:val="000000" w:themeColor="text1"/>
        </w:rPr>
        <w:t xml:space="preserve">Insufficient exploration of </w:t>
      </w:r>
      <w:r w:rsidRPr="00CC04C2">
        <w:rPr>
          <w:b/>
          <w:bCs/>
          <w:color w:val="000000" w:themeColor="text1"/>
        </w:rPr>
        <w:t>digital exclusion</w:t>
      </w:r>
      <w:r w:rsidRPr="00CC04C2">
        <w:rPr>
          <w:color w:val="000000" w:themeColor="text1"/>
        </w:rPr>
        <w:t>, despite the growing reliance on technology</w:t>
      </w:r>
      <w:r w:rsidRPr="00CC04C2">
        <w:rPr>
          <w:color w:val="000000" w:themeColor="text1"/>
        </w:rPr>
        <w:noBreakHyphen/>
        <w:t>based interventions.</w:t>
      </w:r>
    </w:p>
    <w:p w14:paraId="264A8ADE" w14:textId="77777777" w:rsidR="00CC04C2" w:rsidRPr="00CC04C2" w:rsidRDefault="00CC04C2" w:rsidP="00CC04C2">
      <w:pPr>
        <w:numPr>
          <w:ilvl w:val="0"/>
          <w:numId w:val="7"/>
        </w:numPr>
        <w:rPr>
          <w:color w:val="000000" w:themeColor="text1"/>
        </w:rPr>
      </w:pPr>
      <w:r w:rsidRPr="00CC04C2">
        <w:rPr>
          <w:color w:val="000000" w:themeColor="text1"/>
        </w:rPr>
        <w:t xml:space="preserve">Few studies focus exclusively on </w:t>
      </w:r>
      <w:r w:rsidRPr="00CC04C2">
        <w:rPr>
          <w:b/>
          <w:bCs/>
          <w:color w:val="000000" w:themeColor="text1"/>
        </w:rPr>
        <w:t>older adults living alone</w:t>
      </w:r>
      <w:r w:rsidRPr="00CC04C2">
        <w:rPr>
          <w:color w:val="000000" w:themeColor="text1"/>
        </w:rPr>
        <w:t>, even though this group is at heightened risk.</w:t>
      </w:r>
    </w:p>
    <w:p w14:paraId="14BE3E18" w14:textId="77777777" w:rsidR="00CC04C2" w:rsidRPr="00CC04C2" w:rsidRDefault="00CC04C2" w:rsidP="00CC04C2">
      <w:pPr>
        <w:rPr>
          <w:color w:val="000000" w:themeColor="text1"/>
        </w:rPr>
      </w:pPr>
      <w:r w:rsidRPr="00CC04C2">
        <w:rPr>
          <w:color w:val="000000" w:themeColor="text1"/>
        </w:rPr>
        <w:t>Contradictions were also evident. While some studies portray older adults as active agents who manage loneliness through coping strategies, others depict them as passive or resigned. These inconsistencies may reflect methodological differences or variations in participant characteristics.</w:t>
      </w:r>
    </w:p>
    <w:p w14:paraId="6160D138" w14:textId="2177C009" w:rsidR="00CC04C2" w:rsidRPr="00CC04C2" w:rsidRDefault="00CC04C2" w:rsidP="00CC04C2">
      <w:pPr>
        <w:rPr>
          <w:color w:val="000000" w:themeColor="text1"/>
        </w:rPr>
      </w:pPr>
    </w:p>
    <w:p w14:paraId="5A473B84" w14:textId="77777777" w:rsidR="00CC04C2" w:rsidRPr="00CC04C2" w:rsidRDefault="00CC04C2" w:rsidP="00CC04C2">
      <w:pPr>
        <w:rPr>
          <w:b/>
          <w:bCs/>
          <w:color w:val="000000" w:themeColor="text1"/>
        </w:rPr>
      </w:pPr>
      <w:r w:rsidRPr="00CC04C2">
        <w:rPr>
          <w:b/>
          <w:bCs/>
          <w:color w:val="000000" w:themeColor="text1"/>
        </w:rPr>
        <w:t>Strengths and Weaknesses of the Reviewed Studies</w:t>
      </w:r>
    </w:p>
    <w:p w14:paraId="79C31F8D" w14:textId="77777777" w:rsidR="00CC04C2" w:rsidRPr="00CC04C2" w:rsidRDefault="00CC04C2" w:rsidP="00CC04C2">
      <w:pPr>
        <w:rPr>
          <w:color w:val="000000" w:themeColor="text1"/>
        </w:rPr>
      </w:pPr>
      <w:r w:rsidRPr="00CC04C2">
        <w:rPr>
          <w:color w:val="000000" w:themeColor="text1"/>
        </w:rPr>
        <w:t xml:space="preserve">The reviewed studies demonstrate several strengths. Many used validated measurement tools, such as the UCLA Loneliness Scale and the Lubben Social </w:t>
      </w:r>
      <w:r w:rsidRPr="00CC04C2">
        <w:rPr>
          <w:color w:val="000000" w:themeColor="text1"/>
        </w:rPr>
        <w:lastRenderedPageBreak/>
        <w:t>Network Scale, enhancing reliability. Qualitative studies provided rich, contextual insights into the lived experiences of older adults, while quantitative studies offered broader generalisability.</w:t>
      </w:r>
    </w:p>
    <w:p w14:paraId="4D9E53F1" w14:textId="77777777" w:rsidR="00CC04C2" w:rsidRPr="00CC04C2" w:rsidRDefault="00CC04C2" w:rsidP="00CC04C2">
      <w:pPr>
        <w:rPr>
          <w:color w:val="000000" w:themeColor="text1"/>
        </w:rPr>
      </w:pPr>
      <w:r w:rsidRPr="00CC04C2">
        <w:rPr>
          <w:color w:val="000000" w:themeColor="text1"/>
        </w:rPr>
        <w:t>However, weaknesses were also evident. Cross</w:t>
      </w:r>
      <w:r w:rsidRPr="00CC04C2">
        <w:rPr>
          <w:color w:val="000000" w:themeColor="text1"/>
        </w:rPr>
        <w:noBreakHyphen/>
        <w:t>sectional designs dominated the literature, limiting causal inference. Sample sizes varied widely, with some studies lacking statistical power. Additionally, the exclusion of digitally excluded or socially marginalised groups reduces the representativeness of findings. Intervention studies often lacked long</w:t>
      </w:r>
      <w:r w:rsidRPr="00CC04C2">
        <w:rPr>
          <w:color w:val="000000" w:themeColor="text1"/>
        </w:rPr>
        <w:noBreakHyphen/>
        <w:t>term follow</w:t>
      </w:r>
      <w:r w:rsidRPr="00CC04C2">
        <w:rPr>
          <w:color w:val="000000" w:themeColor="text1"/>
        </w:rPr>
        <w:noBreakHyphen/>
        <w:t>up, making it difficult to assess sustained effectiveness.</w:t>
      </w:r>
    </w:p>
    <w:p w14:paraId="4E0717CC" w14:textId="77777777" w:rsidR="00CC04C2" w:rsidRPr="00CC04C2" w:rsidRDefault="00CC04C2" w:rsidP="00CC04C2">
      <w:pPr>
        <w:rPr>
          <w:color w:val="000000" w:themeColor="text1"/>
        </w:rPr>
      </w:pPr>
      <w:r w:rsidRPr="00CC04C2">
        <w:rPr>
          <w:color w:val="000000" w:themeColor="text1"/>
        </w:rPr>
        <w:t>Overall, while the evidence base is strong in identifying associations and experiences, it is weaker in explaining long</w:t>
      </w:r>
      <w:r w:rsidRPr="00CC04C2">
        <w:rPr>
          <w:color w:val="000000" w:themeColor="text1"/>
        </w:rPr>
        <w:noBreakHyphen/>
        <w:t>term outcomes and addressing structural inequalities.</w:t>
      </w:r>
    </w:p>
    <w:p w14:paraId="247A58C1" w14:textId="77777777" w:rsidR="00BE7A4F" w:rsidRPr="00DC1A27" w:rsidRDefault="00BE7A4F" w:rsidP="00CC04C2">
      <w:pPr>
        <w:rPr>
          <w:rFonts w:ascii="Algerian" w:hAnsi="Algerian"/>
          <w:color w:val="0F4761" w:themeColor="accent1" w:themeShade="BF"/>
          <w:sz w:val="40"/>
          <w:szCs w:val="40"/>
          <w:u w:val="single"/>
        </w:rPr>
      </w:pPr>
    </w:p>
    <w:p w14:paraId="60353C69" w14:textId="5213D6A5" w:rsidR="006303F2" w:rsidRDefault="006303F2" w:rsidP="006303F2">
      <w:pPr>
        <w:ind w:left="720"/>
        <w:jc w:val="center"/>
        <w:rPr>
          <w:rFonts w:ascii="Algerian" w:hAnsi="Algerian"/>
          <w:color w:val="0F4761" w:themeColor="accent1" w:themeShade="BF"/>
          <w:sz w:val="40"/>
          <w:szCs w:val="40"/>
          <w:u w:val="single"/>
        </w:rPr>
      </w:pPr>
      <w:r w:rsidRPr="00DC1A27">
        <w:rPr>
          <w:rFonts w:ascii="Algerian" w:hAnsi="Algerian"/>
          <w:color w:val="0F4761" w:themeColor="accent1" w:themeShade="BF"/>
          <w:sz w:val="40"/>
          <w:szCs w:val="40"/>
          <w:u w:val="single"/>
        </w:rPr>
        <w:t>Conclusion and recommendations</w:t>
      </w:r>
    </w:p>
    <w:p w14:paraId="60427200" w14:textId="77777777" w:rsidR="00635AE8" w:rsidRPr="00635AE8" w:rsidRDefault="00635AE8" w:rsidP="00635AE8">
      <w:pPr>
        <w:rPr>
          <w:b/>
          <w:bCs/>
          <w:color w:val="000000" w:themeColor="text1"/>
        </w:rPr>
      </w:pPr>
      <w:r w:rsidRPr="00635AE8">
        <w:rPr>
          <w:b/>
          <w:bCs/>
          <w:color w:val="000000" w:themeColor="text1"/>
        </w:rPr>
        <w:t>Summary of Key Findings</w:t>
      </w:r>
    </w:p>
    <w:p w14:paraId="701C4E07" w14:textId="77777777" w:rsidR="00635AE8" w:rsidRPr="00635AE8" w:rsidRDefault="00635AE8" w:rsidP="00635AE8">
      <w:pPr>
        <w:rPr>
          <w:color w:val="000000" w:themeColor="text1"/>
        </w:rPr>
      </w:pPr>
      <w:r w:rsidRPr="00635AE8">
        <w:rPr>
          <w:color w:val="000000" w:themeColor="text1"/>
        </w:rPr>
        <w:t xml:space="preserve">This scoping review explored how social isolation affects the mental wellbeing of older adults living alone in the United Kingdom. The thematic analysis identified three central themes: </w:t>
      </w:r>
      <w:r w:rsidRPr="00635AE8">
        <w:rPr>
          <w:b/>
          <w:bCs/>
          <w:color w:val="000000" w:themeColor="text1"/>
        </w:rPr>
        <w:t>Emotional and Psychological Impact</w:t>
      </w:r>
      <w:r w:rsidRPr="00635AE8">
        <w:rPr>
          <w:color w:val="000000" w:themeColor="text1"/>
        </w:rPr>
        <w:t xml:space="preserve">, </w:t>
      </w:r>
      <w:r w:rsidRPr="00635AE8">
        <w:rPr>
          <w:b/>
          <w:bCs/>
          <w:color w:val="000000" w:themeColor="text1"/>
        </w:rPr>
        <w:t>Barriers to Social Participation</w:t>
      </w:r>
      <w:r w:rsidRPr="00635AE8">
        <w:rPr>
          <w:color w:val="000000" w:themeColor="text1"/>
        </w:rPr>
        <w:t xml:space="preserve">, and </w:t>
      </w:r>
      <w:r w:rsidRPr="00635AE8">
        <w:rPr>
          <w:b/>
          <w:bCs/>
          <w:color w:val="000000" w:themeColor="text1"/>
        </w:rPr>
        <w:t>Protective Factors and Supportive Interventions</w:t>
      </w:r>
      <w:r w:rsidRPr="00635AE8">
        <w:rPr>
          <w:color w:val="000000" w:themeColor="text1"/>
        </w:rPr>
        <w:t>. Together, these themes demonstrate that social isolation has a substantial and multifaceted effect on mental wellbeing.</w:t>
      </w:r>
    </w:p>
    <w:p w14:paraId="08EA4F31" w14:textId="77777777" w:rsidR="00635AE8" w:rsidRPr="00635AE8" w:rsidRDefault="00635AE8" w:rsidP="00635AE8">
      <w:pPr>
        <w:rPr>
          <w:color w:val="000000" w:themeColor="text1"/>
        </w:rPr>
      </w:pPr>
      <w:r w:rsidRPr="00635AE8">
        <w:rPr>
          <w:color w:val="000000" w:themeColor="text1"/>
        </w:rPr>
        <w:t>The first theme highlighted that older adults living alone frequently experience heightened levels of loneliness, depressive symptoms, anxiety, and reduced life satisfaction. These emotional and psychological consequences were consistently reported across the reviewed studies, directly addressing the review objective of examining mental wellbeing outcomes associated with social isolation.</w:t>
      </w:r>
    </w:p>
    <w:p w14:paraId="1FECCCF7" w14:textId="77777777" w:rsidR="00635AE8" w:rsidRPr="00635AE8" w:rsidRDefault="00635AE8" w:rsidP="00635AE8">
      <w:pPr>
        <w:rPr>
          <w:color w:val="000000" w:themeColor="text1"/>
        </w:rPr>
      </w:pPr>
      <w:r w:rsidRPr="00635AE8">
        <w:rPr>
          <w:color w:val="000000" w:themeColor="text1"/>
        </w:rPr>
        <w:t>The second theme revealed that both personal and structural barriers—such as bereavement, mobility limitations, transport difficulties, and inaccessible community environments—limit opportunities for social participation. These barriers often interact, compounding the risk of isolation and aligning with the objective of identifying contextual influences that shape the experience of older adults living alone.</w:t>
      </w:r>
    </w:p>
    <w:p w14:paraId="5A7FE21E" w14:textId="77777777" w:rsidR="00635AE8" w:rsidRPr="00635AE8" w:rsidRDefault="00635AE8" w:rsidP="00635AE8">
      <w:pPr>
        <w:rPr>
          <w:color w:val="000000" w:themeColor="text1"/>
        </w:rPr>
      </w:pPr>
      <w:r w:rsidRPr="00635AE8">
        <w:rPr>
          <w:color w:val="000000" w:themeColor="text1"/>
        </w:rPr>
        <w:t>The third theme demonstrated that a range of interventions, including group</w:t>
      </w:r>
      <w:r w:rsidRPr="00635AE8">
        <w:rPr>
          <w:color w:val="000000" w:themeColor="text1"/>
        </w:rPr>
        <w:noBreakHyphen/>
        <w:t>based activities, befriending services, community programmes, and digital initiatives, can help mitigate the negative effects of isolation. These findings support the review objective of identifying protective factors and highlight the importance of multi</w:t>
      </w:r>
      <w:r w:rsidRPr="00635AE8">
        <w:rPr>
          <w:color w:val="000000" w:themeColor="text1"/>
        </w:rPr>
        <w:noBreakHyphen/>
        <w:t>layered, person</w:t>
      </w:r>
      <w:r w:rsidRPr="00635AE8">
        <w:rPr>
          <w:color w:val="000000" w:themeColor="text1"/>
        </w:rPr>
        <w:noBreakHyphen/>
        <w:t>centred approaches.</w:t>
      </w:r>
    </w:p>
    <w:p w14:paraId="77127030" w14:textId="77777777" w:rsidR="00635AE8" w:rsidRPr="00635AE8" w:rsidRDefault="00635AE8" w:rsidP="00635AE8">
      <w:pPr>
        <w:rPr>
          <w:color w:val="000000" w:themeColor="text1"/>
        </w:rPr>
      </w:pPr>
      <w:r w:rsidRPr="00635AE8">
        <w:rPr>
          <w:color w:val="000000" w:themeColor="text1"/>
        </w:rPr>
        <w:lastRenderedPageBreak/>
        <w:t>Overall, the review shows that social isolation is both a personal experience and a structural issue, requiring coordinated responses across health, social care, and community settings.</w:t>
      </w:r>
    </w:p>
    <w:p w14:paraId="1966D2BB" w14:textId="1D017BB7" w:rsidR="00635AE8" w:rsidRPr="00635AE8" w:rsidRDefault="00635AE8" w:rsidP="00635AE8">
      <w:pPr>
        <w:rPr>
          <w:color w:val="000000" w:themeColor="text1"/>
        </w:rPr>
      </w:pPr>
    </w:p>
    <w:p w14:paraId="18AF1BFD" w14:textId="77777777" w:rsidR="00635AE8" w:rsidRPr="00635AE8" w:rsidRDefault="00635AE8" w:rsidP="00635AE8">
      <w:pPr>
        <w:rPr>
          <w:b/>
          <w:bCs/>
          <w:color w:val="000000" w:themeColor="text1"/>
        </w:rPr>
      </w:pPr>
      <w:r w:rsidRPr="00635AE8">
        <w:rPr>
          <w:b/>
          <w:bCs/>
          <w:color w:val="000000" w:themeColor="text1"/>
        </w:rPr>
        <w:t>Recommendations for Future Research</w:t>
      </w:r>
    </w:p>
    <w:p w14:paraId="10D17A67" w14:textId="77777777" w:rsidR="00635AE8" w:rsidRPr="00635AE8" w:rsidRDefault="00635AE8" w:rsidP="00635AE8">
      <w:pPr>
        <w:rPr>
          <w:color w:val="000000" w:themeColor="text1"/>
        </w:rPr>
      </w:pPr>
      <w:r w:rsidRPr="00635AE8">
        <w:rPr>
          <w:color w:val="000000" w:themeColor="text1"/>
        </w:rPr>
        <w:t>Based on the gaps identified in the literature, several recommendations for future research emerge:</w:t>
      </w:r>
    </w:p>
    <w:p w14:paraId="4F516B74" w14:textId="77777777" w:rsidR="00635AE8" w:rsidRPr="00635AE8" w:rsidRDefault="00635AE8" w:rsidP="00635AE8">
      <w:pPr>
        <w:numPr>
          <w:ilvl w:val="0"/>
          <w:numId w:val="8"/>
        </w:numPr>
        <w:rPr>
          <w:color w:val="000000" w:themeColor="text1"/>
        </w:rPr>
      </w:pPr>
      <w:r w:rsidRPr="00635AE8">
        <w:rPr>
          <w:b/>
          <w:bCs/>
          <w:color w:val="000000" w:themeColor="text1"/>
        </w:rPr>
        <w:t>Longitudinal studies are needed</w:t>
      </w:r>
      <w:r w:rsidRPr="00635AE8">
        <w:rPr>
          <w:color w:val="000000" w:themeColor="text1"/>
        </w:rPr>
        <w:t xml:space="preserve"> to better understand the causal relationship between social isolation and mental wellbeing. Most existing studies are cross</w:t>
      </w:r>
      <w:r w:rsidRPr="00635AE8">
        <w:rPr>
          <w:color w:val="000000" w:themeColor="text1"/>
        </w:rPr>
        <w:noBreakHyphen/>
        <w:t>sectional, limiting the ability to determine directionality.</w:t>
      </w:r>
    </w:p>
    <w:p w14:paraId="0194172A" w14:textId="77777777" w:rsidR="00635AE8" w:rsidRPr="00635AE8" w:rsidRDefault="00635AE8" w:rsidP="00635AE8">
      <w:pPr>
        <w:numPr>
          <w:ilvl w:val="0"/>
          <w:numId w:val="8"/>
        </w:numPr>
        <w:rPr>
          <w:color w:val="000000" w:themeColor="text1"/>
        </w:rPr>
      </w:pPr>
      <w:r w:rsidRPr="00635AE8">
        <w:rPr>
          <w:b/>
          <w:bCs/>
          <w:color w:val="000000" w:themeColor="text1"/>
        </w:rPr>
        <w:t>More inclusive research is required</w:t>
      </w:r>
      <w:r w:rsidRPr="00635AE8">
        <w:rPr>
          <w:color w:val="000000" w:themeColor="text1"/>
        </w:rPr>
        <w:t>, particularly involving minority ethnic groups, LGBTQ+ older adults, individuals with disabilities, and those with cognitive impairments. These groups are underrepresented in current evidence.</w:t>
      </w:r>
    </w:p>
    <w:p w14:paraId="29494774" w14:textId="77777777" w:rsidR="00635AE8" w:rsidRPr="00635AE8" w:rsidRDefault="00635AE8" w:rsidP="00635AE8">
      <w:pPr>
        <w:numPr>
          <w:ilvl w:val="0"/>
          <w:numId w:val="8"/>
        </w:numPr>
        <w:rPr>
          <w:color w:val="000000" w:themeColor="text1"/>
        </w:rPr>
      </w:pPr>
      <w:r w:rsidRPr="00635AE8">
        <w:rPr>
          <w:b/>
          <w:bCs/>
          <w:color w:val="000000" w:themeColor="text1"/>
        </w:rPr>
        <w:t>Further exploration of digital exclusion</w:t>
      </w:r>
      <w:r w:rsidRPr="00635AE8">
        <w:rPr>
          <w:color w:val="000000" w:themeColor="text1"/>
        </w:rPr>
        <w:t xml:space="preserve"> is essential. While digital interventions show promise, little is known about how older adults with limited digital literacy experience or overcome isolation.</w:t>
      </w:r>
    </w:p>
    <w:p w14:paraId="7B46F286" w14:textId="77777777" w:rsidR="00635AE8" w:rsidRPr="00635AE8" w:rsidRDefault="00635AE8" w:rsidP="00635AE8">
      <w:pPr>
        <w:numPr>
          <w:ilvl w:val="0"/>
          <w:numId w:val="8"/>
        </w:numPr>
        <w:rPr>
          <w:color w:val="000000" w:themeColor="text1"/>
        </w:rPr>
      </w:pPr>
      <w:r w:rsidRPr="00635AE8">
        <w:rPr>
          <w:b/>
          <w:bCs/>
          <w:color w:val="000000" w:themeColor="text1"/>
        </w:rPr>
        <w:t>Evaluation of long</w:t>
      </w:r>
      <w:r w:rsidRPr="00635AE8">
        <w:rPr>
          <w:b/>
          <w:bCs/>
          <w:color w:val="000000" w:themeColor="text1"/>
        </w:rPr>
        <w:noBreakHyphen/>
        <w:t>term intervention outcomes</w:t>
      </w:r>
      <w:r w:rsidRPr="00635AE8">
        <w:rPr>
          <w:color w:val="000000" w:themeColor="text1"/>
        </w:rPr>
        <w:t xml:space="preserve"> is needed. Many studies report short</w:t>
      </w:r>
      <w:r w:rsidRPr="00635AE8">
        <w:rPr>
          <w:color w:val="000000" w:themeColor="text1"/>
        </w:rPr>
        <w:noBreakHyphen/>
        <w:t>term improvements, but sustained effects remain unclear.</w:t>
      </w:r>
    </w:p>
    <w:p w14:paraId="6BD2EBA9" w14:textId="77777777" w:rsidR="00635AE8" w:rsidRPr="00635AE8" w:rsidRDefault="00635AE8" w:rsidP="00635AE8">
      <w:pPr>
        <w:numPr>
          <w:ilvl w:val="0"/>
          <w:numId w:val="8"/>
        </w:numPr>
        <w:rPr>
          <w:color w:val="000000" w:themeColor="text1"/>
        </w:rPr>
      </w:pPr>
      <w:r w:rsidRPr="00635AE8">
        <w:rPr>
          <w:b/>
          <w:bCs/>
          <w:color w:val="000000" w:themeColor="text1"/>
        </w:rPr>
        <w:t>Research focusing specifically on older adults living alone</w:t>
      </w:r>
      <w:r w:rsidRPr="00635AE8">
        <w:rPr>
          <w:color w:val="000000" w:themeColor="text1"/>
        </w:rPr>
        <w:t xml:space="preserve"> should be prioritised, as many studies include mixed living arrangements without separate analysis.</w:t>
      </w:r>
    </w:p>
    <w:p w14:paraId="15A7A710" w14:textId="77777777" w:rsidR="00635AE8" w:rsidRPr="00635AE8" w:rsidRDefault="00635AE8" w:rsidP="00635AE8">
      <w:pPr>
        <w:rPr>
          <w:color w:val="000000" w:themeColor="text1"/>
        </w:rPr>
      </w:pPr>
      <w:r w:rsidRPr="00635AE8">
        <w:rPr>
          <w:color w:val="000000" w:themeColor="text1"/>
        </w:rPr>
        <w:t>These recommendations would strengthen the evidence base and support more targeted, equitable approaches to reducing social isolation.</w:t>
      </w:r>
    </w:p>
    <w:p w14:paraId="5BC0BD3E" w14:textId="6C9B4DB8" w:rsidR="00635AE8" w:rsidRPr="00635AE8" w:rsidRDefault="00635AE8" w:rsidP="00635AE8">
      <w:pPr>
        <w:rPr>
          <w:color w:val="000000" w:themeColor="text1"/>
        </w:rPr>
      </w:pPr>
    </w:p>
    <w:p w14:paraId="0C28E8B7" w14:textId="77777777" w:rsidR="00635AE8" w:rsidRPr="00635AE8" w:rsidRDefault="00635AE8" w:rsidP="00635AE8">
      <w:pPr>
        <w:rPr>
          <w:b/>
          <w:bCs/>
          <w:color w:val="000000" w:themeColor="text1"/>
        </w:rPr>
      </w:pPr>
      <w:r w:rsidRPr="00635AE8">
        <w:rPr>
          <w:b/>
          <w:bCs/>
          <w:color w:val="000000" w:themeColor="text1"/>
        </w:rPr>
        <w:t>Recommendations for Policy and Practice</w:t>
      </w:r>
    </w:p>
    <w:p w14:paraId="18746B41" w14:textId="77777777" w:rsidR="00635AE8" w:rsidRPr="00635AE8" w:rsidRDefault="00635AE8" w:rsidP="00635AE8">
      <w:pPr>
        <w:rPr>
          <w:color w:val="000000" w:themeColor="text1"/>
        </w:rPr>
      </w:pPr>
      <w:r w:rsidRPr="00635AE8">
        <w:rPr>
          <w:color w:val="000000" w:themeColor="text1"/>
        </w:rPr>
        <w:t>The findings of this review also have important implications for policy and practice:</w:t>
      </w:r>
    </w:p>
    <w:p w14:paraId="45436DFC" w14:textId="77777777" w:rsidR="00635AE8" w:rsidRPr="00635AE8" w:rsidRDefault="00635AE8" w:rsidP="00635AE8">
      <w:pPr>
        <w:numPr>
          <w:ilvl w:val="0"/>
          <w:numId w:val="9"/>
        </w:numPr>
        <w:rPr>
          <w:color w:val="000000" w:themeColor="text1"/>
        </w:rPr>
      </w:pPr>
      <w:r w:rsidRPr="00635AE8">
        <w:rPr>
          <w:b/>
          <w:bCs/>
          <w:color w:val="000000" w:themeColor="text1"/>
        </w:rPr>
        <w:t>Integrated, person</w:t>
      </w:r>
      <w:r w:rsidRPr="00635AE8">
        <w:rPr>
          <w:b/>
          <w:bCs/>
          <w:color w:val="000000" w:themeColor="text1"/>
        </w:rPr>
        <w:noBreakHyphen/>
        <w:t>centred approaches</w:t>
      </w:r>
      <w:r w:rsidRPr="00635AE8">
        <w:rPr>
          <w:color w:val="000000" w:themeColor="text1"/>
        </w:rPr>
        <w:t xml:space="preserve"> should be prioritised across health and social care services. Emotional wellbeing, social participation, and practical support must be addressed together rather than in isolation.</w:t>
      </w:r>
    </w:p>
    <w:p w14:paraId="46DF406D" w14:textId="77777777" w:rsidR="00635AE8" w:rsidRPr="00635AE8" w:rsidRDefault="00635AE8" w:rsidP="00635AE8">
      <w:pPr>
        <w:numPr>
          <w:ilvl w:val="0"/>
          <w:numId w:val="9"/>
        </w:numPr>
        <w:rPr>
          <w:color w:val="000000" w:themeColor="text1"/>
        </w:rPr>
      </w:pPr>
      <w:r w:rsidRPr="00635AE8">
        <w:rPr>
          <w:b/>
          <w:bCs/>
          <w:color w:val="000000" w:themeColor="text1"/>
        </w:rPr>
        <w:t>Community</w:t>
      </w:r>
      <w:r w:rsidRPr="00635AE8">
        <w:rPr>
          <w:b/>
          <w:bCs/>
          <w:color w:val="000000" w:themeColor="text1"/>
        </w:rPr>
        <w:noBreakHyphen/>
        <w:t>based programmes and befriending services</w:t>
      </w:r>
      <w:r w:rsidRPr="00635AE8">
        <w:rPr>
          <w:color w:val="000000" w:themeColor="text1"/>
        </w:rPr>
        <w:t xml:space="preserve"> should be expanded and sustainably funded. These interventions consistently demonstrated positive impacts on mental wellbeing.</w:t>
      </w:r>
    </w:p>
    <w:p w14:paraId="7DB7744E" w14:textId="77777777" w:rsidR="00635AE8" w:rsidRPr="00635AE8" w:rsidRDefault="00635AE8" w:rsidP="00635AE8">
      <w:pPr>
        <w:numPr>
          <w:ilvl w:val="0"/>
          <w:numId w:val="9"/>
        </w:numPr>
        <w:rPr>
          <w:color w:val="000000" w:themeColor="text1"/>
        </w:rPr>
      </w:pPr>
      <w:r w:rsidRPr="00635AE8">
        <w:rPr>
          <w:b/>
          <w:bCs/>
          <w:color w:val="000000" w:themeColor="text1"/>
        </w:rPr>
        <w:lastRenderedPageBreak/>
        <w:t>Transport and accessibility improvements</w:t>
      </w:r>
      <w:r w:rsidRPr="00635AE8">
        <w:rPr>
          <w:color w:val="000000" w:themeColor="text1"/>
        </w:rPr>
        <w:t xml:space="preserve"> are essential to reduce structural barriers that limit social participation. Local authorities and community organisations should collaborate to create age</w:t>
      </w:r>
      <w:r w:rsidRPr="00635AE8">
        <w:rPr>
          <w:color w:val="000000" w:themeColor="text1"/>
        </w:rPr>
        <w:noBreakHyphen/>
        <w:t>friendly environments.</w:t>
      </w:r>
    </w:p>
    <w:p w14:paraId="01F5C4F5" w14:textId="77777777" w:rsidR="00635AE8" w:rsidRPr="00635AE8" w:rsidRDefault="00635AE8" w:rsidP="00635AE8">
      <w:pPr>
        <w:numPr>
          <w:ilvl w:val="0"/>
          <w:numId w:val="9"/>
        </w:numPr>
        <w:rPr>
          <w:color w:val="000000" w:themeColor="text1"/>
        </w:rPr>
      </w:pPr>
      <w:r w:rsidRPr="00635AE8">
        <w:rPr>
          <w:b/>
          <w:bCs/>
          <w:color w:val="000000" w:themeColor="text1"/>
        </w:rPr>
        <w:t>Digital inclusion initiatives</w:t>
      </w:r>
      <w:r w:rsidRPr="00635AE8">
        <w:rPr>
          <w:color w:val="000000" w:themeColor="text1"/>
        </w:rPr>
        <w:t xml:space="preserve"> should be strengthened, including training, accessible devices, and ongoing support. This would help ensure that technology</w:t>
      </w:r>
      <w:r w:rsidRPr="00635AE8">
        <w:rPr>
          <w:color w:val="000000" w:themeColor="text1"/>
        </w:rPr>
        <w:noBreakHyphen/>
        <w:t>based interventions do not widen existing inequalities.</w:t>
      </w:r>
    </w:p>
    <w:p w14:paraId="4C919EC7" w14:textId="77777777" w:rsidR="00635AE8" w:rsidRPr="00635AE8" w:rsidRDefault="00635AE8" w:rsidP="00635AE8">
      <w:pPr>
        <w:numPr>
          <w:ilvl w:val="0"/>
          <w:numId w:val="9"/>
        </w:numPr>
        <w:rPr>
          <w:color w:val="000000" w:themeColor="text1"/>
        </w:rPr>
      </w:pPr>
      <w:r w:rsidRPr="00635AE8">
        <w:rPr>
          <w:b/>
          <w:bCs/>
          <w:color w:val="000000" w:themeColor="text1"/>
        </w:rPr>
        <w:t>Routine screening for social isolation</w:t>
      </w:r>
      <w:r w:rsidRPr="00635AE8">
        <w:rPr>
          <w:color w:val="000000" w:themeColor="text1"/>
        </w:rPr>
        <w:t xml:space="preserve"> using validated tools could be incorporated into primary care, social care assessments, and community outreach. Early identification would allow timely intervention.</w:t>
      </w:r>
    </w:p>
    <w:p w14:paraId="098525D8" w14:textId="77777777" w:rsidR="00635AE8" w:rsidRPr="00635AE8" w:rsidRDefault="00635AE8" w:rsidP="00635AE8">
      <w:pPr>
        <w:numPr>
          <w:ilvl w:val="0"/>
          <w:numId w:val="9"/>
        </w:numPr>
        <w:rPr>
          <w:color w:val="000000" w:themeColor="text1"/>
        </w:rPr>
      </w:pPr>
      <w:r w:rsidRPr="00635AE8">
        <w:rPr>
          <w:b/>
          <w:bCs/>
          <w:color w:val="000000" w:themeColor="text1"/>
        </w:rPr>
        <w:t>Support for bereavement and life transitions</w:t>
      </w:r>
      <w:r w:rsidRPr="00635AE8">
        <w:rPr>
          <w:color w:val="000000" w:themeColor="text1"/>
        </w:rPr>
        <w:t xml:space="preserve"> should be embedded within services for older adults living alone, recognising the significant role these events play in increasing isolation.</w:t>
      </w:r>
    </w:p>
    <w:p w14:paraId="0F8568DA" w14:textId="2E256B8A" w:rsidR="00BE7A4F" w:rsidRPr="00AA4E95" w:rsidRDefault="00635AE8" w:rsidP="00AA4E95">
      <w:pPr>
        <w:rPr>
          <w:color w:val="000000" w:themeColor="text1"/>
        </w:rPr>
      </w:pPr>
      <w:r w:rsidRPr="00635AE8">
        <w:rPr>
          <w:color w:val="000000" w:themeColor="text1"/>
        </w:rPr>
        <w:t>These recommendations align with the review’s objectives by translating the evidence into practical strategies that can improve mental wellbeing and reduce isolation among older adults living alone.</w:t>
      </w:r>
    </w:p>
    <w:p w14:paraId="4B4B61CE" w14:textId="59D55020" w:rsidR="006303F2" w:rsidRPr="008B6020" w:rsidRDefault="00DC1A27" w:rsidP="006303F2">
      <w:pPr>
        <w:ind w:left="720"/>
        <w:jc w:val="center"/>
        <w:rPr>
          <w:rFonts w:ascii="Algerian" w:hAnsi="Algerian"/>
          <w:color w:val="0F4761" w:themeColor="accent1" w:themeShade="BF"/>
          <w:sz w:val="40"/>
          <w:szCs w:val="40"/>
          <w:u w:val="single"/>
        </w:rPr>
      </w:pPr>
      <w:r w:rsidRPr="00DC1A27">
        <w:rPr>
          <w:rFonts w:ascii="Algerian" w:hAnsi="Algerian"/>
          <w:color w:val="0F4761" w:themeColor="accent1" w:themeShade="BF"/>
          <w:sz w:val="40"/>
          <w:szCs w:val="40"/>
          <w:u w:val="single"/>
        </w:rPr>
        <w:t xml:space="preserve">References </w:t>
      </w:r>
    </w:p>
    <w:p w14:paraId="734236CC" w14:textId="22F13395" w:rsidR="007F2FAE" w:rsidRDefault="0042234E" w:rsidP="005E6081">
      <w:pPr>
        <w:pStyle w:val="ListParagraph"/>
        <w:numPr>
          <w:ilvl w:val="0"/>
          <w:numId w:val="12"/>
        </w:numPr>
      </w:pPr>
      <w:hyperlink r:id="rId19" w:history="1">
        <w:r w:rsidR="007F2FAE" w:rsidRPr="0042234E">
          <w:rPr>
            <w:rStyle w:val="Hyperlink"/>
          </w:rPr>
          <w:t xml:space="preserve">Baker, S., Warburton, J. and Hodgkin, S. (2019) ‘The supportive network: A framework for understanding the role of community-based programs in reducing social isolation’, </w:t>
        </w:r>
        <w:r w:rsidR="007F2FAE" w:rsidRPr="0042234E">
          <w:rPr>
            <w:rStyle w:val="Hyperlink"/>
            <w:i/>
            <w:iCs/>
          </w:rPr>
          <w:t>Health &amp; Social Care in the Community</w:t>
        </w:r>
        <w:r w:rsidR="007F2FAE" w:rsidRPr="0042234E">
          <w:rPr>
            <w:rStyle w:val="Hyperlink"/>
          </w:rPr>
          <w:t>, 27(4), pp. 912–920.</w:t>
        </w:r>
      </w:hyperlink>
    </w:p>
    <w:p w14:paraId="067C4B7C" w14:textId="77777777" w:rsidR="002713CC" w:rsidRPr="007F2FAE" w:rsidRDefault="002713CC" w:rsidP="00042FDB">
      <w:pPr>
        <w:pStyle w:val="ListParagraph"/>
      </w:pPr>
    </w:p>
    <w:p w14:paraId="4217DE70" w14:textId="12C324DB" w:rsidR="00042FDB" w:rsidRDefault="00EF0257" w:rsidP="00935E04">
      <w:pPr>
        <w:pStyle w:val="ListParagraph"/>
        <w:numPr>
          <w:ilvl w:val="0"/>
          <w:numId w:val="12"/>
        </w:numPr>
      </w:pPr>
      <w:hyperlink r:id="rId20" w:history="1">
        <w:hyperlink r:id="rId21" w:history="1">
          <w:r w:rsidR="007F2FAE" w:rsidRPr="00EF0257">
            <w:rPr>
              <w:rStyle w:val="Hyperlink"/>
            </w:rPr>
            <w:t xml:space="preserve">Cattan, M., White, M., Bond, J. and Learmouth, A. (2005) ‘Preventing social isolation and loneliness among older people: A systematic review of health promotion interventions’, </w:t>
          </w:r>
          <w:r w:rsidR="007F2FAE" w:rsidRPr="00EF0257">
            <w:rPr>
              <w:rStyle w:val="Hyperlink"/>
              <w:i/>
              <w:iCs/>
            </w:rPr>
            <w:t>Ageing &amp; Society</w:t>
          </w:r>
          <w:r w:rsidR="007F2FAE" w:rsidRPr="00EF0257">
            <w:rPr>
              <w:rStyle w:val="Hyperlink"/>
            </w:rPr>
            <w:t>, 25(1), pp. 41–67.</w:t>
          </w:r>
        </w:hyperlink>
      </w:hyperlink>
    </w:p>
    <w:p w14:paraId="68E3B49D" w14:textId="77777777" w:rsidR="00935E04" w:rsidRPr="007F2FAE" w:rsidRDefault="00935E04" w:rsidP="00935E04">
      <w:pPr>
        <w:pStyle w:val="ListParagraph"/>
      </w:pPr>
    </w:p>
    <w:p w14:paraId="1B1A4E55" w14:textId="0B780D6F" w:rsidR="007F2FAE" w:rsidRDefault="00E55BD1" w:rsidP="005E6081">
      <w:pPr>
        <w:pStyle w:val="ListParagraph"/>
        <w:numPr>
          <w:ilvl w:val="0"/>
          <w:numId w:val="12"/>
        </w:numPr>
      </w:pPr>
      <w:hyperlink r:id="rId22" w:history="1">
        <w:r w:rsidR="007F2FAE" w:rsidRPr="00E55BD1">
          <w:rPr>
            <w:rStyle w:val="Hyperlink"/>
          </w:rPr>
          <w:t xml:space="preserve">Chen, Y.R.R. and Schulz, P.J. (2016) ‘The effect of information and communication technology interventions on reducing social isolation in the elderly: A systematic review’, </w:t>
        </w:r>
        <w:r w:rsidR="007F2FAE" w:rsidRPr="00E55BD1">
          <w:rPr>
            <w:rStyle w:val="Hyperlink"/>
            <w:i/>
            <w:iCs/>
          </w:rPr>
          <w:t>Journal of Medical Internet Research</w:t>
        </w:r>
        <w:r w:rsidR="007F2FAE" w:rsidRPr="00E55BD1">
          <w:rPr>
            <w:rStyle w:val="Hyperlink"/>
          </w:rPr>
          <w:t>, 18(1), e18.</w:t>
        </w:r>
      </w:hyperlink>
    </w:p>
    <w:p w14:paraId="2FA7C70B" w14:textId="77777777" w:rsidR="00042FDB" w:rsidRPr="007F2FAE" w:rsidRDefault="00042FDB" w:rsidP="00042FDB">
      <w:pPr>
        <w:pStyle w:val="ListParagraph"/>
      </w:pPr>
    </w:p>
    <w:p w14:paraId="3B0A151B" w14:textId="5830E14A" w:rsidR="00042FDB" w:rsidRDefault="0004657A" w:rsidP="00042FDB">
      <w:pPr>
        <w:pStyle w:val="ListParagraph"/>
        <w:numPr>
          <w:ilvl w:val="0"/>
          <w:numId w:val="12"/>
        </w:numPr>
      </w:pPr>
      <w:hyperlink r:id="rId23" w:history="1">
        <w:r w:rsidR="007F2FAE" w:rsidRPr="0004657A">
          <w:rPr>
            <w:rStyle w:val="Hyperlink"/>
          </w:rPr>
          <w:t xml:space="preserve">Fakoya, O.A., McCorry, N.K. and Donnelly, M. (2020) ‘Loneliness and social isolation interventions for older adults: A scoping review of reviews’, </w:t>
        </w:r>
        <w:r w:rsidR="007F2FAE" w:rsidRPr="0004657A">
          <w:rPr>
            <w:rStyle w:val="Hyperlink"/>
            <w:i/>
            <w:iCs/>
          </w:rPr>
          <w:t>BMC Public Health</w:t>
        </w:r>
        <w:r w:rsidR="007F2FAE" w:rsidRPr="0004657A">
          <w:rPr>
            <w:rStyle w:val="Hyperlink"/>
          </w:rPr>
          <w:t>, 20(1), pp. 1–14.</w:t>
        </w:r>
      </w:hyperlink>
    </w:p>
    <w:p w14:paraId="550BA6C7" w14:textId="77777777" w:rsidR="00042FDB" w:rsidRPr="007F2FAE" w:rsidRDefault="00042FDB" w:rsidP="00042FDB">
      <w:pPr>
        <w:pStyle w:val="ListParagraph"/>
      </w:pPr>
    </w:p>
    <w:p w14:paraId="1F8E7EB9" w14:textId="3165489D" w:rsidR="007F2FAE" w:rsidRPr="007F2FAE" w:rsidRDefault="000D0E35" w:rsidP="005E6081">
      <w:pPr>
        <w:pStyle w:val="ListParagraph"/>
        <w:numPr>
          <w:ilvl w:val="0"/>
          <w:numId w:val="12"/>
        </w:numPr>
      </w:pPr>
      <w:hyperlink r:id="rId24" w:history="1">
        <w:r w:rsidR="007F2FAE" w:rsidRPr="000D0E35">
          <w:rPr>
            <w:rStyle w:val="Hyperlink"/>
          </w:rPr>
          <w:t xml:space="preserve">Gardiner, C., Geldenhuys, G. and Gott, M. (2018) ‘Interventions to reduce social isolation and loneliness among older people: An integrative review’, </w:t>
        </w:r>
        <w:r w:rsidR="007F2FAE" w:rsidRPr="000D0E35">
          <w:rPr>
            <w:rStyle w:val="Hyperlink"/>
            <w:i/>
            <w:iCs/>
          </w:rPr>
          <w:t>Health &amp; Social Care in the Community</w:t>
        </w:r>
        <w:r w:rsidR="007F2FAE" w:rsidRPr="000D0E35">
          <w:rPr>
            <w:rStyle w:val="Hyperlink"/>
          </w:rPr>
          <w:t>, 26(2), pp. 147–157.</w:t>
        </w:r>
      </w:hyperlink>
    </w:p>
    <w:p w14:paraId="38A04BEF" w14:textId="5B44EA9B" w:rsidR="007F2FAE" w:rsidRDefault="00C85BD6" w:rsidP="005E6081">
      <w:pPr>
        <w:pStyle w:val="ListParagraph"/>
        <w:numPr>
          <w:ilvl w:val="0"/>
          <w:numId w:val="12"/>
        </w:numPr>
      </w:pPr>
      <w:hyperlink r:id="rId25" w:history="1">
        <w:r w:rsidR="007F2FAE" w:rsidRPr="00C85BD6">
          <w:rPr>
            <w:rStyle w:val="Hyperlink"/>
          </w:rPr>
          <w:t xml:space="preserve">Goodman, C., Dening, T., Gordon, A.L. and Davies, S.L. (2016) ‘Effective health and social care interventions for ageing populations: The need for integrated care’, </w:t>
        </w:r>
        <w:r w:rsidR="007F2FAE" w:rsidRPr="00C85BD6">
          <w:rPr>
            <w:rStyle w:val="Hyperlink"/>
            <w:i/>
            <w:iCs/>
          </w:rPr>
          <w:t>Age and Ageing</w:t>
        </w:r>
        <w:r w:rsidR="007F2FAE" w:rsidRPr="00C85BD6">
          <w:rPr>
            <w:rStyle w:val="Hyperlink"/>
          </w:rPr>
          <w:t>, 45(1), pp. 3–6.</w:t>
        </w:r>
      </w:hyperlink>
    </w:p>
    <w:p w14:paraId="7708061E" w14:textId="77777777" w:rsidR="007068C6" w:rsidRPr="007F2FAE" w:rsidRDefault="007068C6" w:rsidP="007068C6">
      <w:pPr>
        <w:pStyle w:val="ListParagraph"/>
      </w:pPr>
    </w:p>
    <w:p w14:paraId="63CA1E28" w14:textId="74F53D98" w:rsidR="007068C6" w:rsidRDefault="00934543" w:rsidP="007068C6">
      <w:pPr>
        <w:pStyle w:val="ListParagraph"/>
        <w:numPr>
          <w:ilvl w:val="0"/>
          <w:numId w:val="12"/>
        </w:numPr>
      </w:pPr>
      <w:hyperlink r:id="rId26" w:history="1">
        <w:r w:rsidR="007F2FAE" w:rsidRPr="00934543">
          <w:rPr>
            <w:rStyle w:val="Hyperlink"/>
          </w:rPr>
          <w:t xml:space="preserve">Holt-Lunstad, J., Smith, T.B., Baker, M., Harris, T. and Stephenson, D. (2015) ‘Loneliness and social isolation as risk factors for mortality: A meta-analytic review’, </w:t>
        </w:r>
        <w:r w:rsidR="007F2FAE" w:rsidRPr="00934543">
          <w:rPr>
            <w:rStyle w:val="Hyperlink"/>
            <w:i/>
            <w:iCs/>
          </w:rPr>
          <w:t>Perspectives on Psychological Science</w:t>
        </w:r>
        <w:r w:rsidR="007F2FAE" w:rsidRPr="00934543">
          <w:rPr>
            <w:rStyle w:val="Hyperlink"/>
          </w:rPr>
          <w:t>, 10(2), pp. 227–237.</w:t>
        </w:r>
      </w:hyperlink>
    </w:p>
    <w:p w14:paraId="6EFEFF85" w14:textId="77777777" w:rsidR="00B355B5" w:rsidRDefault="00B355B5" w:rsidP="00B355B5">
      <w:pPr>
        <w:pStyle w:val="ListParagraph"/>
      </w:pPr>
    </w:p>
    <w:p w14:paraId="0A91760E" w14:textId="7B4707B1" w:rsidR="00540FEB" w:rsidRDefault="00FA3269" w:rsidP="00540FEB">
      <w:pPr>
        <w:pStyle w:val="ListParagraph"/>
        <w:numPr>
          <w:ilvl w:val="0"/>
          <w:numId w:val="12"/>
        </w:numPr>
      </w:pPr>
      <w:hyperlink r:id="rId27" w:history="1">
        <w:r w:rsidR="007F2FAE" w:rsidRPr="00FA3269">
          <w:rPr>
            <w:rStyle w:val="Hyperlink"/>
          </w:rPr>
          <w:t xml:space="preserve">Kharicha, K., Manthorpe, J., Iliffe, S., Davies, N. and Walters, K. (2018) ‘Strategies employed by older people to manage loneliness: A qualitative study’, </w:t>
        </w:r>
        <w:r w:rsidR="007F2FAE" w:rsidRPr="00FA3269">
          <w:rPr>
            <w:rStyle w:val="Hyperlink"/>
            <w:i/>
            <w:iCs/>
          </w:rPr>
          <w:t>Aging &amp; Mental Health</w:t>
        </w:r>
        <w:r w:rsidR="007F2FAE" w:rsidRPr="00FA3269">
          <w:rPr>
            <w:rStyle w:val="Hyperlink"/>
          </w:rPr>
          <w:t>, 22(4), pp. 518–525.</w:t>
        </w:r>
      </w:hyperlink>
    </w:p>
    <w:p w14:paraId="7DE3F7F0" w14:textId="77777777" w:rsidR="00BE6262" w:rsidRDefault="00BE6262" w:rsidP="00BE6262">
      <w:pPr>
        <w:pStyle w:val="ListParagraph"/>
      </w:pPr>
    </w:p>
    <w:p w14:paraId="46AE6157" w14:textId="31E8EB55" w:rsidR="00BE6262" w:rsidRDefault="00D875AE" w:rsidP="007A18FB">
      <w:pPr>
        <w:pStyle w:val="ListParagraph"/>
        <w:numPr>
          <w:ilvl w:val="0"/>
          <w:numId w:val="12"/>
        </w:numPr>
      </w:pPr>
      <w:hyperlink r:id="rId28" w:history="1">
        <w:r w:rsidR="007A18FB" w:rsidRPr="00D875AE">
          <w:rPr>
            <w:rStyle w:val="Hyperlink"/>
          </w:rPr>
          <w:t xml:space="preserve">Lubben, J., </w:t>
        </w:r>
        <w:proofErr w:type="spellStart"/>
        <w:r w:rsidR="007A18FB" w:rsidRPr="00D875AE">
          <w:rPr>
            <w:rStyle w:val="Hyperlink"/>
          </w:rPr>
          <w:t>Blozik</w:t>
        </w:r>
        <w:proofErr w:type="spellEnd"/>
        <w:r w:rsidR="007A18FB" w:rsidRPr="00D875AE">
          <w:rPr>
            <w:rStyle w:val="Hyperlink"/>
          </w:rPr>
          <w:t xml:space="preserve">, E., Gillmann, G., Iliffe, S., von </w:t>
        </w:r>
        <w:proofErr w:type="spellStart"/>
        <w:r w:rsidR="007A18FB" w:rsidRPr="00D875AE">
          <w:rPr>
            <w:rStyle w:val="Hyperlink"/>
          </w:rPr>
          <w:t>Renteln</w:t>
        </w:r>
        <w:proofErr w:type="spellEnd"/>
        <w:r w:rsidR="007A18FB" w:rsidRPr="00D875AE">
          <w:rPr>
            <w:rStyle w:val="Hyperlink"/>
          </w:rPr>
          <w:t xml:space="preserve"> Kruse, W., Beck, J.C. and Stuck, A.E. (2006) ‘Performance of an abbreviated version of the Lubben Social Network Scale among three European community-dwelling older adult populations’, The Gerontologist, 46(4), pp. 503–513</w:t>
        </w:r>
      </w:hyperlink>
    </w:p>
    <w:p w14:paraId="0791328D" w14:textId="77777777" w:rsidR="007A18FB" w:rsidRPr="007F2FAE" w:rsidRDefault="007A18FB" w:rsidP="00BE6262">
      <w:pPr>
        <w:pStyle w:val="ListParagraph"/>
      </w:pPr>
    </w:p>
    <w:p w14:paraId="1C32F50F" w14:textId="03A1F7C6" w:rsidR="003572BD" w:rsidRDefault="00373551" w:rsidP="003572BD">
      <w:pPr>
        <w:pStyle w:val="ListParagraph"/>
        <w:numPr>
          <w:ilvl w:val="0"/>
          <w:numId w:val="12"/>
        </w:numPr>
      </w:pPr>
      <w:hyperlink r:id="rId29" w:history="1">
        <w:r w:rsidR="007F2FAE" w:rsidRPr="00373551">
          <w:rPr>
            <w:rStyle w:val="Hyperlink"/>
          </w:rPr>
          <w:t xml:space="preserve">Russell, D.W. (1996) ‘UCLA Loneliness Scale (Version 3): Reliability, validity, and factor structure’, </w:t>
        </w:r>
        <w:r w:rsidR="007F2FAE" w:rsidRPr="00373551">
          <w:rPr>
            <w:rStyle w:val="Hyperlink"/>
            <w:i/>
            <w:iCs/>
          </w:rPr>
          <w:t>Journal of Personality Assessment</w:t>
        </w:r>
        <w:r w:rsidR="007F2FAE" w:rsidRPr="00373551">
          <w:rPr>
            <w:rStyle w:val="Hyperlink"/>
          </w:rPr>
          <w:t>, 66(1), pp. 20–40.</w:t>
        </w:r>
      </w:hyperlink>
    </w:p>
    <w:p w14:paraId="795A8260" w14:textId="77777777" w:rsidR="00B355B5" w:rsidRPr="007F2FAE" w:rsidRDefault="00B355B5" w:rsidP="00B355B5">
      <w:pPr>
        <w:pStyle w:val="ListParagraph"/>
      </w:pPr>
    </w:p>
    <w:p w14:paraId="7C032C23" w14:textId="0976C3A1" w:rsidR="007F2FAE" w:rsidRDefault="0096227F" w:rsidP="005E6081">
      <w:pPr>
        <w:pStyle w:val="ListParagraph"/>
        <w:numPr>
          <w:ilvl w:val="0"/>
          <w:numId w:val="12"/>
        </w:numPr>
      </w:pPr>
      <w:hyperlink r:id="rId30" w:history="1">
        <w:r w:rsidR="007F2FAE" w:rsidRPr="0096227F">
          <w:rPr>
            <w:rStyle w:val="Hyperlink"/>
          </w:rPr>
          <w:t>Seifert, A., Cotten, S.R. and Xie, B. (2020) ‘A double burden of exclusion? Digital and social exclusion of older adults in times of COVID</w:t>
        </w:r>
        <w:r w:rsidR="007F2FAE" w:rsidRPr="0096227F">
          <w:rPr>
            <w:rStyle w:val="Hyperlink"/>
          </w:rPr>
          <w:noBreakHyphen/>
          <w:t xml:space="preserve">19’, </w:t>
        </w:r>
        <w:r w:rsidR="007F2FAE" w:rsidRPr="0096227F">
          <w:rPr>
            <w:rStyle w:val="Hyperlink"/>
            <w:i/>
            <w:iCs/>
          </w:rPr>
          <w:t>The Journals of Gerontology: Series B</w:t>
        </w:r>
        <w:r w:rsidR="007F2FAE" w:rsidRPr="0096227F">
          <w:rPr>
            <w:rStyle w:val="Hyperlink"/>
          </w:rPr>
          <w:t>, 76(3), pp. e99–e103.</w:t>
        </w:r>
      </w:hyperlink>
    </w:p>
    <w:p w14:paraId="6646AFC9" w14:textId="77777777" w:rsidR="003572BD" w:rsidRPr="007F2FAE" w:rsidRDefault="003572BD" w:rsidP="003572BD">
      <w:pPr>
        <w:pStyle w:val="ListParagraph"/>
      </w:pPr>
    </w:p>
    <w:p w14:paraId="20C129B0" w14:textId="2163E95F" w:rsidR="007F2FAE" w:rsidRDefault="00A463E4" w:rsidP="005E6081">
      <w:pPr>
        <w:pStyle w:val="ListParagraph"/>
        <w:numPr>
          <w:ilvl w:val="0"/>
          <w:numId w:val="12"/>
        </w:numPr>
      </w:pPr>
      <w:hyperlink r:id="rId31" w:history="1">
        <w:hyperlink r:id="rId32" w:history="1">
          <w:r w:rsidR="007F2FAE" w:rsidRPr="00A463E4">
            <w:rPr>
              <w:rStyle w:val="Hyperlink"/>
            </w:rPr>
            <w:t xml:space="preserve">Tsai, H.H., Tsai, Y.F., </w:t>
          </w:r>
          <w:r w:rsidR="007F2FAE" w:rsidRPr="00A463E4">
            <w:rPr>
              <w:rStyle w:val="Hyperlink"/>
            </w:rPr>
            <w:t>W</w:t>
          </w:r>
          <w:r w:rsidR="007F2FAE" w:rsidRPr="00A463E4">
            <w:rPr>
              <w:rStyle w:val="Hyperlink"/>
            </w:rPr>
            <w:t xml:space="preserve">ang, H.H., Chang, Y.C. and Chu, H.H. (2010) ‘Videoconference program enhances social support, loneliness, and depressive status of elderly nursing home residents’, </w:t>
          </w:r>
          <w:r w:rsidR="007F2FAE" w:rsidRPr="00A463E4">
            <w:rPr>
              <w:rStyle w:val="Hyperlink"/>
              <w:i/>
              <w:iCs/>
            </w:rPr>
            <w:t>Aging &amp; Mental Health</w:t>
          </w:r>
          <w:r w:rsidR="007F2FAE" w:rsidRPr="00A463E4">
            <w:rPr>
              <w:rStyle w:val="Hyperlink"/>
            </w:rPr>
            <w:t>, 14(8), pp. 947–954.</w:t>
          </w:r>
        </w:hyperlink>
      </w:hyperlink>
    </w:p>
    <w:p w14:paraId="36E705E6" w14:textId="77777777" w:rsidR="003572BD" w:rsidRPr="007F2FAE" w:rsidRDefault="003572BD" w:rsidP="003572BD">
      <w:pPr>
        <w:pStyle w:val="ListParagraph"/>
      </w:pPr>
    </w:p>
    <w:p w14:paraId="2D68F8DD" w14:textId="5F996FEF" w:rsidR="007F2FAE" w:rsidRPr="007F2FAE" w:rsidRDefault="00136F47" w:rsidP="005E6081">
      <w:pPr>
        <w:pStyle w:val="ListParagraph"/>
        <w:numPr>
          <w:ilvl w:val="0"/>
          <w:numId w:val="12"/>
        </w:numPr>
      </w:pPr>
      <w:hyperlink r:id="rId33" w:history="1">
        <w:r w:rsidR="007F2FAE" w:rsidRPr="00136F47">
          <w:rPr>
            <w:rStyle w:val="Hyperlink"/>
          </w:rPr>
          <w:t>Vi</w:t>
        </w:r>
        <w:r w:rsidR="007F2FAE" w:rsidRPr="00136F47">
          <w:rPr>
            <w:rStyle w:val="Hyperlink"/>
          </w:rPr>
          <w:t>c</w:t>
        </w:r>
        <w:r w:rsidR="007F2FAE" w:rsidRPr="00136F47">
          <w:rPr>
            <w:rStyle w:val="Hyperlink"/>
          </w:rPr>
          <w:t xml:space="preserve">tor, C.R., Pikhartova, J. and Quinn, C. (2021) ‘Loneliness in later life: A follow-up study of older people in England’, </w:t>
        </w:r>
        <w:r w:rsidR="007F2FAE" w:rsidRPr="00136F47">
          <w:rPr>
            <w:rStyle w:val="Hyperlink"/>
            <w:i/>
            <w:iCs/>
          </w:rPr>
          <w:t>Ageing &amp; Society</w:t>
        </w:r>
        <w:r w:rsidR="007F2FAE" w:rsidRPr="00136F47">
          <w:rPr>
            <w:rStyle w:val="Hyperlink"/>
          </w:rPr>
          <w:t>, 41(3), pp. 1–22.</w:t>
        </w:r>
      </w:hyperlink>
    </w:p>
    <w:p w14:paraId="4402A299" w14:textId="4A849C1C" w:rsidR="006C22A2" w:rsidRDefault="006C22A2" w:rsidP="00FB22F8"/>
    <w:sectPr w:rsidR="006C22A2" w:rsidSect="00C24AAB">
      <w:pgSz w:w="11906" w:h="16838"/>
      <w:pgMar w:top="1440" w:right="1440" w:bottom="1440" w:left="1440" w:header="708" w:footer="708" w:gutter="0"/>
      <w:pgBorders w:offsetFrom="page">
        <w:top w:val="thinThickThinSmallGap" w:sz="24" w:space="24" w:color="0F4761" w:themeColor="accent1" w:themeShade="BF"/>
        <w:left w:val="thinThickThinSmallGap" w:sz="24" w:space="24" w:color="0F4761" w:themeColor="accent1" w:themeShade="BF"/>
        <w:bottom w:val="thinThickThinSmallGap" w:sz="24" w:space="24" w:color="0F4761" w:themeColor="accent1" w:themeShade="BF"/>
        <w:right w:val="thinThickThinSmallGap" w:sz="24" w:space="24" w:color="0F4761" w:themeColor="accent1" w:themeShade="BF"/>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47077"/>
    <w:multiLevelType w:val="multilevel"/>
    <w:tmpl w:val="B19C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50004"/>
    <w:multiLevelType w:val="multilevel"/>
    <w:tmpl w:val="7342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640B3C"/>
    <w:multiLevelType w:val="multilevel"/>
    <w:tmpl w:val="80AE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002318"/>
    <w:multiLevelType w:val="multilevel"/>
    <w:tmpl w:val="1200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A782F"/>
    <w:multiLevelType w:val="multilevel"/>
    <w:tmpl w:val="B932476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E155EC"/>
    <w:multiLevelType w:val="multilevel"/>
    <w:tmpl w:val="24E48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566FBC"/>
    <w:multiLevelType w:val="multilevel"/>
    <w:tmpl w:val="9BFE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204275"/>
    <w:multiLevelType w:val="multilevel"/>
    <w:tmpl w:val="6902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6A611D"/>
    <w:multiLevelType w:val="multilevel"/>
    <w:tmpl w:val="AB1A7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7B417B"/>
    <w:multiLevelType w:val="multilevel"/>
    <w:tmpl w:val="BB1E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B758DF"/>
    <w:multiLevelType w:val="hybridMultilevel"/>
    <w:tmpl w:val="B3DC7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526003"/>
    <w:multiLevelType w:val="multilevel"/>
    <w:tmpl w:val="501C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647492">
    <w:abstractNumId w:val="2"/>
  </w:num>
  <w:num w:numId="2" w16cid:durableId="1804887532">
    <w:abstractNumId w:val="4"/>
  </w:num>
  <w:num w:numId="3" w16cid:durableId="292833854">
    <w:abstractNumId w:val="1"/>
  </w:num>
  <w:num w:numId="4" w16cid:durableId="1679692390">
    <w:abstractNumId w:val="11"/>
  </w:num>
  <w:num w:numId="5" w16cid:durableId="1096483732">
    <w:abstractNumId w:val="9"/>
  </w:num>
  <w:num w:numId="6" w16cid:durableId="1974165765">
    <w:abstractNumId w:val="0"/>
  </w:num>
  <w:num w:numId="7" w16cid:durableId="718019317">
    <w:abstractNumId w:val="7"/>
  </w:num>
  <w:num w:numId="8" w16cid:durableId="308635112">
    <w:abstractNumId w:val="8"/>
  </w:num>
  <w:num w:numId="9" w16cid:durableId="2092509854">
    <w:abstractNumId w:val="5"/>
  </w:num>
  <w:num w:numId="10" w16cid:durableId="18548617">
    <w:abstractNumId w:val="3"/>
  </w:num>
  <w:num w:numId="11" w16cid:durableId="58478258">
    <w:abstractNumId w:val="6"/>
  </w:num>
  <w:num w:numId="12" w16cid:durableId="3955176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AB"/>
    <w:rsid w:val="000073C1"/>
    <w:rsid w:val="000219BB"/>
    <w:rsid w:val="00042FDB"/>
    <w:rsid w:val="0004657A"/>
    <w:rsid w:val="000D0E35"/>
    <w:rsid w:val="00136F47"/>
    <w:rsid w:val="00175529"/>
    <w:rsid w:val="00185D6D"/>
    <w:rsid w:val="001B4428"/>
    <w:rsid w:val="00227534"/>
    <w:rsid w:val="002713CC"/>
    <w:rsid w:val="003572BD"/>
    <w:rsid w:val="00373551"/>
    <w:rsid w:val="003C0718"/>
    <w:rsid w:val="00404602"/>
    <w:rsid w:val="0042234E"/>
    <w:rsid w:val="0044682E"/>
    <w:rsid w:val="00455AEC"/>
    <w:rsid w:val="00540FEB"/>
    <w:rsid w:val="005601A8"/>
    <w:rsid w:val="005E6081"/>
    <w:rsid w:val="006303F2"/>
    <w:rsid w:val="00635AE8"/>
    <w:rsid w:val="006C22A2"/>
    <w:rsid w:val="007068C6"/>
    <w:rsid w:val="00790225"/>
    <w:rsid w:val="007A18FB"/>
    <w:rsid w:val="007F2FAE"/>
    <w:rsid w:val="00820579"/>
    <w:rsid w:val="008B6020"/>
    <w:rsid w:val="00934543"/>
    <w:rsid w:val="00935E04"/>
    <w:rsid w:val="0096227F"/>
    <w:rsid w:val="0099339C"/>
    <w:rsid w:val="009E7768"/>
    <w:rsid w:val="00A463E4"/>
    <w:rsid w:val="00AA4E95"/>
    <w:rsid w:val="00B355B5"/>
    <w:rsid w:val="00B82D77"/>
    <w:rsid w:val="00BB1E0C"/>
    <w:rsid w:val="00BE6262"/>
    <w:rsid w:val="00BE7A4F"/>
    <w:rsid w:val="00C24AAB"/>
    <w:rsid w:val="00C613DF"/>
    <w:rsid w:val="00C85BD6"/>
    <w:rsid w:val="00CC04C2"/>
    <w:rsid w:val="00D875AE"/>
    <w:rsid w:val="00DC1A27"/>
    <w:rsid w:val="00E53C69"/>
    <w:rsid w:val="00E55BD1"/>
    <w:rsid w:val="00EE77EE"/>
    <w:rsid w:val="00EF0257"/>
    <w:rsid w:val="00F236CB"/>
    <w:rsid w:val="00FA3269"/>
    <w:rsid w:val="00FB1885"/>
    <w:rsid w:val="00FB22F8"/>
    <w:rsid w:val="00FD6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44EE4"/>
  <w15:chartTrackingRefBased/>
  <w15:docId w15:val="{5B906CB9-D42D-4E71-95DF-89E697DD6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AAB"/>
    <w:rPr>
      <w:rFonts w:eastAsiaTheme="minorEastAsia"/>
      <w:lang w:eastAsia="en-GB"/>
    </w:rPr>
  </w:style>
  <w:style w:type="paragraph" w:styleId="Heading1">
    <w:name w:val="heading 1"/>
    <w:basedOn w:val="Normal"/>
    <w:next w:val="Normal"/>
    <w:link w:val="Heading1Char"/>
    <w:uiPriority w:val="9"/>
    <w:qFormat/>
    <w:rsid w:val="00C24A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4A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4A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4A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4A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4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A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4A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4A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4A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4A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4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AAB"/>
    <w:rPr>
      <w:rFonts w:eastAsiaTheme="majorEastAsia" w:cstheme="majorBidi"/>
      <w:color w:val="272727" w:themeColor="text1" w:themeTint="D8"/>
    </w:rPr>
  </w:style>
  <w:style w:type="paragraph" w:styleId="Title">
    <w:name w:val="Title"/>
    <w:basedOn w:val="Normal"/>
    <w:next w:val="Normal"/>
    <w:link w:val="TitleChar"/>
    <w:uiPriority w:val="10"/>
    <w:qFormat/>
    <w:rsid w:val="00C24A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A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A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4A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AAB"/>
    <w:pPr>
      <w:spacing w:before="160"/>
      <w:jc w:val="center"/>
    </w:pPr>
    <w:rPr>
      <w:i/>
      <w:iCs/>
      <w:color w:val="404040" w:themeColor="text1" w:themeTint="BF"/>
    </w:rPr>
  </w:style>
  <w:style w:type="character" w:customStyle="1" w:styleId="QuoteChar">
    <w:name w:val="Quote Char"/>
    <w:basedOn w:val="DefaultParagraphFont"/>
    <w:link w:val="Quote"/>
    <w:uiPriority w:val="29"/>
    <w:rsid w:val="00C24AAB"/>
    <w:rPr>
      <w:i/>
      <w:iCs/>
      <w:color w:val="404040" w:themeColor="text1" w:themeTint="BF"/>
    </w:rPr>
  </w:style>
  <w:style w:type="paragraph" w:styleId="ListParagraph">
    <w:name w:val="List Paragraph"/>
    <w:basedOn w:val="Normal"/>
    <w:uiPriority w:val="34"/>
    <w:qFormat/>
    <w:rsid w:val="00C24AAB"/>
    <w:pPr>
      <w:ind w:left="720"/>
      <w:contextualSpacing/>
    </w:pPr>
  </w:style>
  <w:style w:type="character" w:styleId="IntenseEmphasis">
    <w:name w:val="Intense Emphasis"/>
    <w:basedOn w:val="DefaultParagraphFont"/>
    <w:uiPriority w:val="21"/>
    <w:qFormat/>
    <w:rsid w:val="00C24AAB"/>
    <w:rPr>
      <w:i/>
      <w:iCs/>
      <w:color w:val="0F4761" w:themeColor="accent1" w:themeShade="BF"/>
    </w:rPr>
  </w:style>
  <w:style w:type="paragraph" w:styleId="IntenseQuote">
    <w:name w:val="Intense Quote"/>
    <w:basedOn w:val="Normal"/>
    <w:next w:val="Normal"/>
    <w:link w:val="IntenseQuoteChar"/>
    <w:uiPriority w:val="30"/>
    <w:qFormat/>
    <w:rsid w:val="00C24A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4AAB"/>
    <w:rPr>
      <w:i/>
      <w:iCs/>
      <w:color w:val="0F4761" w:themeColor="accent1" w:themeShade="BF"/>
    </w:rPr>
  </w:style>
  <w:style w:type="character" w:styleId="IntenseReference">
    <w:name w:val="Intense Reference"/>
    <w:basedOn w:val="DefaultParagraphFont"/>
    <w:uiPriority w:val="32"/>
    <w:qFormat/>
    <w:rsid w:val="00C24AAB"/>
    <w:rPr>
      <w:b/>
      <w:bCs/>
      <w:smallCaps/>
      <w:color w:val="0F4761" w:themeColor="accent1" w:themeShade="BF"/>
      <w:spacing w:val="5"/>
    </w:rPr>
  </w:style>
  <w:style w:type="paragraph" w:styleId="NoSpacing">
    <w:name w:val="No Spacing"/>
    <w:link w:val="NoSpacingChar"/>
    <w:uiPriority w:val="1"/>
    <w:qFormat/>
    <w:rsid w:val="00C24AA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24AAB"/>
    <w:rPr>
      <w:rFonts w:eastAsiaTheme="minorEastAsia"/>
      <w:kern w:val="0"/>
      <w:sz w:val="22"/>
      <w:szCs w:val="22"/>
      <w:lang w:val="en-US"/>
      <w14:ligatures w14:val="none"/>
    </w:rPr>
  </w:style>
  <w:style w:type="table" w:styleId="TableGrid">
    <w:name w:val="Table Grid"/>
    <w:basedOn w:val="TableNormal"/>
    <w:uiPriority w:val="39"/>
    <w:rsid w:val="00C613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205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4">
    <w:name w:val="Grid Table 6 Colorful Accent 4"/>
    <w:basedOn w:val="TableNormal"/>
    <w:uiPriority w:val="51"/>
    <w:rsid w:val="00B82D7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42234E"/>
    <w:rPr>
      <w:color w:val="467886" w:themeColor="hyperlink"/>
      <w:u w:val="single"/>
    </w:rPr>
  </w:style>
  <w:style w:type="character" w:styleId="UnresolvedMention">
    <w:name w:val="Unresolved Mention"/>
    <w:basedOn w:val="DefaultParagraphFont"/>
    <w:uiPriority w:val="99"/>
    <w:semiHidden/>
    <w:unhideWhenUsed/>
    <w:rsid w:val="0042234E"/>
    <w:rPr>
      <w:color w:val="605E5C"/>
      <w:shd w:val="clear" w:color="auto" w:fill="E1DFDD"/>
    </w:rPr>
  </w:style>
  <w:style w:type="character" w:styleId="FollowedHyperlink">
    <w:name w:val="FollowedHyperlink"/>
    <w:basedOn w:val="DefaultParagraphFont"/>
    <w:uiPriority w:val="99"/>
    <w:semiHidden/>
    <w:unhideWhenUsed/>
    <w:rsid w:val="00B355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5.xml"/><Relationship Id="rId18" Type="http://schemas.openxmlformats.org/officeDocument/2006/relationships/image" Target="media/image8.png"/><Relationship Id="rId26" Type="http://schemas.openxmlformats.org/officeDocument/2006/relationships/hyperlink" Target="https://journals.sagepub.com/doi/abs/10.1177/1745691614568352" TargetMode="External"/><Relationship Id="rId3" Type="http://schemas.openxmlformats.org/officeDocument/2006/relationships/settings" Target="settings.xml"/><Relationship Id="rId21" Type="http://schemas.openxmlformats.org/officeDocument/2006/relationships/hyperlink" Target="https://www.tandfonline.com/doi/abs/10.1080/13607863.2022.2036947" TargetMode="External"/><Relationship Id="rId34" Type="http://schemas.openxmlformats.org/officeDocument/2006/relationships/fontTable" Target="fontTable.xml"/><Relationship Id="rId7" Type="http://schemas.openxmlformats.org/officeDocument/2006/relationships/customXml" Target="ink/ink2.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link.springer.com/article/10.1186/s12913-016-1493-4" TargetMode="External"/><Relationship Id="rId33" Type="http://schemas.openxmlformats.org/officeDocument/2006/relationships/hyperlink" Target="https://bradscholars.brad.ac.uk/bitstreams/594f71a6-8579-46fa-acce-b4929bd046a0/download"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www.cambridge.org/core/journals/ageing-and-society/article/preventing-social-isolation-and-loneliness-among-older-people-a-systematic-review-of-health-promotion-interventions/06510CBA74BBCF3FD2821BB96525647C" TargetMode="External"/><Relationship Id="rId29" Type="http://schemas.openxmlformats.org/officeDocument/2006/relationships/hyperlink" Target="https://www.tandfonline.com/doi/abs/10.1207/s15327752jpa6601_2"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24" Type="http://schemas.openxmlformats.org/officeDocument/2006/relationships/hyperlink" Target="https://onlinelibrary.wiley.com/doi/abs/10.1111/hsc.12367" TargetMode="External"/><Relationship Id="rId32" Type="http://schemas.openxmlformats.org/officeDocument/2006/relationships/hyperlink" Target="https://scholar.google.co.uk/scholar?q=video+conference+program+enhances+social+support+loneliness+depressive+status+tsai+2010&amp;hl=en&amp;as_sdt=0&amp;as_vis=1&amp;oi=scholart" TargetMode="External"/><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hyperlink" Target="https://link.springer.com/article/10.1186/s12889-020-8251-6" TargetMode="External"/><Relationship Id="rId28" Type="http://schemas.openxmlformats.org/officeDocument/2006/relationships/hyperlink" Target="https://academic.oup.com/gerontologist/article-abstract/46/4/503/623897"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ambridge.org/core/journals/ageing-and-society/article/supportive-network-rural-disadvantaged-older-people-and-ict/A6A43497AC35E7686737E3E442F8F63E" TargetMode="External"/><Relationship Id="rId31" Type="http://schemas.openxmlformats.org/officeDocument/2006/relationships/hyperlink" Target="https://www.tandfonline.com/doi/abs/10.1080/13607863.2010.501057" TargetMode="Externa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5.png"/><Relationship Id="rId22" Type="http://schemas.openxmlformats.org/officeDocument/2006/relationships/hyperlink" Target="https://www.tandfonline.com/doi/abs/10.1080/13607863.2022.2036947" TargetMode="External"/><Relationship Id="rId27" Type="http://schemas.openxmlformats.org/officeDocument/2006/relationships/hyperlink" Target="https://www.cambridge.org/core/journals/international-psychogeriatrics/article/strategies-employed-by-older-people-to-manage-loneliness-systematic-review-of-qualitative-studies-and-model-development/928F1104791937029B04D497F7932CDC" TargetMode="External"/><Relationship Id="rId30" Type="http://schemas.openxmlformats.org/officeDocument/2006/relationships/hyperlink" Target="https://academic.oup.com/psychsocgerontology/article-abstract/76/3/e99/5872331" TargetMode="External"/><Relationship Id="rId35" Type="http://schemas.openxmlformats.org/officeDocument/2006/relationships/glossaryDocument" Target="glossary/document.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939B55850E4FA490E3AE2BD0E96C9A"/>
        <w:category>
          <w:name w:val="General"/>
          <w:gallery w:val="placeholder"/>
        </w:category>
        <w:types>
          <w:type w:val="bbPlcHdr"/>
        </w:types>
        <w:behaviors>
          <w:behavior w:val="content"/>
        </w:behaviors>
        <w:guid w:val="{D9A648CF-2066-451F-BEDD-FDE1BD2308FD}"/>
      </w:docPartPr>
      <w:docPartBody>
        <w:p w:rsidR="00000000" w:rsidRDefault="00976B88" w:rsidP="00976B88">
          <w:pPr>
            <w:pStyle w:val="A7939B55850E4FA490E3AE2BD0E96C9A"/>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B88"/>
    <w:rsid w:val="00976B88"/>
    <w:rsid w:val="0099339C"/>
    <w:rsid w:val="00BD2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939B55850E4FA490E3AE2BD0E96C9A">
    <w:name w:val="A7939B55850E4FA490E3AE2BD0E96C9A"/>
    <w:rsid w:val="00976B88"/>
  </w:style>
  <w:style w:type="paragraph" w:customStyle="1" w:styleId="F31DD29C4E544491BE23740108350EE9">
    <w:name w:val="F31DD29C4E544491BE23740108350EE9"/>
    <w:rsid w:val="00976B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15T17:24:01.910"/>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2369 0,'-2357'0,"2345"0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15T17:23:53.343"/>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0,'2621'0,"-2609"0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15T17:23:40.012"/>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2393 1,'-2376'0,"2360"0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15T17:23:31.949"/>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1,'2719'0,"-2699"0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15T17:23:13.277"/>
    </inkml:context>
    <inkml:brush xml:id="br0">
      <inkml:brushProperty name="width" value="0.3" units="cm"/>
      <inkml:brushProperty name="height" value="0.6" units="cm"/>
      <inkml:brushProperty name="color" value="#A9D8FF"/>
      <inkml:brushProperty name="tip" value="rectangle"/>
      <inkml:brushProperty name="rasterOp" value="maskPen"/>
      <inkml:brushProperty name="ignorePressure" value="1"/>
    </inkml:brush>
  </inkml:definitions>
  <inkml:trace contextRef="#ctx0" brushRef="#br0">1 0,'2140'0,"-2122"0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15T17:22:45.633"/>
    </inkml:context>
    <inkml:brush xml:id="br0">
      <inkml:brushProperty name="width" value="0.3" units="cm"/>
      <inkml:brushProperty name="height" value="0.6" units="cm"/>
      <inkml:brushProperty name="color" value="#A9D8FF"/>
      <inkml:brushProperty name="tip" value="rectangle"/>
      <inkml:brushProperty name="rasterOp" value="maskPen"/>
      <inkml:brushProperty name="ignorePressure" value="1"/>
    </inkml:brush>
  </inkml:definitions>
  <inkml:trace contextRef="#ctx0" brushRef="#br0">2493 0,'-2481'0,"2470"0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14</Pages>
  <Words>4851</Words>
  <Characters>27651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assignment</dc:title>
  <dc:subject/>
  <dc:creator>S K</dc:creator>
  <cp:keywords/>
  <dc:description/>
  <cp:lastModifiedBy>S K</cp:lastModifiedBy>
  <cp:revision>51</cp:revision>
  <dcterms:created xsi:type="dcterms:W3CDTF">2026-02-15T17:12:00Z</dcterms:created>
  <dcterms:modified xsi:type="dcterms:W3CDTF">2026-02-15T18:48:00Z</dcterms:modified>
</cp:coreProperties>
</file>