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39"/>
        <w:gridCol w:w="7887"/>
      </w:tblGrid>
      <w:tr w:rsidR="00956EDD" w:rsidRPr="00707724" w14:paraId="2FE1D58D" w14:textId="77777777" w:rsidTr="00956EDD">
        <w:trPr>
          <w:tblHeader/>
          <w:tblCellSpacing w:w="15" w:type="dxa"/>
        </w:trPr>
        <w:tc>
          <w:tcPr>
            <w:tcW w:w="0" w:type="auto"/>
            <w:vAlign w:val="center"/>
            <w:hideMark/>
          </w:tcPr>
          <w:p w14:paraId="2CD875F7" w14:textId="77777777" w:rsidR="00956EDD" w:rsidRPr="00707724" w:rsidRDefault="00956EDD" w:rsidP="00956EDD">
            <w:pPr>
              <w:spacing w:after="0" w:line="240" w:lineRule="auto"/>
              <w:jc w:val="center"/>
              <w:rPr>
                <w:rFonts w:asciiTheme="majorBidi" w:eastAsia="Times New Roman" w:hAnsiTheme="majorBidi" w:cstheme="majorBidi"/>
                <w:b/>
                <w:bCs/>
                <w:kern w:val="0"/>
                <w:sz w:val="22"/>
                <w:szCs w:val="22"/>
                <w14:ligatures w14:val="none"/>
              </w:rPr>
            </w:pPr>
            <w:r w:rsidRPr="00707724">
              <w:rPr>
                <w:rFonts w:asciiTheme="majorBidi" w:eastAsia="Times New Roman" w:hAnsiTheme="majorBidi" w:cstheme="majorBidi"/>
                <w:b/>
                <w:bCs/>
                <w:kern w:val="0"/>
                <w:sz w:val="22"/>
                <w:szCs w:val="22"/>
                <w14:ligatures w14:val="none"/>
              </w:rPr>
              <w:t>Participant</w:t>
            </w:r>
          </w:p>
        </w:tc>
        <w:tc>
          <w:tcPr>
            <w:tcW w:w="0" w:type="auto"/>
            <w:vAlign w:val="center"/>
            <w:hideMark/>
          </w:tcPr>
          <w:p w14:paraId="07324DDD" w14:textId="77777777" w:rsidR="00956EDD" w:rsidRPr="00707724" w:rsidRDefault="00956EDD" w:rsidP="00956EDD">
            <w:pPr>
              <w:spacing w:after="0" w:line="240" w:lineRule="auto"/>
              <w:jc w:val="center"/>
              <w:rPr>
                <w:rFonts w:asciiTheme="majorBidi" w:eastAsia="Times New Roman" w:hAnsiTheme="majorBidi" w:cstheme="majorBidi"/>
                <w:b/>
                <w:bCs/>
                <w:kern w:val="0"/>
                <w:sz w:val="22"/>
                <w:szCs w:val="22"/>
                <w14:ligatures w14:val="none"/>
              </w:rPr>
            </w:pPr>
            <w:r w:rsidRPr="00707724">
              <w:rPr>
                <w:rFonts w:asciiTheme="majorBidi" w:eastAsia="Times New Roman" w:hAnsiTheme="majorBidi" w:cstheme="majorBidi"/>
                <w:b/>
                <w:bCs/>
                <w:kern w:val="0"/>
                <w:sz w:val="22"/>
                <w:szCs w:val="22"/>
                <w14:ligatures w14:val="none"/>
              </w:rPr>
              <w:t>Extract</w:t>
            </w:r>
          </w:p>
        </w:tc>
      </w:tr>
      <w:tr w:rsidR="009E1E90" w:rsidRPr="00707724" w14:paraId="49A4A69B" w14:textId="77777777" w:rsidTr="00A53F03">
        <w:trPr>
          <w:tblCellSpacing w:w="15" w:type="dxa"/>
        </w:trPr>
        <w:tc>
          <w:tcPr>
            <w:tcW w:w="0" w:type="auto"/>
            <w:vAlign w:val="center"/>
          </w:tcPr>
          <w:p w14:paraId="05CA59E5" w14:textId="59FB5B6C"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hideMark/>
          </w:tcPr>
          <w:p w14:paraId="3EE7473C" w14:textId="126FF6EF"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“At school, I get in trouble quite a bit for things like not focusing and getting distracted.”</w:t>
            </w:r>
            <w:r w:rsidRPr="00707724">
              <w:rPr>
                <w:rFonts w:asciiTheme="majorBidi" w:hAnsiTheme="majorBidi" w:cstheme="majorBidi"/>
                <w:sz w:val="22"/>
                <w:szCs w:val="22"/>
              </w:rPr>
              <w:br/>
            </w:r>
          </w:p>
        </w:tc>
      </w:tr>
      <w:tr w:rsidR="009E1E90" w:rsidRPr="00707724" w14:paraId="44995B88" w14:textId="77777777" w:rsidTr="00A53F03">
        <w:trPr>
          <w:tblCellSpacing w:w="15" w:type="dxa"/>
        </w:trPr>
        <w:tc>
          <w:tcPr>
            <w:tcW w:w="0" w:type="auto"/>
            <w:vAlign w:val="center"/>
          </w:tcPr>
          <w:p w14:paraId="4C987208" w14:textId="284DA00B"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hideMark/>
          </w:tcPr>
          <w:p w14:paraId="0F5B8210" w14:textId="44EEE65E"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“When I’m at home, Mum might give me instructions, and I’ll get distracted and forget what I’m supposed to be doing.”</w:t>
            </w:r>
            <w:r w:rsidRPr="00707724">
              <w:rPr>
                <w:rFonts w:asciiTheme="majorBidi" w:hAnsiTheme="majorBidi" w:cstheme="majorBidi"/>
                <w:sz w:val="22"/>
                <w:szCs w:val="22"/>
              </w:rPr>
              <w:br/>
            </w:r>
          </w:p>
        </w:tc>
      </w:tr>
      <w:tr w:rsidR="009E1E90" w:rsidRPr="00707724" w14:paraId="7F062259" w14:textId="77777777" w:rsidTr="00A53F03">
        <w:trPr>
          <w:tblCellSpacing w:w="15" w:type="dxa"/>
        </w:trPr>
        <w:tc>
          <w:tcPr>
            <w:tcW w:w="0" w:type="auto"/>
            <w:vAlign w:val="center"/>
          </w:tcPr>
          <w:p w14:paraId="4A594154" w14:textId="4501823D"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hideMark/>
          </w:tcPr>
          <w:p w14:paraId="5D2C13F2" w14:textId="39D1726C"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“It’s not like I choose not to listen…it’s just I carry on without thinking.”</w:t>
            </w:r>
            <w:r w:rsidRPr="00707724">
              <w:rPr>
                <w:rFonts w:asciiTheme="majorBidi" w:hAnsiTheme="majorBidi" w:cstheme="majorBidi"/>
                <w:sz w:val="22"/>
                <w:szCs w:val="22"/>
              </w:rPr>
              <w:br/>
            </w:r>
          </w:p>
        </w:tc>
      </w:tr>
      <w:tr w:rsidR="009E1E90" w:rsidRPr="00707724" w14:paraId="12D7BB56" w14:textId="77777777" w:rsidTr="00A53F03">
        <w:trPr>
          <w:tblCellSpacing w:w="15" w:type="dxa"/>
        </w:trPr>
        <w:tc>
          <w:tcPr>
            <w:tcW w:w="0" w:type="auto"/>
            <w:vAlign w:val="center"/>
          </w:tcPr>
          <w:p w14:paraId="29609EB4" w14:textId="65EE397F"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hideMark/>
          </w:tcPr>
          <w:p w14:paraId="7AB5284B" w14:textId="28D0B230"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“When I play football…I forget I have ADHD. I can concentrate on that.”</w:t>
            </w:r>
            <w:r w:rsidRPr="00707724">
              <w:rPr>
                <w:rFonts w:asciiTheme="majorBidi" w:hAnsiTheme="majorBidi" w:cstheme="majorBidi"/>
                <w:sz w:val="22"/>
                <w:szCs w:val="22"/>
              </w:rPr>
              <w:br/>
            </w:r>
          </w:p>
        </w:tc>
      </w:tr>
      <w:tr w:rsidR="009E1E90" w:rsidRPr="00707724" w14:paraId="2B30A3A0" w14:textId="77777777" w:rsidTr="00A53F03">
        <w:trPr>
          <w:tblCellSpacing w:w="15" w:type="dxa"/>
        </w:trPr>
        <w:tc>
          <w:tcPr>
            <w:tcW w:w="0" w:type="auto"/>
            <w:vAlign w:val="center"/>
          </w:tcPr>
          <w:p w14:paraId="793A8FE8" w14:textId="7F20A715"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hideMark/>
          </w:tcPr>
          <w:p w14:paraId="56AFA3ED" w14:textId="3428376D"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“I guess I forget I have ADHD when I’m playing football…So yeah, I don’t have an issue concentrating on football.”</w:t>
            </w:r>
            <w:r w:rsidRPr="00707724">
              <w:rPr>
                <w:rFonts w:asciiTheme="majorBidi" w:hAnsiTheme="majorBidi" w:cstheme="majorBidi"/>
                <w:sz w:val="22"/>
                <w:szCs w:val="22"/>
              </w:rPr>
              <w:br/>
            </w:r>
          </w:p>
        </w:tc>
      </w:tr>
      <w:tr w:rsidR="009E1E90" w:rsidRPr="00707724" w14:paraId="2AB90C08" w14:textId="77777777" w:rsidTr="00A53F03">
        <w:trPr>
          <w:tblCellSpacing w:w="15" w:type="dxa"/>
        </w:trPr>
        <w:tc>
          <w:tcPr>
            <w:tcW w:w="0" w:type="auto"/>
            <w:vAlign w:val="center"/>
          </w:tcPr>
          <w:p w14:paraId="0401F384" w14:textId="22B6CAB0"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hideMark/>
          </w:tcPr>
          <w:p w14:paraId="59E7BFE1" w14:textId="05E31A42"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“So school would be better if I didn’t have ADHD, but I might not be as good as I am at football.”</w:t>
            </w:r>
          </w:p>
        </w:tc>
      </w:tr>
    </w:tbl>
    <w:p w14:paraId="180F5AF6" w14:textId="77777777" w:rsidR="00956EDD" w:rsidRPr="00707724" w:rsidRDefault="00000000"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pict w14:anchorId="6FA2D042">
          <v:rect id="_x0000_i1025" style="width:0;height:1.5pt" o:hralign="center" o:hrstd="t" o:hr="t" fillcolor="#a0a0a0" stroked="f"/>
        </w:pict>
      </w:r>
    </w:p>
    <w:p w14:paraId="5257B141" w14:textId="6CEF17B6" w:rsidR="00956EDD" w:rsidRPr="00707724" w:rsidRDefault="00956EDD" w:rsidP="00956EDD">
      <w:pPr>
        <w:spacing w:before="100" w:beforeAutospacing="1" w:after="100" w:afterAutospacing="1"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Coding data</w:t>
      </w:r>
    </w:p>
    <w:p w14:paraId="3927B1F5" w14:textId="0B8D99F3" w:rsidR="00956EDD" w:rsidRPr="00707724" w:rsidRDefault="00956EDD" w:rsidP="00956EDD">
      <w:pPr>
        <w:spacing w:before="100" w:beforeAutospacing="1" w:after="100" w:afterAutospacing="1"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 xml:space="preserve">Below are </w:t>
      </w:r>
      <w:r w:rsidRPr="00707724">
        <w:rPr>
          <w:rFonts w:asciiTheme="majorBidi" w:eastAsia="Times New Roman" w:hAnsiTheme="majorBidi" w:cstheme="majorBidi"/>
          <w:b/>
          <w:bCs/>
          <w:kern w:val="0"/>
          <w:sz w:val="22"/>
          <w:szCs w:val="22"/>
          <w14:ligatures w14:val="none"/>
        </w:rPr>
        <w:t>initial descriptive codes</w:t>
      </w:r>
      <w:r w:rsidRPr="00707724">
        <w:rPr>
          <w:rFonts w:asciiTheme="majorBidi" w:eastAsia="Times New Roman" w:hAnsiTheme="majorBidi" w:cstheme="majorBidi"/>
          <w:kern w:val="0"/>
          <w:sz w:val="22"/>
          <w:szCs w:val="22"/>
          <w14:ligatures w14:val="none"/>
        </w:rPr>
        <w:t xml:space="preserve">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90"/>
        <w:gridCol w:w="7902"/>
      </w:tblGrid>
      <w:tr w:rsidR="00956EDD" w:rsidRPr="00707724" w14:paraId="1BDE1B0C" w14:textId="77777777" w:rsidTr="00956EDD">
        <w:trPr>
          <w:tblHeader/>
          <w:tblCellSpacing w:w="15" w:type="dxa"/>
        </w:trPr>
        <w:tc>
          <w:tcPr>
            <w:tcW w:w="0" w:type="auto"/>
            <w:vAlign w:val="center"/>
            <w:hideMark/>
          </w:tcPr>
          <w:p w14:paraId="42E2DA06" w14:textId="28DCCE74" w:rsidR="00956EDD" w:rsidRPr="00707724" w:rsidRDefault="00845D9A" w:rsidP="00956EDD">
            <w:pPr>
              <w:spacing w:after="0" w:line="240" w:lineRule="auto"/>
              <w:jc w:val="center"/>
              <w:rPr>
                <w:rFonts w:asciiTheme="majorBidi" w:eastAsia="Times New Roman" w:hAnsiTheme="majorBidi" w:cstheme="majorBidi"/>
                <w:b/>
                <w:bCs/>
                <w:kern w:val="0"/>
                <w:sz w:val="22"/>
                <w:szCs w:val="22"/>
                <w14:ligatures w14:val="none"/>
              </w:rPr>
            </w:pPr>
            <w:r w:rsidRPr="00707724">
              <w:rPr>
                <w:rFonts w:asciiTheme="majorBidi" w:eastAsia="Times New Roman" w:hAnsiTheme="majorBidi" w:cstheme="majorBidi"/>
                <w:b/>
                <w:bCs/>
                <w:kern w:val="0"/>
                <w:sz w:val="22"/>
                <w:szCs w:val="22"/>
                <w14:ligatures w14:val="none"/>
              </w:rPr>
              <w:t>Transcript</w:t>
            </w:r>
          </w:p>
        </w:tc>
        <w:tc>
          <w:tcPr>
            <w:tcW w:w="0" w:type="auto"/>
            <w:vAlign w:val="center"/>
            <w:hideMark/>
          </w:tcPr>
          <w:p w14:paraId="13D2DFBD" w14:textId="77777777" w:rsidR="00956EDD" w:rsidRPr="00707724" w:rsidRDefault="00956EDD" w:rsidP="00956EDD">
            <w:pPr>
              <w:spacing w:after="0" w:line="240" w:lineRule="auto"/>
              <w:jc w:val="center"/>
              <w:rPr>
                <w:rFonts w:asciiTheme="majorBidi" w:eastAsia="Times New Roman" w:hAnsiTheme="majorBidi" w:cstheme="majorBidi"/>
                <w:b/>
                <w:bCs/>
                <w:kern w:val="0"/>
                <w:sz w:val="22"/>
                <w:szCs w:val="22"/>
                <w14:ligatures w14:val="none"/>
              </w:rPr>
            </w:pPr>
            <w:r w:rsidRPr="00707724">
              <w:rPr>
                <w:rFonts w:asciiTheme="majorBidi" w:eastAsia="Times New Roman" w:hAnsiTheme="majorBidi" w:cstheme="majorBidi"/>
                <w:b/>
                <w:bCs/>
                <w:kern w:val="0"/>
                <w:sz w:val="22"/>
                <w:szCs w:val="22"/>
                <w14:ligatures w14:val="none"/>
              </w:rPr>
              <w:t>Initial Codes</w:t>
            </w:r>
          </w:p>
        </w:tc>
      </w:tr>
      <w:tr w:rsidR="00956EDD" w:rsidRPr="00707724" w14:paraId="18BEA1BF" w14:textId="77777777" w:rsidTr="009E1E90">
        <w:trPr>
          <w:tblCellSpacing w:w="15" w:type="dxa"/>
        </w:trPr>
        <w:tc>
          <w:tcPr>
            <w:tcW w:w="0" w:type="auto"/>
            <w:vAlign w:val="center"/>
            <w:hideMark/>
          </w:tcPr>
          <w:p w14:paraId="32C0567B" w14:textId="79AC366D" w:rsidR="00956EDD" w:rsidRPr="00707724" w:rsidRDefault="009E1E90"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vAlign w:val="center"/>
          </w:tcPr>
          <w:p w14:paraId="17C26C3A" w14:textId="73377DCF" w:rsidR="00956EDD" w:rsidRPr="00707724" w:rsidRDefault="000E7F34"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Frequent trouble at school; difficulty maintaining focus; perceived as misbehaviour</w:t>
            </w:r>
          </w:p>
        </w:tc>
      </w:tr>
      <w:tr w:rsidR="00956EDD" w:rsidRPr="00707724" w14:paraId="577CC194" w14:textId="77777777" w:rsidTr="009E1E90">
        <w:trPr>
          <w:tblCellSpacing w:w="15" w:type="dxa"/>
        </w:trPr>
        <w:tc>
          <w:tcPr>
            <w:tcW w:w="0" w:type="auto"/>
            <w:vAlign w:val="center"/>
            <w:hideMark/>
          </w:tcPr>
          <w:p w14:paraId="644FEA76" w14:textId="3A252337" w:rsidR="00956EDD" w:rsidRPr="00707724" w:rsidRDefault="009E1E90"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vAlign w:val="center"/>
          </w:tcPr>
          <w:p w14:paraId="68E2950B" w14:textId="6844B60F" w:rsidR="00956EDD" w:rsidRPr="00707724" w:rsidRDefault="006A64E2"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Forgetfulness; easily distracted at home; difficulties following instructions</w:t>
            </w:r>
          </w:p>
        </w:tc>
      </w:tr>
      <w:tr w:rsidR="00956EDD" w:rsidRPr="00707724" w14:paraId="22EA7864" w14:textId="77777777" w:rsidTr="009E1E90">
        <w:trPr>
          <w:tblCellSpacing w:w="15" w:type="dxa"/>
        </w:trPr>
        <w:tc>
          <w:tcPr>
            <w:tcW w:w="0" w:type="auto"/>
            <w:vAlign w:val="center"/>
            <w:hideMark/>
          </w:tcPr>
          <w:p w14:paraId="681B2AE6" w14:textId="753762A6" w:rsidR="00956EDD" w:rsidRPr="00707724" w:rsidRDefault="009E1E90"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vAlign w:val="center"/>
          </w:tcPr>
          <w:p w14:paraId="7549951D" w14:textId="781B6384" w:rsidR="00956EDD" w:rsidRPr="00707724" w:rsidRDefault="006A64E2"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Lack of control over behaviour; misunderstanding by adults; impulsivity</w:t>
            </w:r>
          </w:p>
        </w:tc>
      </w:tr>
      <w:tr w:rsidR="00956EDD" w:rsidRPr="00707724" w14:paraId="198D0A89" w14:textId="77777777" w:rsidTr="009E1E90">
        <w:trPr>
          <w:tblCellSpacing w:w="15" w:type="dxa"/>
        </w:trPr>
        <w:tc>
          <w:tcPr>
            <w:tcW w:w="0" w:type="auto"/>
            <w:vAlign w:val="center"/>
            <w:hideMark/>
          </w:tcPr>
          <w:p w14:paraId="18195BBD" w14:textId="0F48D17E" w:rsidR="00956EDD" w:rsidRPr="00707724" w:rsidRDefault="009E1E90"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vAlign w:val="center"/>
          </w:tcPr>
          <w:p w14:paraId="1FE1191C" w14:textId="5CA78A25" w:rsidR="00956EDD" w:rsidRPr="00707724" w:rsidRDefault="00B87617"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Ability to hyperfocus on enjoyable activities; ADHD less impairing in preferred contexts</w:t>
            </w:r>
          </w:p>
        </w:tc>
      </w:tr>
      <w:tr w:rsidR="00956EDD" w:rsidRPr="00707724" w14:paraId="13C43BD5" w14:textId="77777777" w:rsidTr="009E1E90">
        <w:trPr>
          <w:tblCellSpacing w:w="15" w:type="dxa"/>
        </w:trPr>
        <w:tc>
          <w:tcPr>
            <w:tcW w:w="0" w:type="auto"/>
            <w:vAlign w:val="center"/>
            <w:hideMark/>
          </w:tcPr>
          <w:p w14:paraId="52D9E88F" w14:textId="6F593F52" w:rsidR="00956EDD" w:rsidRPr="00707724" w:rsidRDefault="009E1E90"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vAlign w:val="center"/>
          </w:tcPr>
          <w:p w14:paraId="0CBB9809" w14:textId="27D63614" w:rsidR="00956EDD" w:rsidRPr="00707724" w:rsidRDefault="00B87617"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ADHD seen as both barrier and potential strength; balance of positive/negative impacts</w:t>
            </w:r>
          </w:p>
        </w:tc>
      </w:tr>
      <w:tr w:rsidR="00956EDD" w:rsidRPr="00707724" w14:paraId="23AB8334" w14:textId="77777777" w:rsidTr="009E1E90">
        <w:trPr>
          <w:tblCellSpacing w:w="15" w:type="dxa"/>
        </w:trPr>
        <w:tc>
          <w:tcPr>
            <w:tcW w:w="0" w:type="auto"/>
            <w:vAlign w:val="center"/>
            <w:hideMark/>
          </w:tcPr>
          <w:p w14:paraId="6A381472" w14:textId="56714866" w:rsidR="009E1E90" w:rsidRPr="00707724" w:rsidRDefault="009E1E90" w:rsidP="009E1E90">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1</w:t>
            </w:r>
          </w:p>
        </w:tc>
        <w:tc>
          <w:tcPr>
            <w:tcW w:w="0" w:type="auto"/>
            <w:vAlign w:val="center"/>
          </w:tcPr>
          <w:p w14:paraId="047550DB" w14:textId="0FA9296E" w:rsidR="00956EDD" w:rsidRPr="00707724" w:rsidRDefault="00B87617"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sz w:val="22"/>
                <w:szCs w:val="22"/>
              </w:rPr>
              <w:t>Negative behavioural cycle; frustration and demotivation from punishment</w:t>
            </w:r>
          </w:p>
        </w:tc>
      </w:tr>
    </w:tbl>
    <w:p w14:paraId="14CF9EF1" w14:textId="7C1144CF" w:rsidR="00956EDD" w:rsidRPr="00707724" w:rsidRDefault="00956EDD" w:rsidP="00956EDD">
      <w:pPr>
        <w:spacing w:after="0" w:line="240" w:lineRule="auto"/>
        <w:rPr>
          <w:rFonts w:asciiTheme="majorBidi" w:eastAsia="Times New Roman" w:hAnsiTheme="majorBidi" w:cstheme="majorBidi"/>
          <w:kern w:val="0"/>
          <w:sz w:val="22"/>
          <w:szCs w:val="22"/>
          <w14:ligatures w14:val="none"/>
        </w:rPr>
      </w:pPr>
    </w:p>
    <w:p w14:paraId="3AF577FD" w14:textId="77777777" w:rsidR="00956EDD" w:rsidRPr="00707724" w:rsidRDefault="00956EDD" w:rsidP="00956EDD">
      <w:pPr>
        <w:spacing w:after="0" w:line="240" w:lineRule="auto"/>
        <w:rPr>
          <w:rFonts w:asciiTheme="majorBidi" w:eastAsia="Times New Roman" w:hAnsiTheme="majorBidi" w:cstheme="majorBidi"/>
          <w:b/>
          <w:bCs/>
          <w:kern w:val="0"/>
          <w:sz w:val="22"/>
          <w:szCs w:val="22"/>
          <w14:ligatures w14:val="none"/>
        </w:rPr>
      </w:pPr>
    </w:p>
    <w:p w14:paraId="68CE0866" w14:textId="13DDB1AA" w:rsidR="00956EDD" w:rsidRPr="00707724" w:rsidRDefault="00956EDD" w:rsidP="00956EDD">
      <w:pPr>
        <w:spacing w:after="0" w:line="240" w:lineRule="auto"/>
        <w:rPr>
          <w:rFonts w:asciiTheme="majorBidi" w:eastAsia="Times New Roman" w:hAnsiTheme="majorBidi" w:cstheme="majorBidi"/>
          <w:b/>
          <w:bCs/>
          <w:kern w:val="0"/>
          <w:sz w:val="22"/>
          <w:szCs w:val="22"/>
          <w14:ligatures w14:val="none"/>
        </w:rPr>
      </w:pPr>
      <w:r w:rsidRPr="00707724">
        <w:rPr>
          <w:rFonts w:asciiTheme="majorBidi" w:eastAsia="Times New Roman" w:hAnsiTheme="majorBidi" w:cstheme="majorBidi"/>
          <w:b/>
          <w:bCs/>
          <w:kern w:val="0"/>
          <w:sz w:val="22"/>
          <w:szCs w:val="22"/>
          <w14:ligatures w14:val="none"/>
        </w:rPr>
        <w:t>Generating themes</w:t>
      </w:r>
    </w:p>
    <w:p w14:paraId="5DD4C3F6" w14:textId="7A331593" w:rsidR="00956EDD" w:rsidRPr="00707724" w:rsidRDefault="00956EDD" w:rsidP="00956EDD">
      <w:pPr>
        <w:spacing w:after="0" w:line="240" w:lineRule="auto"/>
        <w:rPr>
          <w:rFonts w:asciiTheme="majorBidi" w:eastAsia="Times New Roman" w:hAnsiTheme="majorBidi" w:cstheme="majorBidi"/>
          <w:kern w:val="0"/>
          <w:sz w:val="22"/>
          <w:szCs w:val="22"/>
          <w14:ligatures w14:val="none"/>
        </w:rPr>
      </w:pPr>
    </w:p>
    <w:p w14:paraId="466E9C84" w14:textId="77777777" w:rsidR="00956EDD" w:rsidRPr="00707724" w:rsidRDefault="00956EDD" w:rsidP="00956EDD">
      <w:pPr>
        <w:spacing w:before="100" w:beforeAutospacing="1" w:after="100" w:afterAutospacing="1"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 xml:space="preserve">After collating and grouping codes with shared meanings, the following </w:t>
      </w:r>
      <w:r w:rsidRPr="00707724">
        <w:rPr>
          <w:rFonts w:asciiTheme="majorBidi" w:eastAsia="Times New Roman" w:hAnsiTheme="majorBidi" w:cstheme="majorBidi"/>
          <w:b/>
          <w:bCs/>
          <w:kern w:val="0"/>
          <w:sz w:val="22"/>
          <w:szCs w:val="22"/>
          <w14:ligatures w14:val="none"/>
        </w:rPr>
        <w:t>themes</w:t>
      </w:r>
      <w:r w:rsidRPr="00707724">
        <w:rPr>
          <w:rFonts w:asciiTheme="majorBidi" w:eastAsia="Times New Roman" w:hAnsiTheme="majorBidi" w:cstheme="majorBidi"/>
          <w:kern w:val="0"/>
          <w:sz w:val="22"/>
          <w:szCs w:val="22"/>
          <w14:ligatures w14:val="none"/>
        </w:rPr>
        <w:t xml:space="preserve"> and </w:t>
      </w:r>
      <w:r w:rsidRPr="00707724">
        <w:rPr>
          <w:rFonts w:asciiTheme="majorBidi" w:eastAsia="Times New Roman" w:hAnsiTheme="majorBidi" w:cstheme="majorBidi"/>
          <w:b/>
          <w:bCs/>
          <w:kern w:val="0"/>
          <w:sz w:val="22"/>
          <w:szCs w:val="22"/>
          <w14:ligatures w14:val="none"/>
        </w:rPr>
        <w:t>sub-themes</w:t>
      </w:r>
      <w:r w:rsidRPr="00707724">
        <w:rPr>
          <w:rFonts w:asciiTheme="majorBidi" w:eastAsia="Times New Roman" w:hAnsiTheme="majorBidi" w:cstheme="majorBidi"/>
          <w:kern w:val="0"/>
          <w:sz w:val="22"/>
          <w:szCs w:val="22"/>
          <w14:ligatures w14:val="none"/>
        </w:rPr>
        <w:t xml:space="preserve"> emerged: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57"/>
        <w:gridCol w:w="2371"/>
        <w:gridCol w:w="3698"/>
      </w:tblGrid>
      <w:tr w:rsidR="00956EDD" w:rsidRPr="00707724" w14:paraId="66EE6A72" w14:textId="77777777" w:rsidTr="00956EDD">
        <w:trPr>
          <w:tblHeader/>
          <w:tblCellSpacing w:w="15" w:type="dxa"/>
        </w:trPr>
        <w:tc>
          <w:tcPr>
            <w:tcW w:w="0" w:type="auto"/>
            <w:vAlign w:val="center"/>
            <w:hideMark/>
          </w:tcPr>
          <w:p w14:paraId="1C77603A" w14:textId="77777777" w:rsidR="00956EDD" w:rsidRPr="00707724" w:rsidRDefault="00956EDD" w:rsidP="00956EDD">
            <w:pPr>
              <w:spacing w:after="0" w:line="240" w:lineRule="auto"/>
              <w:jc w:val="center"/>
              <w:rPr>
                <w:rFonts w:asciiTheme="majorBidi" w:eastAsia="Times New Roman" w:hAnsiTheme="majorBidi" w:cstheme="majorBidi"/>
                <w:b/>
                <w:bCs/>
                <w:kern w:val="0"/>
                <w:sz w:val="22"/>
                <w:szCs w:val="22"/>
                <w14:ligatures w14:val="none"/>
              </w:rPr>
            </w:pPr>
            <w:r w:rsidRPr="00707724">
              <w:rPr>
                <w:rFonts w:asciiTheme="majorBidi" w:eastAsia="Times New Roman" w:hAnsiTheme="majorBidi" w:cstheme="majorBidi"/>
                <w:b/>
                <w:bCs/>
                <w:kern w:val="0"/>
                <w:sz w:val="22"/>
                <w:szCs w:val="22"/>
                <w14:ligatures w14:val="none"/>
              </w:rPr>
              <w:t>Themes</w:t>
            </w:r>
          </w:p>
        </w:tc>
        <w:tc>
          <w:tcPr>
            <w:tcW w:w="0" w:type="auto"/>
            <w:vAlign w:val="center"/>
            <w:hideMark/>
          </w:tcPr>
          <w:p w14:paraId="2AB3569B" w14:textId="77777777" w:rsidR="00956EDD" w:rsidRPr="00707724" w:rsidRDefault="00956EDD" w:rsidP="00956EDD">
            <w:pPr>
              <w:spacing w:after="0" w:line="240" w:lineRule="auto"/>
              <w:jc w:val="center"/>
              <w:rPr>
                <w:rFonts w:asciiTheme="majorBidi" w:eastAsia="Times New Roman" w:hAnsiTheme="majorBidi" w:cstheme="majorBidi"/>
                <w:b/>
                <w:bCs/>
                <w:kern w:val="0"/>
                <w:sz w:val="22"/>
                <w:szCs w:val="22"/>
                <w14:ligatures w14:val="none"/>
              </w:rPr>
            </w:pPr>
            <w:r w:rsidRPr="00707724">
              <w:rPr>
                <w:rFonts w:asciiTheme="majorBidi" w:eastAsia="Times New Roman" w:hAnsiTheme="majorBidi" w:cstheme="majorBidi"/>
                <w:b/>
                <w:bCs/>
                <w:kern w:val="0"/>
                <w:sz w:val="22"/>
                <w:szCs w:val="22"/>
                <w14:ligatures w14:val="none"/>
              </w:rPr>
              <w:t>Sub-themes</w:t>
            </w:r>
          </w:p>
        </w:tc>
        <w:tc>
          <w:tcPr>
            <w:tcW w:w="0" w:type="auto"/>
            <w:vAlign w:val="center"/>
            <w:hideMark/>
          </w:tcPr>
          <w:p w14:paraId="3D0E415D" w14:textId="77777777" w:rsidR="00956EDD" w:rsidRPr="00707724" w:rsidRDefault="00956EDD" w:rsidP="00956EDD">
            <w:pPr>
              <w:spacing w:after="0" w:line="240" w:lineRule="auto"/>
              <w:jc w:val="center"/>
              <w:rPr>
                <w:rFonts w:asciiTheme="majorBidi" w:eastAsia="Times New Roman" w:hAnsiTheme="majorBidi" w:cstheme="majorBidi"/>
                <w:b/>
                <w:bCs/>
                <w:kern w:val="0"/>
                <w:sz w:val="22"/>
                <w:szCs w:val="22"/>
                <w14:ligatures w14:val="none"/>
              </w:rPr>
            </w:pPr>
            <w:r w:rsidRPr="00707724">
              <w:rPr>
                <w:rFonts w:asciiTheme="majorBidi" w:eastAsia="Times New Roman" w:hAnsiTheme="majorBidi" w:cstheme="majorBidi"/>
                <w:b/>
                <w:bCs/>
                <w:kern w:val="0"/>
                <w:sz w:val="22"/>
                <w:szCs w:val="22"/>
                <w14:ligatures w14:val="none"/>
              </w:rPr>
              <w:t>Example Codes Feeding In</w:t>
            </w:r>
          </w:p>
        </w:tc>
      </w:tr>
      <w:tr w:rsidR="00956EDD" w:rsidRPr="00707724" w14:paraId="0A4B5F25" w14:textId="77777777" w:rsidTr="006142B8">
        <w:trPr>
          <w:tblCellSpacing w:w="15" w:type="dxa"/>
        </w:trPr>
        <w:tc>
          <w:tcPr>
            <w:tcW w:w="0" w:type="auto"/>
            <w:vAlign w:val="center"/>
          </w:tcPr>
          <w:p w14:paraId="63767333" w14:textId="072EFB4A" w:rsidR="00956EDD" w:rsidRPr="00707724" w:rsidRDefault="009D087E" w:rsidP="00384AFA">
            <w:pPr>
              <w:spacing w:after="0" w:line="240" w:lineRule="auto"/>
              <w:rPr>
                <w:rFonts w:asciiTheme="majorBidi" w:eastAsia="Times New Roman" w:hAnsiTheme="majorBidi" w:cstheme="majorBidi"/>
                <w:kern w:val="0"/>
                <w:sz w:val="22"/>
                <w:szCs w:val="22"/>
                <w14:ligatures w14:val="none"/>
              </w:rPr>
            </w:pPr>
            <w:r w:rsidRPr="00707724">
              <w:rPr>
                <w:rStyle w:val="Strong"/>
                <w:rFonts w:asciiTheme="majorBidi" w:hAnsiTheme="majorBidi" w:cstheme="majorBidi"/>
                <w:color w:val="0D0D0D"/>
                <w:sz w:val="22"/>
                <w:szCs w:val="22"/>
                <w:shd w:val="clear" w:color="auto" w:fill="FFFFFF"/>
              </w:rPr>
              <w:t>1. Struggling to Focus in Structured Environments</w:t>
            </w:r>
          </w:p>
        </w:tc>
        <w:tc>
          <w:tcPr>
            <w:tcW w:w="0" w:type="auto"/>
            <w:vAlign w:val="center"/>
          </w:tcPr>
          <w:p w14:paraId="522E58EC" w14:textId="431D6970" w:rsidR="00956EDD" w:rsidRPr="00707724" w:rsidRDefault="009D087E" w:rsidP="00384AFA">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color w:val="0D0D0D"/>
                <w:sz w:val="22"/>
                <w:szCs w:val="22"/>
                <w:shd w:val="clear" w:color="auto" w:fill="FFFFFF"/>
              </w:rPr>
              <w:t>- Concentration difficulties across home and school</w:t>
            </w:r>
            <w:r w:rsidRPr="00707724">
              <w:rPr>
                <w:rFonts w:asciiTheme="majorBidi" w:hAnsiTheme="majorBidi" w:cstheme="majorBidi"/>
                <w:color w:val="0D0D0D"/>
                <w:sz w:val="22"/>
                <w:szCs w:val="22"/>
              </w:rPr>
              <w:br/>
            </w:r>
            <w:r w:rsidRPr="00707724">
              <w:rPr>
                <w:rFonts w:asciiTheme="majorBidi" w:hAnsiTheme="majorBidi" w:cstheme="majorBidi"/>
                <w:color w:val="0D0D0D"/>
                <w:sz w:val="22"/>
                <w:szCs w:val="22"/>
                <w:shd w:val="clear" w:color="auto" w:fill="FFFFFF"/>
              </w:rPr>
              <w:t>- Negative feedback from adults</w:t>
            </w:r>
          </w:p>
        </w:tc>
        <w:tc>
          <w:tcPr>
            <w:tcW w:w="0" w:type="auto"/>
            <w:vAlign w:val="center"/>
          </w:tcPr>
          <w:p w14:paraId="57163711" w14:textId="7BD3540F" w:rsidR="00956EDD" w:rsidRPr="00707724" w:rsidRDefault="009D087E" w:rsidP="00384AFA">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color w:val="0D0D0D"/>
                <w:sz w:val="22"/>
                <w:szCs w:val="22"/>
                <w:shd w:val="clear" w:color="auto" w:fill="FFFFFF"/>
              </w:rPr>
              <w:t>Difficulty focusing; forgetfulness; in trouble for distraction; misunderstanding by teachers</w:t>
            </w:r>
          </w:p>
        </w:tc>
      </w:tr>
      <w:tr w:rsidR="00956EDD" w:rsidRPr="00707724" w14:paraId="38B216BD" w14:textId="77777777" w:rsidTr="006142B8">
        <w:trPr>
          <w:tblCellSpacing w:w="15" w:type="dxa"/>
        </w:trPr>
        <w:tc>
          <w:tcPr>
            <w:tcW w:w="0" w:type="auto"/>
            <w:vAlign w:val="center"/>
          </w:tcPr>
          <w:p w14:paraId="088DCB5D" w14:textId="110C1956" w:rsidR="00956EDD" w:rsidRPr="00707724" w:rsidRDefault="009D087E" w:rsidP="00384AFA">
            <w:pPr>
              <w:spacing w:after="0" w:line="240" w:lineRule="auto"/>
              <w:rPr>
                <w:rFonts w:asciiTheme="majorBidi" w:eastAsia="Times New Roman" w:hAnsiTheme="majorBidi" w:cstheme="majorBidi"/>
                <w:kern w:val="0"/>
                <w:sz w:val="22"/>
                <w:szCs w:val="22"/>
                <w14:ligatures w14:val="none"/>
              </w:rPr>
            </w:pPr>
            <w:r w:rsidRPr="00707724">
              <w:rPr>
                <w:rStyle w:val="Strong"/>
                <w:rFonts w:asciiTheme="majorBidi" w:hAnsiTheme="majorBidi" w:cstheme="majorBidi"/>
                <w:color w:val="0D0D0D"/>
                <w:sz w:val="22"/>
                <w:szCs w:val="22"/>
                <w:shd w:val="clear" w:color="auto" w:fill="FFFFFF"/>
              </w:rPr>
              <w:t>2. The Vicious Cycle of Misunderstanding and Frustration</w:t>
            </w:r>
          </w:p>
        </w:tc>
        <w:tc>
          <w:tcPr>
            <w:tcW w:w="0" w:type="auto"/>
            <w:vAlign w:val="center"/>
          </w:tcPr>
          <w:p w14:paraId="42BF55BF" w14:textId="542D2D2D" w:rsidR="00956EDD" w:rsidRPr="00707724" w:rsidRDefault="00C016DE" w:rsidP="00384AFA">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color w:val="0D0D0D"/>
                <w:sz w:val="22"/>
                <w:szCs w:val="22"/>
                <w:shd w:val="clear" w:color="auto" w:fill="FFFFFF"/>
              </w:rPr>
              <w:t>- Feeling punished for symptoms</w:t>
            </w:r>
            <w:r w:rsidRPr="00707724">
              <w:rPr>
                <w:rFonts w:asciiTheme="majorBidi" w:hAnsiTheme="majorBidi" w:cstheme="majorBidi"/>
                <w:color w:val="0D0D0D"/>
                <w:sz w:val="22"/>
                <w:szCs w:val="22"/>
              </w:rPr>
              <w:br/>
            </w:r>
            <w:r w:rsidRPr="00707724">
              <w:rPr>
                <w:rFonts w:asciiTheme="majorBidi" w:hAnsiTheme="majorBidi" w:cstheme="majorBidi"/>
                <w:color w:val="0D0D0D"/>
                <w:sz w:val="22"/>
                <w:szCs w:val="22"/>
                <w:shd w:val="clear" w:color="auto" w:fill="FFFFFF"/>
              </w:rPr>
              <w:t>- Lack of control</w:t>
            </w:r>
            <w:r w:rsidRPr="00707724">
              <w:rPr>
                <w:rFonts w:asciiTheme="majorBidi" w:hAnsiTheme="majorBidi" w:cstheme="majorBidi"/>
                <w:color w:val="0D0D0D"/>
                <w:sz w:val="22"/>
                <w:szCs w:val="22"/>
              </w:rPr>
              <w:br/>
            </w:r>
            <w:r w:rsidRPr="00707724">
              <w:rPr>
                <w:rFonts w:asciiTheme="majorBidi" w:hAnsiTheme="majorBidi" w:cstheme="majorBidi"/>
                <w:color w:val="0D0D0D"/>
                <w:sz w:val="22"/>
                <w:szCs w:val="22"/>
                <w:shd w:val="clear" w:color="auto" w:fill="FFFFFF"/>
              </w:rPr>
              <w:t>- Emotional disengagement</w:t>
            </w:r>
          </w:p>
        </w:tc>
        <w:tc>
          <w:tcPr>
            <w:tcW w:w="0" w:type="auto"/>
            <w:vAlign w:val="center"/>
          </w:tcPr>
          <w:p w14:paraId="41496B9C" w14:textId="229075BD" w:rsidR="00956EDD" w:rsidRPr="00707724" w:rsidRDefault="00C016DE" w:rsidP="00384AFA">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color w:val="0D0D0D"/>
                <w:sz w:val="22"/>
                <w:szCs w:val="22"/>
                <w:shd w:val="clear" w:color="auto" w:fill="FFFFFF"/>
              </w:rPr>
              <w:t>Getting told off repeatedly; not choosing to misbehave; feels unable to control it; stops caring</w:t>
            </w:r>
          </w:p>
        </w:tc>
      </w:tr>
      <w:tr w:rsidR="00956EDD" w:rsidRPr="00707724" w14:paraId="569FB711" w14:textId="77777777" w:rsidTr="006142B8">
        <w:trPr>
          <w:tblCellSpacing w:w="15" w:type="dxa"/>
        </w:trPr>
        <w:tc>
          <w:tcPr>
            <w:tcW w:w="0" w:type="auto"/>
            <w:vAlign w:val="center"/>
          </w:tcPr>
          <w:p w14:paraId="231F2D0D" w14:textId="01B95E8A" w:rsidR="00956EDD" w:rsidRPr="00707724" w:rsidRDefault="00F443B0" w:rsidP="00384AFA">
            <w:pPr>
              <w:spacing w:after="0" w:line="240" w:lineRule="auto"/>
              <w:rPr>
                <w:rFonts w:asciiTheme="majorBidi" w:eastAsia="Times New Roman" w:hAnsiTheme="majorBidi" w:cstheme="majorBidi"/>
                <w:b/>
                <w:bCs/>
                <w:kern w:val="0"/>
                <w:sz w:val="22"/>
                <w:szCs w:val="22"/>
                <w14:ligatures w14:val="none"/>
              </w:rPr>
            </w:pPr>
            <w:r w:rsidRPr="00707724">
              <w:rPr>
                <w:rFonts w:asciiTheme="majorBidi" w:hAnsiTheme="majorBidi" w:cstheme="majorBidi"/>
                <w:b/>
                <w:bCs/>
                <w:sz w:val="22"/>
                <w:szCs w:val="22"/>
              </w:rPr>
              <w:t>3. Finding Focus through Interest and Enjoyment</w:t>
            </w:r>
          </w:p>
        </w:tc>
        <w:tc>
          <w:tcPr>
            <w:tcW w:w="0" w:type="auto"/>
            <w:vAlign w:val="center"/>
          </w:tcPr>
          <w:p w14:paraId="7E0FFDC5" w14:textId="0F369D6B" w:rsidR="00956EDD" w:rsidRPr="00707724" w:rsidRDefault="00384AFA" w:rsidP="00384AFA">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color w:val="0D0D0D"/>
                <w:sz w:val="22"/>
                <w:szCs w:val="22"/>
                <w:shd w:val="clear" w:color="auto" w:fill="FFFFFF"/>
              </w:rPr>
              <w:t>- Concentration improves with enjoyable activities</w:t>
            </w:r>
            <w:r w:rsidRPr="00707724">
              <w:rPr>
                <w:rFonts w:asciiTheme="majorBidi" w:hAnsiTheme="majorBidi" w:cstheme="majorBidi"/>
                <w:color w:val="0D0D0D"/>
                <w:sz w:val="22"/>
                <w:szCs w:val="22"/>
              </w:rPr>
              <w:br/>
            </w:r>
            <w:r w:rsidRPr="00707724">
              <w:rPr>
                <w:rFonts w:asciiTheme="majorBidi" w:hAnsiTheme="majorBidi" w:cstheme="majorBidi"/>
                <w:color w:val="0D0D0D"/>
                <w:sz w:val="22"/>
                <w:szCs w:val="22"/>
                <w:shd w:val="clear" w:color="auto" w:fill="FFFFFF"/>
              </w:rPr>
              <w:t>- Strengths in specific contexts</w:t>
            </w:r>
          </w:p>
        </w:tc>
        <w:tc>
          <w:tcPr>
            <w:tcW w:w="0" w:type="auto"/>
            <w:vAlign w:val="center"/>
          </w:tcPr>
          <w:p w14:paraId="46877BA8" w14:textId="7C6F7BEC" w:rsidR="00956EDD" w:rsidRPr="00707724" w:rsidRDefault="00384AFA" w:rsidP="00384AFA">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color w:val="0D0D0D"/>
                <w:sz w:val="22"/>
                <w:szCs w:val="22"/>
                <w:shd w:val="clear" w:color="auto" w:fill="FFFFFF"/>
              </w:rPr>
              <w:t>Hyperfocus on football; ADHD less noticeable when engaged; enjoyment improves attention</w:t>
            </w:r>
          </w:p>
        </w:tc>
      </w:tr>
      <w:tr w:rsidR="00956EDD" w:rsidRPr="00707724" w14:paraId="1851F8AA" w14:textId="77777777" w:rsidTr="006142B8">
        <w:trPr>
          <w:tblCellSpacing w:w="15" w:type="dxa"/>
        </w:trPr>
        <w:tc>
          <w:tcPr>
            <w:tcW w:w="0" w:type="auto"/>
            <w:vAlign w:val="center"/>
          </w:tcPr>
          <w:p w14:paraId="483EFB9D" w14:textId="08FED836" w:rsidR="00956EDD" w:rsidRPr="00707724" w:rsidRDefault="00384AFA" w:rsidP="00384AFA">
            <w:pPr>
              <w:spacing w:after="0" w:line="240" w:lineRule="auto"/>
              <w:rPr>
                <w:rFonts w:asciiTheme="majorBidi" w:eastAsia="Times New Roman" w:hAnsiTheme="majorBidi" w:cstheme="majorBidi"/>
                <w:b/>
                <w:bCs/>
                <w:kern w:val="0"/>
                <w:sz w:val="22"/>
                <w:szCs w:val="22"/>
                <w14:ligatures w14:val="none"/>
              </w:rPr>
            </w:pPr>
            <w:r w:rsidRPr="00707724">
              <w:rPr>
                <w:rFonts w:asciiTheme="majorBidi" w:hAnsiTheme="majorBidi" w:cstheme="majorBidi"/>
                <w:b/>
                <w:bCs/>
                <w:sz w:val="22"/>
                <w:szCs w:val="22"/>
              </w:rPr>
              <w:lastRenderedPageBreak/>
              <w:t>4. Mixed Perceptions of ADHD</w:t>
            </w:r>
          </w:p>
        </w:tc>
        <w:tc>
          <w:tcPr>
            <w:tcW w:w="0" w:type="auto"/>
            <w:vAlign w:val="center"/>
          </w:tcPr>
          <w:p w14:paraId="33479A37" w14:textId="078C5CC7" w:rsidR="00956EDD" w:rsidRPr="00707724" w:rsidRDefault="00384AFA" w:rsidP="00384AFA">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color w:val="0D0D0D"/>
                <w:sz w:val="22"/>
                <w:szCs w:val="22"/>
                <w:shd w:val="clear" w:color="auto" w:fill="FFFFFF"/>
              </w:rPr>
              <w:t>- Acceptance of condition</w:t>
            </w:r>
            <w:r w:rsidRPr="00707724">
              <w:rPr>
                <w:rFonts w:asciiTheme="majorBidi" w:hAnsiTheme="majorBidi" w:cstheme="majorBidi"/>
                <w:color w:val="0D0D0D"/>
                <w:sz w:val="22"/>
                <w:szCs w:val="22"/>
              </w:rPr>
              <w:br/>
            </w:r>
            <w:r w:rsidRPr="00707724">
              <w:rPr>
                <w:rFonts w:asciiTheme="majorBidi" w:hAnsiTheme="majorBidi" w:cstheme="majorBidi"/>
                <w:color w:val="0D0D0D"/>
                <w:sz w:val="22"/>
                <w:szCs w:val="22"/>
                <w:shd w:val="clear" w:color="auto" w:fill="FFFFFF"/>
              </w:rPr>
              <w:t>- Ambivalence toward its positives and negatives</w:t>
            </w:r>
          </w:p>
        </w:tc>
        <w:tc>
          <w:tcPr>
            <w:tcW w:w="0" w:type="auto"/>
            <w:vAlign w:val="center"/>
          </w:tcPr>
          <w:p w14:paraId="5CF40433" w14:textId="38156BB9" w:rsidR="00956EDD" w:rsidRPr="00707724" w:rsidRDefault="00384AFA" w:rsidP="00384AFA">
            <w:pPr>
              <w:spacing w:after="0" w:line="240" w:lineRule="auto"/>
              <w:rPr>
                <w:rFonts w:asciiTheme="majorBidi" w:eastAsia="Times New Roman" w:hAnsiTheme="majorBidi" w:cstheme="majorBidi"/>
                <w:kern w:val="0"/>
                <w:sz w:val="22"/>
                <w:szCs w:val="22"/>
                <w14:ligatures w14:val="none"/>
              </w:rPr>
            </w:pPr>
            <w:r w:rsidRPr="00707724">
              <w:rPr>
                <w:rFonts w:asciiTheme="majorBidi" w:hAnsiTheme="majorBidi" w:cstheme="majorBidi"/>
                <w:color w:val="0D0D0D"/>
                <w:sz w:val="22"/>
                <w:szCs w:val="22"/>
                <w:shd w:val="clear" w:color="auto" w:fill="FFFFFF"/>
              </w:rPr>
              <w:t>Acceptance (“it is what it is”); belief ADHD may enhance some abilities (e.g., sport)</w:t>
            </w:r>
          </w:p>
        </w:tc>
      </w:tr>
    </w:tbl>
    <w:p w14:paraId="4757FD7E" w14:textId="10E6E85D" w:rsidR="00956EDD" w:rsidRPr="00707724" w:rsidRDefault="00956EDD" w:rsidP="00956EDD">
      <w:pPr>
        <w:spacing w:after="0" w:line="240" w:lineRule="auto"/>
        <w:rPr>
          <w:rFonts w:asciiTheme="majorBidi" w:eastAsia="Times New Roman" w:hAnsiTheme="majorBidi" w:cstheme="majorBidi"/>
          <w:kern w:val="0"/>
          <w:sz w:val="22"/>
          <w:szCs w:val="22"/>
          <w14:ligatures w14:val="none"/>
        </w:rPr>
      </w:pPr>
    </w:p>
    <w:p w14:paraId="0E6189EA" w14:textId="77777777" w:rsidR="00956EDD" w:rsidRPr="00707724" w:rsidRDefault="00956EDD" w:rsidP="00956EDD">
      <w:pPr>
        <w:spacing w:after="0" w:line="240" w:lineRule="auto"/>
        <w:rPr>
          <w:rFonts w:asciiTheme="majorBidi" w:eastAsia="Times New Roman" w:hAnsiTheme="majorBidi" w:cstheme="majorBidi"/>
          <w:kern w:val="0"/>
          <w:sz w:val="22"/>
          <w:szCs w:val="22"/>
          <w14:ligatures w14:val="none"/>
        </w:rPr>
      </w:pPr>
    </w:p>
    <w:p w14:paraId="15A4B879" w14:textId="3D650834" w:rsidR="00956EDD" w:rsidRPr="00707724" w:rsidRDefault="00956EDD" w:rsidP="00956EDD">
      <w:pPr>
        <w:spacing w:after="0"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Results</w:t>
      </w:r>
      <w:r w:rsidRPr="00707724">
        <w:rPr>
          <w:rFonts w:asciiTheme="majorBidi" w:eastAsia="Times New Roman" w:hAnsiTheme="majorBidi" w:cstheme="majorBidi"/>
          <w:kern w:val="0"/>
          <w:sz w:val="22"/>
          <w:szCs w:val="22"/>
          <w14:ligatures w14:val="none"/>
        </w:rPr>
        <w:br/>
        <w:t xml:space="preserve">This section integrates </w:t>
      </w:r>
      <w:r w:rsidRPr="00707724">
        <w:rPr>
          <w:rFonts w:asciiTheme="majorBidi" w:eastAsia="Times New Roman" w:hAnsiTheme="majorBidi" w:cstheme="majorBidi"/>
          <w:b/>
          <w:bCs/>
          <w:kern w:val="0"/>
          <w:sz w:val="22"/>
          <w:szCs w:val="22"/>
          <w14:ligatures w14:val="none"/>
        </w:rPr>
        <w:t>themes, narrative, and participant quotes</w:t>
      </w:r>
      <w:r w:rsidRPr="00707724">
        <w:rPr>
          <w:rFonts w:asciiTheme="majorBidi" w:eastAsia="Times New Roman" w:hAnsiTheme="majorBidi" w:cstheme="majorBidi"/>
          <w:kern w:val="0"/>
          <w:sz w:val="22"/>
          <w:szCs w:val="22"/>
          <w14:ligatures w14:val="none"/>
        </w:rPr>
        <w:t>, showing the interpretative work of Thematic Analysis.</w:t>
      </w:r>
    </w:p>
    <w:p w14:paraId="6610C9C5" w14:textId="294D4D5B" w:rsidR="00956EDD" w:rsidRPr="00707724" w:rsidRDefault="00956EDD" w:rsidP="003F51A8">
      <w:pPr>
        <w:spacing w:before="100" w:beforeAutospacing="1" w:after="100" w:afterAutospacing="1"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Analysis of the interviews identified four overarching themes that capture how children experience the impact of ADHD in their daily lives:</w:t>
      </w:r>
    </w:p>
    <w:p w14:paraId="1E510C97" w14:textId="77777777" w:rsidR="00707724" w:rsidRPr="00707724" w:rsidRDefault="00707724"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Theme 1: Struggling to Focus in Structured Environments</w:t>
      </w:r>
    </w:p>
    <w:p w14:paraId="64347D39" w14:textId="2892AF05"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Across both school and home, the participant described persistent difficulties maintaining attention, resulting in frequent reprimands and a sense of frustration. He reported that these challenges were most evident in structured settings that demanded sustained focus, such as schoolwork or following instructions.</w:t>
      </w:r>
    </w:p>
    <w:p w14:paraId="4CB4F2B6" w14:textId="77777777" w:rsidR="00397F5B" w:rsidRPr="00397F5B" w:rsidRDefault="00397F5B" w:rsidP="00397F5B">
      <w:pPr>
        <w:spacing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“At school, I get in trouble quite a bit for things like not focusing and getting distracted. It’s the same at home, really… Mum might give me instructions, and I’ll get distracted and forget what I’m supposed to be doing.”</w:t>
      </w:r>
    </w:p>
    <w:p w14:paraId="54D00562" w14:textId="77777777"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 xml:space="preserve">These accounts illustrate the </w:t>
      </w:r>
      <w:r w:rsidRPr="00397F5B">
        <w:rPr>
          <w:rFonts w:asciiTheme="majorBidi" w:eastAsia="Times New Roman" w:hAnsiTheme="majorBidi" w:cstheme="majorBidi"/>
          <w:i/>
          <w:iCs/>
          <w:kern w:val="0"/>
          <w:sz w:val="22"/>
          <w:szCs w:val="22"/>
          <w14:ligatures w14:val="none"/>
        </w:rPr>
        <w:t>pervasive nature of attentional difficulties</w:t>
      </w:r>
      <w:r w:rsidRPr="00397F5B">
        <w:rPr>
          <w:rFonts w:asciiTheme="majorBidi" w:eastAsia="Times New Roman" w:hAnsiTheme="majorBidi" w:cstheme="majorBidi"/>
          <w:kern w:val="0"/>
          <w:sz w:val="22"/>
          <w:szCs w:val="22"/>
          <w14:ligatures w14:val="none"/>
        </w:rPr>
        <w:t xml:space="preserve"> for adolescents with ADHD and how these difficulties are often </w:t>
      </w:r>
      <w:r w:rsidRPr="00397F5B">
        <w:rPr>
          <w:rFonts w:asciiTheme="majorBidi" w:eastAsia="Times New Roman" w:hAnsiTheme="majorBidi" w:cstheme="majorBidi"/>
          <w:i/>
          <w:iCs/>
          <w:kern w:val="0"/>
          <w:sz w:val="22"/>
          <w:szCs w:val="22"/>
          <w14:ligatures w14:val="none"/>
        </w:rPr>
        <w:t>misinterpreted as intentional noncompliance</w:t>
      </w:r>
      <w:r w:rsidRPr="00397F5B">
        <w:rPr>
          <w:rFonts w:asciiTheme="majorBidi" w:eastAsia="Times New Roman" w:hAnsiTheme="majorBidi" w:cstheme="majorBidi"/>
          <w:kern w:val="0"/>
          <w:sz w:val="22"/>
          <w:szCs w:val="22"/>
          <w14:ligatures w14:val="none"/>
        </w:rPr>
        <w:t>. The participant linked this lack of focus to both academic underachievement and strained relationships with teachers and parents.</w:t>
      </w:r>
    </w:p>
    <w:p w14:paraId="7C0D07F6" w14:textId="77777777" w:rsidR="00707724" w:rsidRPr="00707724" w:rsidRDefault="00707724" w:rsidP="00397F5B">
      <w:pPr>
        <w:spacing w:before="100" w:beforeAutospacing="1" w:after="100" w:afterAutospacing="1" w:line="240" w:lineRule="auto"/>
        <w:outlineLvl w:val="2"/>
        <w:rPr>
          <w:rFonts w:asciiTheme="majorBidi" w:eastAsia="Times New Roman" w:hAnsiTheme="majorBidi" w:cstheme="majorBidi"/>
          <w:kern w:val="0"/>
          <w:sz w:val="22"/>
          <w:szCs w:val="22"/>
          <w14:ligatures w14:val="none"/>
        </w:rPr>
      </w:pPr>
    </w:p>
    <w:p w14:paraId="51A24986" w14:textId="77777777" w:rsidR="00707724" w:rsidRPr="00707724" w:rsidRDefault="00707724"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Theme 2: The Vicious Cycle of Misunderstanding and Frustration</w:t>
      </w:r>
    </w:p>
    <w:p w14:paraId="6DC4B904" w14:textId="1E8AE5E5"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A strong sense of being misunderstood emerged throughout the interview. The participant felt that his teachers often interpreted his distractibility as deliberate disobedience, which led to repeated reprimands that he perceived as ineffective.</w:t>
      </w:r>
    </w:p>
    <w:p w14:paraId="2EFAB149" w14:textId="77777777" w:rsidR="00397F5B" w:rsidRPr="00397F5B" w:rsidRDefault="00397F5B" w:rsidP="00397F5B">
      <w:pPr>
        <w:spacing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“My teacher [is] giving me a verbal warning… telling me to stop, which, for me, doesn’t really do anything. It’s not like I choose not to listen… it’s just I carry on without thinking.”</w:t>
      </w:r>
    </w:p>
    <w:p w14:paraId="62700779" w14:textId="77777777"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This cycle of distraction, reprimand, and demotivation appeared to reinforce itself over time:</w:t>
      </w:r>
    </w:p>
    <w:p w14:paraId="7EDB9182" w14:textId="77777777" w:rsidR="00397F5B" w:rsidRPr="00397F5B" w:rsidRDefault="00397F5B" w:rsidP="00397F5B">
      <w:pPr>
        <w:spacing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“Not concentrating, being told off, not finishing stuff, not starting stuff, losing the will, being told off.”</w:t>
      </w:r>
    </w:p>
    <w:p w14:paraId="486A1F4A" w14:textId="77777777"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 xml:space="preserve">The participant’s comments suggest a process of emotional disengagement, reflecting how persistent negative feedback can lead to </w:t>
      </w:r>
      <w:r w:rsidRPr="00397F5B">
        <w:rPr>
          <w:rFonts w:asciiTheme="majorBidi" w:eastAsia="Times New Roman" w:hAnsiTheme="majorBidi" w:cstheme="majorBidi"/>
          <w:i/>
          <w:iCs/>
          <w:kern w:val="0"/>
          <w:sz w:val="22"/>
          <w:szCs w:val="22"/>
          <w14:ligatures w14:val="none"/>
        </w:rPr>
        <w:t>learned helplessness</w:t>
      </w:r>
      <w:r w:rsidRPr="00397F5B">
        <w:rPr>
          <w:rFonts w:asciiTheme="majorBidi" w:eastAsia="Times New Roman" w:hAnsiTheme="majorBidi" w:cstheme="majorBidi"/>
          <w:kern w:val="0"/>
          <w:sz w:val="22"/>
          <w:szCs w:val="22"/>
          <w14:ligatures w14:val="none"/>
        </w:rPr>
        <w:t xml:space="preserve"> and </w:t>
      </w:r>
      <w:r w:rsidRPr="00397F5B">
        <w:rPr>
          <w:rFonts w:asciiTheme="majorBidi" w:eastAsia="Times New Roman" w:hAnsiTheme="majorBidi" w:cstheme="majorBidi"/>
          <w:i/>
          <w:iCs/>
          <w:kern w:val="0"/>
          <w:sz w:val="22"/>
          <w:szCs w:val="22"/>
          <w14:ligatures w14:val="none"/>
        </w:rPr>
        <w:t>reduced motivation</w:t>
      </w:r>
      <w:r w:rsidRPr="00397F5B">
        <w:rPr>
          <w:rFonts w:asciiTheme="majorBidi" w:eastAsia="Times New Roman" w:hAnsiTheme="majorBidi" w:cstheme="majorBidi"/>
          <w:kern w:val="0"/>
          <w:sz w:val="22"/>
          <w:szCs w:val="22"/>
          <w14:ligatures w14:val="none"/>
        </w:rPr>
        <w:t>. Although he acknowledged that others might feel angry or upset, he described a sense of resignation — “I just get on with it… what’s the point in worrying about it” — implying emotional numbing as a coping mechanism.</w:t>
      </w:r>
    </w:p>
    <w:p w14:paraId="2A3F257D" w14:textId="59EB7085" w:rsidR="00397F5B" w:rsidRPr="00397F5B" w:rsidRDefault="00397F5B" w:rsidP="00397F5B">
      <w:pPr>
        <w:spacing w:after="0" w:line="240" w:lineRule="auto"/>
        <w:rPr>
          <w:rFonts w:asciiTheme="majorBidi" w:eastAsia="Times New Roman" w:hAnsiTheme="majorBidi" w:cstheme="majorBidi"/>
          <w:kern w:val="0"/>
          <w:sz w:val="22"/>
          <w:szCs w:val="22"/>
          <w14:ligatures w14:val="none"/>
        </w:rPr>
      </w:pPr>
    </w:p>
    <w:p w14:paraId="75BBA5F7" w14:textId="77777777" w:rsidR="00707724" w:rsidRPr="00707724" w:rsidRDefault="00707724"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lastRenderedPageBreak/>
        <w:t>Theme 3: Finding Focus through Interest and Enjoyment</w:t>
      </w:r>
    </w:p>
    <w:p w14:paraId="066826E8" w14:textId="1B99C8DE"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In contrast to difficulties at school, the participant described situations in which his ADHD symptoms appeared to lessen, particularly during enjoyable or stimulating activities such as sport.</w:t>
      </w:r>
    </w:p>
    <w:p w14:paraId="64A93FB0" w14:textId="77777777" w:rsidR="00397F5B" w:rsidRPr="00397F5B" w:rsidRDefault="00397F5B" w:rsidP="00397F5B">
      <w:pPr>
        <w:spacing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“I guess I forget I have ADHD when I’m playing football. It’s just about playing football. I can concentrate on that.”</w:t>
      </w:r>
    </w:p>
    <w:p w14:paraId="4BFD1FA0" w14:textId="77777777"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 xml:space="preserve">Engagement in preferred activities seemed to facilitate what could be described as </w:t>
      </w:r>
      <w:r w:rsidRPr="00397F5B">
        <w:rPr>
          <w:rFonts w:asciiTheme="majorBidi" w:eastAsia="Times New Roman" w:hAnsiTheme="majorBidi" w:cstheme="majorBidi"/>
          <w:i/>
          <w:iCs/>
          <w:kern w:val="0"/>
          <w:sz w:val="22"/>
          <w:szCs w:val="22"/>
          <w14:ligatures w14:val="none"/>
        </w:rPr>
        <w:t>situational regulation</w:t>
      </w:r>
      <w:r w:rsidRPr="00397F5B">
        <w:rPr>
          <w:rFonts w:asciiTheme="majorBidi" w:eastAsia="Times New Roman" w:hAnsiTheme="majorBidi" w:cstheme="majorBidi"/>
          <w:kern w:val="0"/>
          <w:sz w:val="22"/>
          <w:szCs w:val="22"/>
          <w14:ligatures w14:val="none"/>
        </w:rPr>
        <w:t>, where attention and focus were naturally sustained. This theme highlights how ADHD-related difficulties are not constant but vary depending on context and intrinsic motivation. Enjoyable activities appeared to harness the participant’s attention and provide a sense of competence often lacking in academic environments.</w:t>
      </w:r>
    </w:p>
    <w:p w14:paraId="48B30B0D" w14:textId="3ADAF336" w:rsidR="00397F5B" w:rsidRPr="00397F5B" w:rsidRDefault="00397F5B" w:rsidP="00397F5B">
      <w:pPr>
        <w:spacing w:after="0" w:line="240" w:lineRule="auto"/>
        <w:rPr>
          <w:rFonts w:asciiTheme="majorBidi" w:eastAsia="Times New Roman" w:hAnsiTheme="majorBidi" w:cstheme="majorBidi"/>
          <w:kern w:val="0"/>
          <w:sz w:val="22"/>
          <w:szCs w:val="22"/>
          <w14:ligatures w14:val="none"/>
        </w:rPr>
      </w:pPr>
    </w:p>
    <w:p w14:paraId="0090CC42" w14:textId="77777777" w:rsidR="00707724" w:rsidRPr="00707724" w:rsidRDefault="00707724"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707724">
        <w:rPr>
          <w:rFonts w:asciiTheme="majorBidi" w:eastAsia="Times New Roman" w:hAnsiTheme="majorBidi" w:cstheme="majorBidi"/>
          <w:kern w:val="0"/>
          <w:sz w:val="22"/>
          <w:szCs w:val="22"/>
          <w14:ligatures w14:val="none"/>
        </w:rPr>
        <w:t>Theme 4: Mixed Perceptions of ADHD</w:t>
      </w:r>
    </w:p>
    <w:p w14:paraId="19F32B32" w14:textId="66059E25"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The participant expressed ambivalence about his ADHD, simultaneously viewing it as an obstacle in some areas and a potential asset in others. He acknowledged its negative impact on school performance but speculated that it might contribute positively to his sporting ability:</w:t>
      </w:r>
    </w:p>
    <w:p w14:paraId="20CCD630" w14:textId="77777777" w:rsidR="00397F5B" w:rsidRPr="00397F5B" w:rsidRDefault="00397F5B" w:rsidP="00397F5B">
      <w:pPr>
        <w:spacing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“School would be better if I didn’t have ADHD, but I might not be as good as I am at football.”</w:t>
      </w:r>
    </w:p>
    <w:p w14:paraId="6D41ABAD" w14:textId="77777777" w:rsidR="00397F5B" w:rsidRPr="00397F5B" w:rsidRDefault="00397F5B" w:rsidP="00397F5B">
      <w:pPr>
        <w:spacing w:before="100" w:beforeAutospacing="1" w:after="100" w:afterAutospacing="1" w:line="240" w:lineRule="auto"/>
        <w:rPr>
          <w:rFonts w:asciiTheme="majorBidi" w:eastAsia="Times New Roman" w:hAnsiTheme="majorBidi" w:cstheme="majorBidi"/>
          <w:kern w:val="0"/>
          <w:sz w:val="22"/>
          <w:szCs w:val="22"/>
          <w14:ligatures w14:val="none"/>
        </w:rPr>
      </w:pPr>
      <w:r w:rsidRPr="00397F5B">
        <w:rPr>
          <w:rFonts w:asciiTheme="majorBidi" w:eastAsia="Times New Roman" w:hAnsiTheme="majorBidi" w:cstheme="majorBidi"/>
          <w:kern w:val="0"/>
          <w:sz w:val="22"/>
          <w:szCs w:val="22"/>
          <w14:ligatures w14:val="none"/>
        </w:rPr>
        <w:t xml:space="preserve">Despite recognising its challenges, he conveyed a pragmatic acceptance of his condition — “It is what it is… you just gotta live with it.” This acceptance suggests the emergence of a </w:t>
      </w:r>
      <w:r w:rsidRPr="00397F5B">
        <w:rPr>
          <w:rFonts w:asciiTheme="majorBidi" w:eastAsia="Times New Roman" w:hAnsiTheme="majorBidi" w:cstheme="majorBidi"/>
          <w:i/>
          <w:iCs/>
          <w:kern w:val="0"/>
          <w:sz w:val="22"/>
          <w:szCs w:val="22"/>
          <w14:ligatures w14:val="none"/>
        </w:rPr>
        <w:t>resilient self-concept</w:t>
      </w:r>
      <w:r w:rsidRPr="00397F5B">
        <w:rPr>
          <w:rFonts w:asciiTheme="majorBidi" w:eastAsia="Times New Roman" w:hAnsiTheme="majorBidi" w:cstheme="majorBidi"/>
          <w:kern w:val="0"/>
          <w:sz w:val="22"/>
          <w:szCs w:val="22"/>
          <w14:ligatures w14:val="none"/>
        </w:rPr>
        <w:t>, in which ADHD is seen as an integral, if sometimes frustrating, aspect of identity.</w:t>
      </w:r>
    </w:p>
    <w:p w14:paraId="7F9595E1" w14:textId="77777777" w:rsidR="00397F5B" w:rsidRPr="00707724" w:rsidRDefault="00397F5B" w:rsidP="003F51A8">
      <w:pPr>
        <w:spacing w:before="100" w:beforeAutospacing="1" w:after="100" w:afterAutospacing="1" w:line="240" w:lineRule="auto"/>
        <w:rPr>
          <w:rFonts w:asciiTheme="majorBidi" w:hAnsiTheme="majorBidi" w:cstheme="majorBidi"/>
          <w:sz w:val="22"/>
          <w:szCs w:val="22"/>
        </w:rPr>
      </w:pPr>
    </w:p>
    <w:sectPr w:rsidR="00397F5B" w:rsidRPr="007077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7376F" w14:textId="77777777" w:rsidR="00F9566C" w:rsidRDefault="00F9566C" w:rsidP="00845D9A">
      <w:pPr>
        <w:spacing w:after="0" w:line="240" w:lineRule="auto"/>
      </w:pPr>
      <w:r>
        <w:separator/>
      </w:r>
    </w:p>
  </w:endnote>
  <w:endnote w:type="continuationSeparator" w:id="0">
    <w:p w14:paraId="0DDB33B9" w14:textId="77777777" w:rsidR="00F9566C" w:rsidRDefault="00F9566C" w:rsidP="00845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DFDC3" w14:textId="77777777" w:rsidR="00F9566C" w:rsidRDefault="00F9566C" w:rsidP="00845D9A">
      <w:pPr>
        <w:spacing w:after="0" w:line="240" w:lineRule="auto"/>
      </w:pPr>
      <w:r>
        <w:separator/>
      </w:r>
    </w:p>
  </w:footnote>
  <w:footnote w:type="continuationSeparator" w:id="0">
    <w:p w14:paraId="431DD180" w14:textId="77777777" w:rsidR="00F9566C" w:rsidRDefault="00F9566C" w:rsidP="00845D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67493"/>
    <w:rsid w:val="000E7F34"/>
    <w:rsid w:val="00384AFA"/>
    <w:rsid w:val="00397F5B"/>
    <w:rsid w:val="003F51A8"/>
    <w:rsid w:val="006142B8"/>
    <w:rsid w:val="00625265"/>
    <w:rsid w:val="006A64E2"/>
    <w:rsid w:val="00707724"/>
    <w:rsid w:val="007A7FC0"/>
    <w:rsid w:val="007D4186"/>
    <w:rsid w:val="00845D9A"/>
    <w:rsid w:val="00956EDD"/>
    <w:rsid w:val="00984BE0"/>
    <w:rsid w:val="009D087E"/>
    <w:rsid w:val="009E1E90"/>
    <w:rsid w:val="00B87617"/>
    <w:rsid w:val="00C016DE"/>
    <w:rsid w:val="00EC34B5"/>
    <w:rsid w:val="00F443B0"/>
    <w:rsid w:val="00F956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798D3E"/>
  <w15:chartTrackingRefBased/>
  <w15:docId w15:val="{39D9CBBE-5C17-4DAB-BDA4-042130BF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semiHidden/>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845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D9A"/>
  </w:style>
  <w:style w:type="paragraph" w:styleId="Footer">
    <w:name w:val="footer"/>
    <w:basedOn w:val="Normal"/>
    <w:link w:val="FooterChar"/>
    <w:uiPriority w:val="99"/>
    <w:unhideWhenUsed/>
    <w:rsid w:val="00845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21020964">
      <w:bodyDiv w:val="1"/>
      <w:marLeft w:val="0"/>
      <w:marRight w:val="0"/>
      <w:marTop w:val="0"/>
      <w:marBottom w:val="0"/>
      <w:divBdr>
        <w:top w:val="none" w:sz="0" w:space="0" w:color="auto"/>
        <w:left w:val="none" w:sz="0" w:space="0" w:color="auto"/>
        <w:bottom w:val="none" w:sz="0" w:space="0" w:color="auto"/>
        <w:right w:val="none" w:sz="0" w:space="0" w:color="auto"/>
      </w:divBdr>
      <w:divsChild>
        <w:div w:id="1652522710">
          <w:blockQuote w:val="1"/>
          <w:marLeft w:val="720"/>
          <w:marRight w:val="720"/>
          <w:marTop w:val="100"/>
          <w:marBottom w:val="100"/>
          <w:divBdr>
            <w:top w:val="none" w:sz="0" w:space="0" w:color="auto"/>
            <w:left w:val="none" w:sz="0" w:space="0" w:color="auto"/>
            <w:bottom w:val="none" w:sz="0" w:space="0" w:color="auto"/>
            <w:right w:val="none" w:sz="0" w:space="0" w:color="auto"/>
          </w:divBdr>
        </w:div>
        <w:div w:id="340937586">
          <w:blockQuote w:val="1"/>
          <w:marLeft w:val="720"/>
          <w:marRight w:val="720"/>
          <w:marTop w:val="100"/>
          <w:marBottom w:val="100"/>
          <w:divBdr>
            <w:top w:val="none" w:sz="0" w:space="0" w:color="auto"/>
            <w:left w:val="none" w:sz="0" w:space="0" w:color="auto"/>
            <w:bottom w:val="none" w:sz="0" w:space="0" w:color="auto"/>
            <w:right w:val="none" w:sz="0" w:space="0" w:color="auto"/>
          </w:divBdr>
        </w:div>
        <w:div w:id="1766002538">
          <w:blockQuote w:val="1"/>
          <w:marLeft w:val="720"/>
          <w:marRight w:val="720"/>
          <w:marTop w:val="100"/>
          <w:marBottom w:val="100"/>
          <w:divBdr>
            <w:top w:val="none" w:sz="0" w:space="0" w:color="auto"/>
            <w:left w:val="none" w:sz="0" w:space="0" w:color="auto"/>
            <w:bottom w:val="none" w:sz="0" w:space="0" w:color="auto"/>
            <w:right w:val="none" w:sz="0" w:space="0" w:color="auto"/>
          </w:divBdr>
        </w:div>
        <w:div w:id="1574971861">
          <w:blockQuote w:val="1"/>
          <w:marLeft w:val="720"/>
          <w:marRight w:val="720"/>
          <w:marTop w:val="100"/>
          <w:marBottom w:val="100"/>
          <w:divBdr>
            <w:top w:val="none" w:sz="0" w:space="0" w:color="auto"/>
            <w:left w:val="none" w:sz="0" w:space="0" w:color="auto"/>
            <w:bottom w:val="none" w:sz="0" w:space="0" w:color="auto"/>
            <w:right w:val="none" w:sz="0" w:space="0" w:color="auto"/>
          </w:divBdr>
        </w:div>
        <w:div w:id="15228196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906</Words>
  <Characters>5141</Characters>
  <Application>Microsoft Office Word</Application>
  <DocSecurity>0</DocSecurity>
  <Lines>146</Lines>
  <Paragraphs>78</Paragraphs>
  <ScaleCrop>false</ScaleCrop>
  <Company/>
  <LinksUpToDate>false</LinksUpToDate>
  <CharactersWithSpaces>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17</cp:revision>
  <dcterms:created xsi:type="dcterms:W3CDTF">2025-10-18T18:12:00Z</dcterms:created>
  <dcterms:modified xsi:type="dcterms:W3CDTF">2025-10-18T18:25:00Z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