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Pr="00594FAC" w:rsidRDefault="00C558B0" w:rsidP="00594FAC">
      <w:pPr>
        <w:spacing w:line="360" w:lineRule="auto"/>
        <w:rPr>
          <w:rFonts w:ascii="Arial" w:hAnsi="Arial" w:cs="Arial"/>
          <w:szCs w:val="24"/>
        </w:rPr>
      </w:pPr>
      <w:r w:rsidRPr="00594FAC">
        <w:rPr>
          <w:rFonts w:ascii="Arial" w:hAnsi="Arial" w:cs="Arial"/>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Pr="00594FAC" w:rsidRDefault="00C558B0" w:rsidP="00594FAC">
      <w:pPr>
        <w:spacing w:line="360" w:lineRule="auto"/>
        <w:rPr>
          <w:rFonts w:ascii="Arial" w:hAnsi="Arial" w:cs="Arial"/>
          <w:szCs w:val="24"/>
        </w:rPr>
      </w:pPr>
    </w:p>
    <w:p w14:paraId="554C8C17" w14:textId="77777777" w:rsidR="00C558B0" w:rsidRPr="00594FAC" w:rsidRDefault="00C558B0" w:rsidP="00594FAC">
      <w:pPr>
        <w:spacing w:line="360" w:lineRule="auto"/>
        <w:rPr>
          <w:rFonts w:ascii="Arial" w:hAnsi="Arial" w:cs="Arial"/>
          <w:szCs w:val="24"/>
        </w:rPr>
      </w:pPr>
    </w:p>
    <w:p w14:paraId="74A7306F" w14:textId="77777777" w:rsidR="00C558B0" w:rsidRPr="00594FAC" w:rsidRDefault="00C558B0" w:rsidP="00594FAC">
      <w:pPr>
        <w:spacing w:line="360" w:lineRule="auto"/>
        <w:rPr>
          <w:rFonts w:ascii="Arial" w:hAnsi="Arial" w:cs="Arial"/>
          <w:szCs w:val="24"/>
        </w:rPr>
      </w:pPr>
    </w:p>
    <w:p w14:paraId="4CFA099C" w14:textId="77777777" w:rsidR="00C558B0" w:rsidRPr="00594FAC" w:rsidRDefault="00C558B0" w:rsidP="00594FAC">
      <w:pPr>
        <w:tabs>
          <w:tab w:val="left" w:pos="6540"/>
        </w:tabs>
        <w:spacing w:line="360" w:lineRule="auto"/>
        <w:rPr>
          <w:rFonts w:ascii="Arial" w:hAnsi="Arial" w:cs="Arial"/>
          <w:sz w:val="28"/>
          <w:szCs w:val="28"/>
        </w:rPr>
      </w:pPr>
    </w:p>
    <w:p w14:paraId="2F4F861B" w14:textId="3A2F9BCA" w:rsidR="00C558B0" w:rsidRPr="00594FAC" w:rsidRDefault="00C558B0" w:rsidP="00594FAC">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name</w:t>
      </w:r>
      <w:r w:rsidRPr="00594FAC">
        <w:rPr>
          <w:rFonts w:ascii="Arial" w:hAnsi="Arial" w:cs="Arial"/>
          <w:sz w:val="28"/>
          <w:szCs w:val="28"/>
          <w:lang w:val="nl-NL"/>
        </w:rPr>
        <w:t>:</w:t>
      </w:r>
      <w:r w:rsidR="00E827F6">
        <w:rPr>
          <w:rFonts w:ascii="Arial" w:hAnsi="Arial" w:cs="Arial"/>
          <w:sz w:val="28"/>
          <w:szCs w:val="28"/>
          <w:lang w:val="nl-NL"/>
        </w:rPr>
        <w:t xml:space="preserve">Ortenzia Alexandra Barcea </w:t>
      </w:r>
    </w:p>
    <w:p w14:paraId="18D88AE2" w14:textId="7B556275" w:rsidR="00C558B0" w:rsidRPr="00594FAC" w:rsidRDefault="00C558B0" w:rsidP="00594FAC">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ID</w:t>
      </w:r>
      <w:r w:rsidRPr="00594FAC">
        <w:rPr>
          <w:rFonts w:ascii="Arial" w:hAnsi="Arial" w:cs="Arial"/>
          <w:sz w:val="28"/>
          <w:szCs w:val="28"/>
          <w:lang w:val="nl-NL"/>
        </w:rPr>
        <w:t>:</w:t>
      </w:r>
      <w:r w:rsidR="00E827F6">
        <w:rPr>
          <w:rFonts w:ascii="Arial" w:hAnsi="Arial" w:cs="Arial"/>
          <w:sz w:val="28"/>
          <w:szCs w:val="28"/>
          <w:lang w:val="nl-NL"/>
        </w:rPr>
        <w:t>2412822</w:t>
      </w:r>
    </w:p>
    <w:p w14:paraId="4654C81C" w14:textId="77777777" w:rsidR="00C558B0" w:rsidRPr="00594FAC" w:rsidRDefault="00C558B0" w:rsidP="00594FAC">
      <w:pPr>
        <w:tabs>
          <w:tab w:val="left" w:pos="6540"/>
        </w:tabs>
        <w:spacing w:line="360" w:lineRule="auto"/>
        <w:rPr>
          <w:rFonts w:ascii="Arial" w:hAnsi="Arial" w:cs="Arial"/>
          <w:sz w:val="28"/>
          <w:szCs w:val="28"/>
          <w:lang w:val="nl-NL"/>
        </w:rPr>
      </w:pPr>
    </w:p>
    <w:p w14:paraId="3D8DA301" w14:textId="0D9F4626" w:rsidR="00C558B0" w:rsidRDefault="00C558B0" w:rsidP="00594FAC">
      <w:pPr>
        <w:tabs>
          <w:tab w:val="left" w:pos="6540"/>
        </w:tabs>
        <w:spacing w:line="360" w:lineRule="auto"/>
        <w:rPr>
          <w:rFonts w:ascii="Arial" w:hAnsi="Arial" w:cs="Arial"/>
          <w:b/>
          <w:bCs/>
          <w:sz w:val="28"/>
          <w:szCs w:val="28"/>
          <w:lang w:val="nl-NL"/>
        </w:rPr>
      </w:pPr>
      <w:r w:rsidRPr="00594FAC">
        <w:rPr>
          <w:rFonts w:ascii="Arial" w:hAnsi="Arial" w:cs="Arial"/>
          <w:b/>
          <w:bCs/>
          <w:sz w:val="28"/>
          <w:szCs w:val="28"/>
          <w:lang w:val="nl-NL"/>
        </w:rPr>
        <w:t>Module name</w:t>
      </w:r>
      <w:r w:rsidRPr="00594FAC">
        <w:rPr>
          <w:rFonts w:ascii="Arial" w:hAnsi="Arial" w:cs="Arial"/>
          <w:sz w:val="28"/>
          <w:szCs w:val="28"/>
          <w:lang w:val="nl-NL"/>
        </w:rPr>
        <w:t xml:space="preserve">: </w:t>
      </w:r>
      <w:r w:rsidR="00887FBB" w:rsidRPr="00887FBB">
        <w:rPr>
          <w:rFonts w:ascii="Arial" w:hAnsi="Arial" w:cs="Arial"/>
          <w:b/>
          <w:bCs/>
          <w:sz w:val="28"/>
          <w:szCs w:val="28"/>
          <w:lang w:val="nl-NL"/>
        </w:rPr>
        <w:t>Principles of Health and Social Care Practice</w:t>
      </w:r>
    </w:p>
    <w:p w14:paraId="3E48CEF6" w14:textId="34265016" w:rsidR="00887FBB" w:rsidRPr="00594FAC" w:rsidRDefault="00887FBB" w:rsidP="00594FAC">
      <w:pPr>
        <w:tabs>
          <w:tab w:val="left" w:pos="6540"/>
        </w:tabs>
        <w:spacing w:line="360" w:lineRule="auto"/>
        <w:rPr>
          <w:rFonts w:ascii="Arial" w:hAnsi="Arial" w:cs="Arial"/>
          <w:sz w:val="28"/>
          <w:szCs w:val="28"/>
          <w:lang w:val="nl-NL"/>
        </w:rPr>
      </w:pPr>
      <w:r>
        <w:rPr>
          <w:rFonts w:ascii="Arial" w:hAnsi="Arial" w:cs="Arial"/>
          <w:b/>
          <w:bCs/>
          <w:sz w:val="28"/>
          <w:szCs w:val="28"/>
          <w:lang w:val="nl-NL"/>
        </w:rPr>
        <w:t>Component: 1</w:t>
      </w:r>
    </w:p>
    <w:p w14:paraId="7DB3261D" w14:textId="54EA5EAC" w:rsidR="00C558B0" w:rsidRPr="00594FAC" w:rsidRDefault="00C558B0" w:rsidP="00594FAC">
      <w:pPr>
        <w:tabs>
          <w:tab w:val="left" w:pos="6540"/>
        </w:tabs>
        <w:spacing w:line="360" w:lineRule="auto"/>
        <w:rPr>
          <w:rFonts w:ascii="Arial" w:hAnsi="Arial" w:cs="Arial"/>
          <w:sz w:val="28"/>
          <w:szCs w:val="28"/>
        </w:rPr>
      </w:pPr>
      <w:r w:rsidRPr="00594FAC">
        <w:rPr>
          <w:rFonts w:ascii="Arial" w:hAnsi="Arial" w:cs="Arial"/>
          <w:b/>
          <w:bCs/>
          <w:sz w:val="28"/>
          <w:szCs w:val="28"/>
        </w:rPr>
        <w:t>Module code</w:t>
      </w:r>
      <w:r w:rsidRPr="00594FAC">
        <w:rPr>
          <w:rFonts w:ascii="Arial" w:hAnsi="Arial" w:cs="Arial"/>
          <w:sz w:val="28"/>
          <w:szCs w:val="28"/>
        </w:rPr>
        <w:t>:</w:t>
      </w:r>
      <w:r w:rsidR="00887FBB">
        <w:rPr>
          <w:rFonts w:ascii="Arial" w:hAnsi="Arial" w:cs="Arial"/>
          <w:sz w:val="28"/>
          <w:szCs w:val="28"/>
        </w:rPr>
        <w:t xml:space="preserve"> </w:t>
      </w:r>
      <w:r w:rsidR="00887FBB" w:rsidRPr="00887FBB">
        <w:rPr>
          <w:rFonts w:ascii="Arial" w:hAnsi="Arial" w:cs="Arial"/>
          <w:b/>
          <w:bCs/>
          <w:sz w:val="28"/>
          <w:szCs w:val="28"/>
        </w:rPr>
        <w:t xml:space="preserve">BMHP5016 </w:t>
      </w:r>
    </w:p>
    <w:p w14:paraId="5CCA350C" w14:textId="2410FF18" w:rsidR="00C558B0" w:rsidRDefault="00C558B0" w:rsidP="00594FAC">
      <w:pPr>
        <w:tabs>
          <w:tab w:val="left" w:pos="6540"/>
        </w:tabs>
        <w:spacing w:line="360" w:lineRule="auto"/>
        <w:rPr>
          <w:rFonts w:ascii="Arial" w:hAnsi="Arial" w:cs="Arial"/>
          <w:sz w:val="28"/>
          <w:szCs w:val="28"/>
        </w:rPr>
      </w:pPr>
      <w:r w:rsidRPr="00594FAC">
        <w:rPr>
          <w:rFonts w:ascii="Arial" w:hAnsi="Arial" w:cs="Arial"/>
          <w:b/>
          <w:bCs/>
          <w:sz w:val="28"/>
          <w:szCs w:val="28"/>
        </w:rPr>
        <w:t>Lecturer name</w:t>
      </w:r>
      <w:r w:rsidRPr="00594FAC">
        <w:rPr>
          <w:rFonts w:ascii="Arial" w:hAnsi="Arial" w:cs="Arial"/>
          <w:sz w:val="28"/>
          <w:szCs w:val="28"/>
        </w:rPr>
        <w:t>:</w:t>
      </w:r>
      <w:r w:rsidR="00E827F6">
        <w:rPr>
          <w:rFonts w:ascii="Arial" w:hAnsi="Arial" w:cs="Arial"/>
          <w:sz w:val="28"/>
          <w:szCs w:val="28"/>
        </w:rPr>
        <w:t xml:space="preserve"> Farah Wiita</w:t>
      </w:r>
      <w:r w:rsidR="008D2921">
        <w:rPr>
          <w:rFonts w:ascii="Arial" w:hAnsi="Arial" w:cs="Arial"/>
          <w:sz w:val="28"/>
          <w:szCs w:val="28"/>
        </w:rPr>
        <w:t xml:space="preserve"> </w:t>
      </w:r>
    </w:p>
    <w:p w14:paraId="7F7202D1" w14:textId="77777777" w:rsidR="008D2921" w:rsidRDefault="008D2921" w:rsidP="00594FAC">
      <w:pPr>
        <w:tabs>
          <w:tab w:val="left" w:pos="6540"/>
        </w:tabs>
        <w:spacing w:line="360" w:lineRule="auto"/>
        <w:rPr>
          <w:rFonts w:ascii="Arial" w:hAnsi="Arial" w:cs="Arial"/>
          <w:sz w:val="28"/>
          <w:szCs w:val="28"/>
        </w:rPr>
      </w:pPr>
    </w:p>
    <w:p w14:paraId="47440BF2" w14:textId="77777777" w:rsidR="008D2921" w:rsidRDefault="008D2921" w:rsidP="00594FAC">
      <w:pPr>
        <w:tabs>
          <w:tab w:val="left" w:pos="6540"/>
        </w:tabs>
        <w:spacing w:line="360" w:lineRule="auto"/>
        <w:rPr>
          <w:rFonts w:ascii="Arial" w:hAnsi="Arial" w:cs="Arial"/>
          <w:sz w:val="28"/>
          <w:szCs w:val="28"/>
        </w:rPr>
      </w:pPr>
    </w:p>
    <w:p w14:paraId="2CF77CFC" w14:textId="77777777" w:rsidR="008D2921" w:rsidRDefault="008D2921" w:rsidP="00594FAC">
      <w:pPr>
        <w:tabs>
          <w:tab w:val="left" w:pos="6540"/>
        </w:tabs>
        <w:spacing w:line="360" w:lineRule="auto"/>
        <w:rPr>
          <w:rFonts w:ascii="Arial" w:hAnsi="Arial" w:cs="Arial"/>
          <w:sz w:val="28"/>
          <w:szCs w:val="28"/>
        </w:rPr>
      </w:pPr>
    </w:p>
    <w:p w14:paraId="04F19773" w14:textId="0DECDA1E" w:rsidR="008D2921" w:rsidRPr="00594FAC" w:rsidRDefault="009B2872" w:rsidP="00594FAC">
      <w:pPr>
        <w:tabs>
          <w:tab w:val="left" w:pos="6540"/>
        </w:tabs>
        <w:spacing w:line="360" w:lineRule="auto"/>
        <w:rPr>
          <w:rFonts w:ascii="Arial" w:hAnsi="Arial" w:cs="Arial"/>
          <w:sz w:val="28"/>
          <w:szCs w:val="28"/>
        </w:rPr>
      </w:pPr>
      <w:r>
        <w:rPr>
          <w:rFonts w:ascii="Arial" w:hAnsi="Arial" w:cs="Arial"/>
          <w:sz w:val="28"/>
          <w:szCs w:val="28"/>
        </w:rPr>
        <w:t xml:space="preserve">                                                                </w:t>
      </w:r>
      <w:r w:rsidR="007C7E02">
        <w:rPr>
          <w:rFonts w:ascii="Arial" w:hAnsi="Arial" w:cs="Arial"/>
          <w:sz w:val="28"/>
          <w:szCs w:val="28"/>
        </w:rPr>
        <w:t>SUBMITED:</w:t>
      </w:r>
      <w:r>
        <w:rPr>
          <w:rFonts w:ascii="Arial" w:hAnsi="Arial" w:cs="Arial"/>
          <w:sz w:val="28"/>
          <w:szCs w:val="28"/>
        </w:rPr>
        <w:t xml:space="preserve"> 2</w:t>
      </w:r>
      <w:r w:rsidR="00220E1C">
        <w:rPr>
          <w:rFonts w:ascii="Arial" w:hAnsi="Arial" w:cs="Arial"/>
          <w:sz w:val="28"/>
          <w:szCs w:val="28"/>
        </w:rPr>
        <w:t>6</w:t>
      </w:r>
      <w:r w:rsidR="00425D1C">
        <w:rPr>
          <w:rFonts w:ascii="Arial" w:hAnsi="Arial" w:cs="Arial"/>
          <w:sz w:val="28"/>
          <w:szCs w:val="28"/>
        </w:rPr>
        <w:t>.</w:t>
      </w:r>
      <w:r w:rsidR="00A30E2D">
        <w:rPr>
          <w:rFonts w:ascii="Arial" w:hAnsi="Arial" w:cs="Arial"/>
          <w:sz w:val="28"/>
          <w:szCs w:val="28"/>
        </w:rPr>
        <w:t xml:space="preserve">11.2025 </w:t>
      </w:r>
    </w:p>
    <w:p w14:paraId="5461F9C8" w14:textId="77777777" w:rsidR="00C558B0" w:rsidRPr="00594FAC" w:rsidRDefault="00C558B0" w:rsidP="00594FAC">
      <w:pPr>
        <w:tabs>
          <w:tab w:val="left" w:pos="6540"/>
        </w:tabs>
        <w:spacing w:line="360" w:lineRule="auto"/>
        <w:rPr>
          <w:rFonts w:ascii="Arial" w:hAnsi="Arial" w:cs="Arial"/>
          <w:sz w:val="28"/>
          <w:szCs w:val="28"/>
        </w:rPr>
      </w:pPr>
    </w:p>
    <w:p w14:paraId="79C715ED" w14:textId="29545A17" w:rsidR="006D2F2D" w:rsidRPr="00594FAC" w:rsidRDefault="006D2F2D" w:rsidP="00594FAC">
      <w:pPr>
        <w:spacing w:line="360" w:lineRule="auto"/>
        <w:rPr>
          <w:rFonts w:ascii="Arial" w:hAnsi="Arial" w:cs="Arial"/>
        </w:rPr>
      </w:pPr>
      <w:r w:rsidRPr="00594FAC">
        <w:rPr>
          <w:rFonts w:ascii="Arial" w:hAnsi="Arial" w:cs="Arial"/>
        </w:rPr>
        <w:br w:type="page"/>
      </w:r>
    </w:p>
    <w:p w14:paraId="2BB1CE40" w14:textId="6689CC71" w:rsidR="00B21FE6" w:rsidRDefault="00B21FE6" w:rsidP="00594FAC">
      <w:pPr>
        <w:spacing w:line="360" w:lineRule="auto"/>
        <w:rPr>
          <w:rFonts w:ascii="Arial" w:hAnsi="Arial" w:cs="Arial"/>
          <w:b/>
          <w:bCs/>
        </w:rPr>
      </w:pPr>
      <w:r w:rsidRPr="00594FAC">
        <w:rPr>
          <w:rFonts w:ascii="Arial" w:hAnsi="Arial" w:cs="Arial"/>
          <w:b/>
          <w:bCs/>
        </w:rPr>
        <w:lastRenderedPageBreak/>
        <w:t>Table of contents</w:t>
      </w:r>
    </w:p>
    <w:bookmarkStart w:id="0" w:name="_Toc212886649" w:displacedByCustomXml="next"/>
    <w:sdt>
      <w:sdtPr>
        <w:rPr>
          <w:rFonts w:ascii="Times New Roman" w:eastAsiaTheme="minorHAnsi" w:hAnsi="Times New Roman" w:cstheme="minorBidi"/>
          <w:color w:val="auto"/>
          <w:sz w:val="24"/>
          <w:szCs w:val="22"/>
        </w:rPr>
        <w:id w:val="-1715647347"/>
        <w:docPartObj>
          <w:docPartGallery w:val="Table of Contents"/>
          <w:docPartUnique/>
        </w:docPartObj>
      </w:sdtPr>
      <w:sdtEndPr>
        <w:rPr>
          <w:b/>
          <w:bCs/>
          <w:noProof/>
        </w:rPr>
      </w:sdtEndPr>
      <w:sdtContent>
        <w:p w14:paraId="611AAB08" w14:textId="2AFD2772" w:rsidR="00D7753F" w:rsidRDefault="00D7753F" w:rsidP="00D7753F">
          <w:pPr>
            <w:pStyle w:val="Heading1"/>
          </w:pPr>
          <w:r>
            <w:t>Contents</w:t>
          </w:r>
          <w:bookmarkEnd w:id="0"/>
        </w:p>
        <w:p w14:paraId="1D3A7261" w14:textId="5923E260" w:rsidR="003F5B42" w:rsidRDefault="00D7753F">
          <w:pPr>
            <w:pStyle w:val="TOC1"/>
            <w:tabs>
              <w:tab w:val="right" w:leader="dot" w:pos="9016"/>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212886649" w:history="1">
            <w:r w:rsidR="003F5B42" w:rsidRPr="00AF1EB7">
              <w:rPr>
                <w:rStyle w:val="Hyperlink"/>
                <w:noProof/>
              </w:rPr>
              <w:t>Contents</w:t>
            </w:r>
            <w:r w:rsidR="003F5B42">
              <w:rPr>
                <w:noProof/>
                <w:webHidden/>
              </w:rPr>
              <w:tab/>
            </w:r>
            <w:r w:rsidR="003F5B42">
              <w:rPr>
                <w:noProof/>
                <w:webHidden/>
              </w:rPr>
              <w:fldChar w:fldCharType="begin"/>
            </w:r>
            <w:r w:rsidR="003F5B42">
              <w:rPr>
                <w:noProof/>
                <w:webHidden/>
              </w:rPr>
              <w:instrText xml:space="preserve"> PAGEREF _Toc212886649 \h </w:instrText>
            </w:r>
            <w:r w:rsidR="003F5B42">
              <w:rPr>
                <w:noProof/>
                <w:webHidden/>
              </w:rPr>
            </w:r>
            <w:r w:rsidR="003F5B42">
              <w:rPr>
                <w:noProof/>
                <w:webHidden/>
              </w:rPr>
              <w:fldChar w:fldCharType="separate"/>
            </w:r>
            <w:r w:rsidR="003F5B42">
              <w:rPr>
                <w:noProof/>
                <w:webHidden/>
              </w:rPr>
              <w:t>2</w:t>
            </w:r>
            <w:r w:rsidR="003F5B42">
              <w:rPr>
                <w:noProof/>
                <w:webHidden/>
              </w:rPr>
              <w:fldChar w:fldCharType="end"/>
            </w:r>
          </w:hyperlink>
        </w:p>
        <w:p w14:paraId="6642BE3D" w14:textId="1C458AC1" w:rsidR="003F5B42" w:rsidRDefault="003F5B42">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2886650" w:history="1">
            <w:r w:rsidRPr="00AF1EB7">
              <w:rPr>
                <w:rStyle w:val="Hyperlink"/>
                <w:rFonts w:ascii="Arial" w:eastAsia="Arial" w:hAnsi="Arial" w:cs="Arial"/>
                <w:noProof/>
              </w:rPr>
              <w:t xml:space="preserve">Task 1:  </w:t>
            </w:r>
            <w:r w:rsidRPr="00AF1EB7">
              <w:rPr>
                <w:rStyle w:val="Hyperlink"/>
                <w:b/>
                <w:bCs/>
                <w:noProof/>
              </w:rPr>
              <w:t>Reflection on the Importance of Principles of Health and Social Care</w:t>
            </w:r>
            <w:r>
              <w:rPr>
                <w:noProof/>
                <w:webHidden/>
              </w:rPr>
              <w:tab/>
            </w:r>
            <w:r>
              <w:rPr>
                <w:noProof/>
                <w:webHidden/>
              </w:rPr>
              <w:fldChar w:fldCharType="begin"/>
            </w:r>
            <w:r>
              <w:rPr>
                <w:noProof/>
                <w:webHidden/>
              </w:rPr>
              <w:instrText xml:space="preserve"> PAGEREF _Toc212886650 \h </w:instrText>
            </w:r>
            <w:r>
              <w:rPr>
                <w:noProof/>
                <w:webHidden/>
              </w:rPr>
            </w:r>
            <w:r>
              <w:rPr>
                <w:noProof/>
                <w:webHidden/>
              </w:rPr>
              <w:fldChar w:fldCharType="separate"/>
            </w:r>
            <w:r>
              <w:rPr>
                <w:noProof/>
                <w:webHidden/>
              </w:rPr>
              <w:t>3</w:t>
            </w:r>
            <w:r>
              <w:rPr>
                <w:noProof/>
                <w:webHidden/>
              </w:rPr>
              <w:fldChar w:fldCharType="end"/>
            </w:r>
          </w:hyperlink>
        </w:p>
        <w:p w14:paraId="2989238C" w14:textId="261292A2" w:rsidR="003F5B42" w:rsidRDefault="003F5B42">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2886651" w:history="1">
            <w:r w:rsidRPr="00AF1EB7">
              <w:rPr>
                <w:rStyle w:val="Hyperlink"/>
                <w:rFonts w:ascii="Arial" w:eastAsia="Arial" w:hAnsi="Arial" w:cs="Arial"/>
                <w:noProof/>
              </w:rPr>
              <w:t xml:space="preserve">Task 2: </w:t>
            </w:r>
            <w:r w:rsidRPr="00AF1EB7">
              <w:rPr>
                <w:rStyle w:val="Hyperlink"/>
                <w:b/>
                <w:bCs/>
                <w:noProof/>
              </w:rPr>
              <w:t>Practical Examples of Concepts in Practice</w:t>
            </w:r>
            <w:r>
              <w:rPr>
                <w:noProof/>
                <w:webHidden/>
              </w:rPr>
              <w:tab/>
            </w:r>
            <w:r>
              <w:rPr>
                <w:noProof/>
                <w:webHidden/>
              </w:rPr>
              <w:fldChar w:fldCharType="begin"/>
            </w:r>
            <w:r>
              <w:rPr>
                <w:noProof/>
                <w:webHidden/>
              </w:rPr>
              <w:instrText xml:space="preserve"> PAGEREF _Toc212886651 \h </w:instrText>
            </w:r>
            <w:r>
              <w:rPr>
                <w:noProof/>
                <w:webHidden/>
              </w:rPr>
            </w:r>
            <w:r>
              <w:rPr>
                <w:noProof/>
                <w:webHidden/>
              </w:rPr>
              <w:fldChar w:fldCharType="separate"/>
            </w:r>
            <w:r>
              <w:rPr>
                <w:noProof/>
                <w:webHidden/>
              </w:rPr>
              <w:t>4</w:t>
            </w:r>
            <w:r>
              <w:rPr>
                <w:noProof/>
                <w:webHidden/>
              </w:rPr>
              <w:fldChar w:fldCharType="end"/>
            </w:r>
          </w:hyperlink>
        </w:p>
        <w:p w14:paraId="0D256F3B" w14:textId="004476B0" w:rsidR="003F5B42" w:rsidRDefault="003F5B42">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2886652" w:history="1">
            <w:r w:rsidRPr="00AF1EB7">
              <w:rPr>
                <w:rStyle w:val="Hyperlink"/>
                <w:rFonts w:ascii="Arial" w:eastAsia="Arial" w:hAnsi="Arial" w:cs="Arial"/>
                <w:noProof/>
              </w:rPr>
              <w:t xml:space="preserve">Task 3: </w:t>
            </w:r>
            <w:r w:rsidRPr="00AF1EB7">
              <w:rPr>
                <w:rStyle w:val="Hyperlink"/>
                <w:b/>
                <w:bCs/>
                <w:noProof/>
              </w:rPr>
              <w:t>Self-Reflection as a Health and Social Care Professional</w:t>
            </w:r>
            <w:r>
              <w:rPr>
                <w:noProof/>
                <w:webHidden/>
              </w:rPr>
              <w:tab/>
            </w:r>
            <w:r>
              <w:rPr>
                <w:noProof/>
                <w:webHidden/>
              </w:rPr>
              <w:fldChar w:fldCharType="begin"/>
            </w:r>
            <w:r>
              <w:rPr>
                <w:noProof/>
                <w:webHidden/>
              </w:rPr>
              <w:instrText xml:space="preserve"> PAGEREF _Toc212886652 \h </w:instrText>
            </w:r>
            <w:r>
              <w:rPr>
                <w:noProof/>
                <w:webHidden/>
              </w:rPr>
            </w:r>
            <w:r>
              <w:rPr>
                <w:noProof/>
                <w:webHidden/>
              </w:rPr>
              <w:fldChar w:fldCharType="separate"/>
            </w:r>
            <w:r>
              <w:rPr>
                <w:noProof/>
                <w:webHidden/>
              </w:rPr>
              <w:t>5</w:t>
            </w:r>
            <w:r>
              <w:rPr>
                <w:noProof/>
                <w:webHidden/>
              </w:rPr>
              <w:fldChar w:fldCharType="end"/>
            </w:r>
          </w:hyperlink>
        </w:p>
        <w:p w14:paraId="7028D4D7" w14:textId="0F0DCC0C" w:rsidR="003F5B42" w:rsidRDefault="003F5B42">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2886653" w:history="1">
            <w:r w:rsidRPr="00AF1EB7">
              <w:rPr>
                <w:rStyle w:val="Hyperlink"/>
                <w:noProof/>
              </w:rPr>
              <w:t>Conclusion</w:t>
            </w:r>
            <w:r>
              <w:rPr>
                <w:noProof/>
                <w:webHidden/>
              </w:rPr>
              <w:tab/>
            </w:r>
            <w:r>
              <w:rPr>
                <w:noProof/>
                <w:webHidden/>
              </w:rPr>
              <w:fldChar w:fldCharType="begin"/>
            </w:r>
            <w:r>
              <w:rPr>
                <w:noProof/>
                <w:webHidden/>
              </w:rPr>
              <w:instrText xml:space="preserve"> PAGEREF _Toc212886653 \h </w:instrText>
            </w:r>
            <w:r>
              <w:rPr>
                <w:noProof/>
                <w:webHidden/>
              </w:rPr>
            </w:r>
            <w:r>
              <w:rPr>
                <w:noProof/>
                <w:webHidden/>
              </w:rPr>
              <w:fldChar w:fldCharType="separate"/>
            </w:r>
            <w:r>
              <w:rPr>
                <w:noProof/>
                <w:webHidden/>
              </w:rPr>
              <w:t>8</w:t>
            </w:r>
            <w:r>
              <w:rPr>
                <w:noProof/>
                <w:webHidden/>
              </w:rPr>
              <w:fldChar w:fldCharType="end"/>
            </w:r>
          </w:hyperlink>
        </w:p>
        <w:p w14:paraId="697A34F6" w14:textId="4DF558CF" w:rsidR="003F5B42" w:rsidRDefault="003F5B42">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2886654" w:history="1">
            <w:r w:rsidRPr="00AF1EB7">
              <w:rPr>
                <w:rStyle w:val="Hyperlink"/>
                <w:noProof/>
              </w:rPr>
              <w:t>References</w:t>
            </w:r>
            <w:r>
              <w:rPr>
                <w:noProof/>
                <w:webHidden/>
              </w:rPr>
              <w:tab/>
            </w:r>
            <w:r>
              <w:rPr>
                <w:noProof/>
                <w:webHidden/>
              </w:rPr>
              <w:fldChar w:fldCharType="begin"/>
            </w:r>
            <w:r>
              <w:rPr>
                <w:noProof/>
                <w:webHidden/>
              </w:rPr>
              <w:instrText xml:space="preserve"> PAGEREF _Toc212886654 \h </w:instrText>
            </w:r>
            <w:r>
              <w:rPr>
                <w:noProof/>
                <w:webHidden/>
              </w:rPr>
            </w:r>
            <w:r>
              <w:rPr>
                <w:noProof/>
                <w:webHidden/>
              </w:rPr>
              <w:fldChar w:fldCharType="separate"/>
            </w:r>
            <w:r>
              <w:rPr>
                <w:noProof/>
                <w:webHidden/>
              </w:rPr>
              <w:t>8</w:t>
            </w:r>
            <w:r>
              <w:rPr>
                <w:noProof/>
                <w:webHidden/>
              </w:rPr>
              <w:fldChar w:fldCharType="end"/>
            </w:r>
          </w:hyperlink>
        </w:p>
        <w:p w14:paraId="5720431F" w14:textId="104EC120" w:rsidR="00D7753F" w:rsidRDefault="00D7753F">
          <w:r>
            <w:rPr>
              <w:b/>
              <w:bCs/>
              <w:noProof/>
            </w:rPr>
            <w:fldChar w:fldCharType="end"/>
          </w:r>
        </w:p>
      </w:sdtContent>
    </w:sdt>
    <w:p w14:paraId="40A8D9FB" w14:textId="77777777" w:rsidR="00F02CD5" w:rsidRPr="00594FAC" w:rsidRDefault="00F02CD5" w:rsidP="00594FAC">
      <w:pPr>
        <w:spacing w:line="360" w:lineRule="auto"/>
        <w:rPr>
          <w:rFonts w:ascii="Arial" w:hAnsi="Arial" w:cs="Arial"/>
          <w:b/>
          <w:bCs/>
        </w:rPr>
      </w:pPr>
    </w:p>
    <w:p w14:paraId="529D6F14" w14:textId="77777777" w:rsidR="00B21FE6" w:rsidRPr="00594FAC" w:rsidRDefault="00B21FE6" w:rsidP="00594FAC">
      <w:pPr>
        <w:spacing w:line="360" w:lineRule="auto"/>
        <w:rPr>
          <w:rFonts w:ascii="Arial" w:hAnsi="Arial" w:cs="Arial"/>
          <w:sz w:val="22"/>
        </w:rPr>
      </w:pPr>
    </w:p>
    <w:p w14:paraId="327B4649" w14:textId="77777777" w:rsidR="00B21FE6" w:rsidRPr="00594FAC" w:rsidRDefault="00B21FE6" w:rsidP="00594FAC">
      <w:pPr>
        <w:spacing w:line="360" w:lineRule="auto"/>
        <w:rPr>
          <w:rFonts w:ascii="Arial" w:hAnsi="Arial" w:cs="Arial"/>
          <w:sz w:val="22"/>
        </w:rPr>
      </w:pPr>
    </w:p>
    <w:p w14:paraId="388A7857" w14:textId="77777777" w:rsidR="00B21FE6" w:rsidRPr="00594FAC" w:rsidRDefault="00B21FE6" w:rsidP="00594FAC">
      <w:pPr>
        <w:spacing w:line="360" w:lineRule="auto"/>
        <w:rPr>
          <w:rFonts w:ascii="Arial" w:hAnsi="Arial" w:cs="Arial"/>
          <w:sz w:val="22"/>
        </w:rPr>
      </w:pPr>
    </w:p>
    <w:p w14:paraId="7381AAD5" w14:textId="77777777" w:rsidR="00B21FE6" w:rsidRPr="00594FAC" w:rsidRDefault="00B21FE6" w:rsidP="00594FAC">
      <w:pPr>
        <w:spacing w:line="360" w:lineRule="auto"/>
        <w:rPr>
          <w:rFonts w:ascii="Arial" w:hAnsi="Arial" w:cs="Arial"/>
          <w:sz w:val="22"/>
        </w:rPr>
      </w:pPr>
    </w:p>
    <w:p w14:paraId="6498F677" w14:textId="5B3425DF" w:rsidR="00B21FE6" w:rsidRPr="00594FAC" w:rsidRDefault="00B21FE6" w:rsidP="00594FAC">
      <w:pPr>
        <w:spacing w:line="360" w:lineRule="auto"/>
        <w:rPr>
          <w:rFonts w:ascii="Arial" w:hAnsi="Arial" w:cs="Arial"/>
          <w:sz w:val="22"/>
        </w:rPr>
      </w:pPr>
      <w:r w:rsidRPr="00594FAC">
        <w:rPr>
          <w:rFonts w:ascii="Arial" w:hAnsi="Arial" w:cs="Arial"/>
          <w:sz w:val="22"/>
        </w:rPr>
        <w:br w:type="page"/>
      </w:r>
    </w:p>
    <w:p w14:paraId="62A2ED47" w14:textId="1525CFD5" w:rsidR="001847FC" w:rsidRDefault="00A11336" w:rsidP="00D7753F">
      <w:pPr>
        <w:pStyle w:val="Heading1"/>
        <w:rPr>
          <w:rStyle w:val="Strong"/>
          <w:sz w:val="28"/>
          <w:szCs w:val="28"/>
        </w:rPr>
      </w:pPr>
      <w:bookmarkStart w:id="1" w:name="_Toc212886650"/>
      <w:r w:rsidRPr="002E729C">
        <w:rPr>
          <w:rFonts w:ascii="Arial" w:eastAsia="Arial" w:hAnsi="Arial" w:cs="Arial"/>
        </w:rPr>
        <w:lastRenderedPageBreak/>
        <w:t xml:space="preserve">Task 1: </w:t>
      </w:r>
      <w:r w:rsidR="001847FC" w:rsidRPr="002E729C">
        <w:rPr>
          <w:rFonts w:ascii="Arial" w:eastAsia="Arial" w:hAnsi="Arial" w:cs="Arial"/>
        </w:rPr>
        <w:t xml:space="preserve"> </w:t>
      </w:r>
      <w:r w:rsidR="001847FC" w:rsidRPr="002E729C">
        <w:rPr>
          <w:rStyle w:val="Strong"/>
          <w:sz w:val="28"/>
          <w:szCs w:val="28"/>
        </w:rPr>
        <w:t>Reflection on the Importance of Principles of Health and Social Care</w:t>
      </w:r>
      <w:bookmarkEnd w:id="1"/>
    </w:p>
    <w:p w14:paraId="1F759A15" w14:textId="61AA122C" w:rsidR="001847FC" w:rsidRPr="002C61CD" w:rsidRDefault="00BA4008" w:rsidP="002C61CD">
      <w:pPr>
        <w:spacing w:after="0" w:line="360" w:lineRule="auto"/>
        <w:jc w:val="both"/>
        <w:rPr>
          <w:rFonts w:ascii="AriEL" w:eastAsia="Times New Roman" w:hAnsi="AriEL" w:cs="Arial"/>
          <w:sz w:val="22"/>
          <w:lang w:eastAsia="en-GB"/>
        </w:rPr>
      </w:pPr>
      <w:r w:rsidRPr="00BA4008">
        <w:rPr>
          <w:rFonts w:ascii="AriEL" w:eastAsia="Times New Roman" w:hAnsi="AriEL" w:cs="Arial"/>
          <w:sz w:val="22"/>
          <w:lang w:eastAsia="en-GB"/>
        </w:rPr>
        <w:t xml:space="preserve">In UK health and social care, principles such as person-centred care, partnership working, and ethics are central to delivering high-quality, effective </w:t>
      </w:r>
      <w:r w:rsidR="00220E1C" w:rsidRPr="00BA4008">
        <w:rPr>
          <w:rFonts w:ascii="AriEL" w:eastAsia="Times New Roman" w:hAnsi="AriEL" w:cs="Arial"/>
          <w:sz w:val="22"/>
          <w:lang w:eastAsia="en-GB"/>
        </w:rPr>
        <w:t>services</w:t>
      </w:r>
      <w:r w:rsidR="00220E1C" w:rsidRPr="002C61CD">
        <w:rPr>
          <w:rFonts w:ascii="AriEL" w:hAnsi="AriEL" w:cs="Arial"/>
          <w:sz w:val="22"/>
        </w:rPr>
        <w:t xml:space="preserve"> </w:t>
      </w:r>
      <w:r w:rsidR="00220E1C">
        <w:rPr>
          <w:rFonts w:ascii="AriEL" w:hAnsi="AriEL" w:cs="Arial"/>
          <w:sz w:val="22"/>
        </w:rPr>
        <w:t>.</w:t>
      </w:r>
      <w:r w:rsidR="00220E1C" w:rsidRPr="002C61CD">
        <w:rPr>
          <w:rFonts w:ascii="AriEL" w:hAnsi="AriEL" w:cs="Arial"/>
          <w:sz w:val="22"/>
        </w:rPr>
        <w:t>These</w:t>
      </w:r>
      <w:r w:rsidR="001847FC" w:rsidRPr="002C61CD">
        <w:rPr>
          <w:rFonts w:ascii="AriEL" w:hAnsi="AriEL" w:cs="Arial"/>
          <w:sz w:val="22"/>
        </w:rPr>
        <w:t xml:space="preserve"> principles guide practitioners in responding to diverse individual needs while ensuring professional accountability, collaboration, and ethical decision-making. Their integration into practice supports both the well-being of service users and the integrity of the care system.</w:t>
      </w:r>
    </w:p>
    <w:p w14:paraId="7DA4D092" w14:textId="77777777" w:rsidR="001847FC" w:rsidRPr="002C61CD" w:rsidRDefault="001847FC" w:rsidP="002C61CD">
      <w:pPr>
        <w:pStyle w:val="NormalWeb"/>
        <w:spacing w:line="360" w:lineRule="auto"/>
        <w:jc w:val="both"/>
        <w:rPr>
          <w:rFonts w:ascii="AriEL" w:hAnsi="AriEL" w:cs="Arial"/>
          <w:sz w:val="22"/>
          <w:szCs w:val="22"/>
        </w:rPr>
      </w:pPr>
      <w:r w:rsidRPr="002C61CD">
        <w:rPr>
          <w:rStyle w:val="Strong"/>
          <w:rFonts w:ascii="AriEL" w:hAnsi="AriEL" w:cs="Arial"/>
          <w:sz w:val="22"/>
          <w:szCs w:val="22"/>
        </w:rPr>
        <w:t>Person-centred care</w:t>
      </w:r>
      <w:r w:rsidRPr="002C61CD">
        <w:rPr>
          <w:rFonts w:ascii="AriEL" w:hAnsi="AriEL" w:cs="Arial"/>
          <w:sz w:val="22"/>
          <w:szCs w:val="22"/>
        </w:rPr>
        <w:t xml:space="preserve"> places the individual at the heart of care planning and delivery, emphasising respect for their needs, preferences, and values. This approach encourages active participation in decision-making, ensuring that interventions align with the person’s unique circumstances (McCormack &amp; McCance, 2017). By acknowledging individual autonomy, person-centred care promotes dignity, empowerment, and satisfaction. For example, tailoring care to accommodate cultural preferences or personal routines improves both engagement and outcomes. In the UK, policy frameworks such as the Care Act 2014 reinforce this principle by promoting choice, control, and safeguarding rights (Department of Health &amp; Social Care, 2014). Ultimately, person-centred care enhances the quality of services by focusing on the individual rather than solely on the condition.</w:t>
      </w:r>
    </w:p>
    <w:p w14:paraId="36E2730A" w14:textId="11B4E737" w:rsidR="001847FC" w:rsidRPr="002C61CD" w:rsidRDefault="001847FC" w:rsidP="002C61CD">
      <w:pPr>
        <w:pStyle w:val="NormalWeb"/>
        <w:spacing w:line="360" w:lineRule="auto"/>
        <w:jc w:val="both"/>
        <w:rPr>
          <w:rFonts w:ascii="AriEL" w:hAnsi="AriEL" w:cs="Arial"/>
          <w:sz w:val="22"/>
          <w:szCs w:val="22"/>
        </w:rPr>
      </w:pPr>
      <w:r w:rsidRPr="002C61CD">
        <w:rPr>
          <w:rStyle w:val="Strong"/>
          <w:rFonts w:ascii="AriEL" w:hAnsi="AriEL" w:cs="Arial"/>
          <w:sz w:val="22"/>
          <w:szCs w:val="22"/>
        </w:rPr>
        <w:t>Partnership working</w:t>
      </w:r>
      <w:r w:rsidRPr="002C61CD">
        <w:rPr>
          <w:rFonts w:ascii="AriEL" w:hAnsi="AriEL" w:cs="Arial"/>
          <w:sz w:val="22"/>
          <w:szCs w:val="22"/>
        </w:rPr>
        <w:t xml:space="preserve"> involves collaborative engagement between professionals, service users, families, and external agencies to achieve shared care goals. Effective partnerships improve communication, reduce duplication of services, and ensure continuity of care (Glasby &amp; Dickinson, 2014). In practice, multidisciplinary teams</w:t>
      </w:r>
      <w:r w:rsidR="00EA0B92" w:rsidRPr="002C61CD">
        <w:rPr>
          <w:rFonts w:ascii="AriEL" w:hAnsi="AriEL" w:cs="Arial"/>
          <w:sz w:val="22"/>
          <w:szCs w:val="22"/>
        </w:rPr>
        <w:t xml:space="preserve"> </w:t>
      </w:r>
      <w:r w:rsidRPr="002C61CD">
        <w:rPr>
          <w:rFonts w:ascii="AriEL" w:hAnsi="AriEL" w:cs="Arial"/>
          <w:sz w:val="22"/>
          <w:szCs w:val="22"/>
        </w:rPr>
        <w:t>including nurses, social workers, therapists, and support staff</w:t>
      </w:r>
      <w:r w:rsidR="00F00ED4" w:rsidRPr="002C61CD">
        <w:rPr>
          <w:rFonts w:ascii="AriEL" w:hAnsi="AriEL" w:cs="Arial"/>
          <w:sz w:val="22"/>
          <w:szCs w:val="22"/>
        </w:rPr>
        <w:t xml:space="preserve"> </w:t>
      </w:r>
      <w:r w:rsidRPr="002C61CD">
        <w:rPr>
          <w:rFonts w:ascii="AriEL" w:hAnsi="AriEL" w:cs="Arial"/>
          <w:sz w:val="22"/>
          <w:szCs w:val="22"/>
        </w:rPr>
        <w:t>must coordinate to address complex needs such as chronic disease management or mental health support. Involving service users and carers in planning decisions ensures that care is responsive, holistic, and reflective of lived experiences. Partnership working also strengthens trust, accountability, and efficiency within health and social care systems, fostering better outcomes for individuals and communities.</w:t>
      </w:r>
    </w:p>
    <w:p w14:paraId="2864262B" w14:textId="1A0BA684" w:rsidR="001847FC" w:rsidRPr="002C61CD" w:rsidRDefault="001847FC" w:rsidP="002C61CD">
      <w:pPr>
        <w:pStyle w:val="NormalWeb"/>
        <w:spacing w:line="360" w:lineRule="auto"/>
        <w:jc w:val="both"/>
        <w:rPr>
          <w:rFonts w:ascii="AriEL" w:hAnsi="AriEL" w:cs="Arial"/>
          <w:sz w:val="22"/>
          <w:szCs w:val="22"/>
        </w:rPr>
      </w:pPr>
      <w:r w:rsidRPr="002C61CD">
        <w:rPr>
          <w:rStyle w:val="Strong"/>
          <w:rFonts w:ascii="AriEL" w:hAnsi="AriEL" w:cs="Arial"/>
          <w:sz w:val="22"/>
          <w:szCs w:val="22"/>
        </w:rPr>
        <w:t>Ethics</w:t>
      </w:r>
      <w:r w:rsidRPr="002C61CD">
        <w:rPr>
          <w:rFonts w:ascii="AriEL" w:hAnsi="AriEL" w:cs="Arial"/>
          <w:sz w:val="22"/>
          <w:szCs w:val="22"/>
        </w:rPr>
        <w:t xml:space="preserve"> provides the moral framework necessary for professional practice, guiding decisions and behaviour in complex care contexts. Key ethical principles</w:t>
      </w:r>
      <w:r w:rsidR="00F00ED4" w:rsidRPr="002C61CD">
        <w:rPr>
          <w:rFonts w:ascii="AriEL" w:hAnsi="AriEL" w:cs="Arial"/>
          <w:sz w:val="22"/>
          <w:szCs w:val="22"/>
        </w:rPr>
        <w:t xml:space="preserve"> </w:t>
      </w:r>
      <w:r w:rsidRPr="002C61CD">
        <w:rPr>
          <w:rFonts w:ascii="AriEL" w:hAnsi="AriEL" w:cs="Arial"/>
          <w:sz w:val="22"/>
          <w:szCs w:val="22"/>
        </w:rPr>
        <w:t>beneficence, non-maleficence, autonomy, and justice</w:t>
      </w:r>
      <w:r w:rsidR="00F00ED4" w:rsidRPr="002C61CD">
        <w:rPr>
          <w:rFonts w:ascii="AriEL" w:hAnsi="AriEL" w:cs="Arial"/>
          <w:sz w:val="22"/>
          <w:szCs w:val="22"/>
        </w:rPr>
        <w:t xml:space="preserve"> </w:t>
      </w:r>
      <w:r w:rsidRPr="002C61CD">
        <w:rPr>
          <w:rFonts w:ascii="AriEL" w:hAnsi="AriEL" w:cs="Arial"/>
          <w:sz w:val="22"/>
          <w:szCs w:val="22"/>
        </w:rPr>
        <w:t>ensure interventions are in the best interests of service users while protecting their rights and dignity (Beauchamp &amp; Childress, 2019). Ethical practice is particularly important in areas such as informed consent, confidentiality, end-of-life care, and allocation of limited resources. In the UK, professional codes of conduct from organisations like the Nursing and Midwifery Council (NMC) and the Health and Care Professions Council (HCPC) reinforce ethical obligations, providing accountability and standards for care delivery.</w:t>
      </w:r>
    </w:p>
    <w:p w14:paraId="6713DD9C" w14:textId="3FFA3120" w:rsidR="001847FC" w:rsidRDefault="001847FC" w:rsidP="002C61CD">
      <w:pPr>
        <w:pStyle w:val="NormalWeb"/>
        <w:spacing w:line="360" w:lineRule="auto"/>
        <w:jc w:val="both"/>
        <w:rPr>
          <w:rFonts w:ascii="AriEL" w:hAnsi="AriEL" w:cs="Arial"/>
          <w:sz w:val="22"/>
          <w:szCs w:val="22"/>
        </w:rPr>
      </w:pPr>
      <w:r w:rsidRPr="002C61CD">
        <w:rPr>
          <w:rFonts w:ascii="AriEL" w:hAnsi="AriEL" w:cs="Arial"/>
          <w:sz w:val="22"/>
          <w:szCs w:val="22"/>
        </w:rPr>
        <w:lastRenderedPageBreak/>
        <w:t>In conclusion, person-centred care, partnership working, and ethics are interdependent principles that underpin quality health and social care in the UK. Person-centred care ensures services respond to individual needs, partnership working enables coordinated and effective interventions, and ethics safeguards moral integrity and professional responsibility. Together, they support compassionate, equitable, and evidence-informed practice, improving outcomes for service users and sustaining public trust. Embedding these principles in everyday practice is essential for delivering high-quality, ethical care and achieving the strategic aims of the UK health and social care system.</w:t>
      </w:r>
    </w:p>
    <w:p w14:paraId="7F7C57C9" w14:textId="77777777" w:rsidR="00220E1C" w:rsidRPr="002C61CD" w:rsidRDefault="00220E1C" w:rsidP="002C61CD">
      <w:pPr>
        <w:pStyle w:val="NormalWeb"/>
        <w:spacing w:line="360" w:lineRule="auto"/>
        <w:jc w:val="both"/>
        <w:rPr>
          <w:rFonts w:ascii="AriEL" w:hAnsi="AriEL" w:cs="Arial"/>
          <w:sz w:val="22"/>
          <w:szCs w:val="22"/>
        </w:rPr>
      </w:pPr>
    </w:p>
    <w:p w14:paraId="6C6A7300" w14:textId="119F654A" w:rsidR="003225DA" w:rsidRPr="002C61CD" w:rsidRDefault="00A11336" w:rsidP="002C61CD">
      <w:pPr>
        <w:pStyle w:val="Heading1"/>
        <w:spacing w:line="360" w:lineRule="auto"/>
        <w:jc w:val="both"/>
        <w:rPr>
          <w:rFonts w:ascii="AriEL" w:eastAsia="Arial" w:hAnsi="AriEL" w:cs="Arial"/>
          <w:sz w:val="22"/>
          <w:szCs w:val="22"/>
        </w:rPr>
      </w:pPr>
      <w:bookmarkStart w:id="2" w:name="_Toc212886651"/>
      <w:r w:rsidRPr="002C61CD">
        <w:rPr>
          <w:rFonts w:ascii="AriEL" w:eastAsia="Arial" w:hAnsi="AriEL" w:cs="Arial"/>
          <w:sz w:val="22"/>
          <w:szCs w:val="22"/>
        </w:rPr>
        <w:t xml:space="preserve">Task 2: </w:t>
      </w:r>
      <w:r w:rsidR="003225DA" w:rsidRPr="002C61CD">
        <w:rPr>
          <w:rStyle w:val="Strong"/>
          <w:rFonts w:ascii="AriEL" w:hAnsi="AriEL"/>
          <w:sz w:val="22"/>
          <w:szCs w:val="22"/>
        </w:rPr>
        <w:t>Practical Examples of Concepts in Practice</w:t>
      </w:r>
      <w:bookmarkEnd w:id="2"/>
    </w:p>
    <w:p w14:paraId="4ACAB5F8" w14:textId="77777777" w:rsidR="003225DA" w:rsidRPr="002C61CD" w:rsidRDefault="003225DA" w:rsidP="002C61CD">
      <w:pPr>
        <w:pStyle w:val="NormalWeb"/>
        <w:spacing w:line="360" w:lineRule="auto"/>
        <w:jc w:val="both"/>
        <w:rPr>
          <w:rFonts w:ascii="AriEL" w:hAnsi="AriEL" w:cs="Arial"/>
          <w:sz w:val="22"/>
          <w:szCs w:val="22"/>
        </w:rPr>
      </w:pPr>
      <w:r w:rsidRPr="002C61CD">
        <w:rPr>
          <w:rFonts w:ascii="AriEL" w:hAnsi="AriEL" w:cs="Arial"/>
          <w:sz w:val="22"/>
          <w:szCs w:val="22"/>
        </w:rPr>
        <w:t>The principles of person-centred care, partnership working, and ethics are essential to delivering high-quality health and social care in the UK. They guide practitioners in providing safe, effective, and equitable care while supporting service users’ autonomy and well-being, in line with frameworks such as the Care Act 2014 and professional codes of conduct.</w:t>
      </w:r>
    </w:p>
    <w:p w14:paraId="5DB3C561" w14:textId="77777777" w:rsidR="003225DA" w:rsidRPr="002C61CD" w:rsidRDefault="003225DA" w:rsidP="002C61CD">
      <w:pPr>
        <w:pStyle w:val="NormalWeb"/>
        <w:spacing w:line="360" w:lineRule="auto"/>
        <w:jc w:val="both"/>
        <w:rPr>
          <w:rFonts w:ascii="AriEL" w:hAnsi="AriEL" w:cs="Arial"/>
          <w:sz w:val="22"/>
          <w:szCs w:val="22"/>
        </w:rPr>
      </w:pPr>
      <w:r w:rsidRPr="002C61CD">
        <w:rPr>
          <w:rFonts w:ascii="AriEL" w:hAnsi="AriEL" w:cs="Arial"/>
          <w:sz w:val="22"/>
          <w:szCs w:val="22"/>
        </w:rPr>
        <w:t xml:space="preserve">A practical example of </w:t>
      </w:r>
      <w:r w:rsidRPr="002C61CD">
        <w:rPr>
          <w:rStyle w:val="Strong"/>
          <w:rFonts w:ascii="AriEL" w:hAnsi="AriEL" w:cs="Arial"/>
          <w:sz w:val="22"/>
          <w:szCs w:val="22"/>
        </w:rPr>
        <w:t>person-centred care</w:t>
      </w:r>
      <w:r w:rsidRPr="002C61CD">
        <w:rPr>
          <w:rFonts w:ascii="AriEL" w:hAnsi="AriEL" w:cs="Arial"/>
          <w:sz w:val="22"/>
          <w:szCs w:val="22"/>
        </w:rPr>
        <w:t xml:space="preserve"> can be observed in a community mental health setting where a service user with depression and anxiety co-developed a personalised care plan with the healthcare team. The plan included preferred coping strategies, flexible counselling sessions, and medication schedules tailored to the individual’s needs. By prioritising the service user’s goals and preferences, the team promoted autonomy and engagement, which research shows improves adherence and overall outcomes (McCormack &amp; McCance, 2017). This approach emphasises treating individuals holistically rather than focusing solely on clinical symptoms, demonstrating the tangible benefits of person-centred practice.</w:t>
      </w:r>
    </w:p>
    <w:p w14:paraId="54A815B8" w14:textId="77777777" w:rsidR="003225DA" w:rsidRPr="002C61CD" w:rsidRDefault="003225DA" w:rsidP="002C61CD">
      <w:pPr>
        <w:pStyle w:val="NormalWeb"/>
        <w:spacing w:line="360" w:lineRule="auto"/>
        <w:jc w:val="both"/>
        <w:rPr>
          <w:rFonts w:ascii="AriEL" w:hAnsi="AriEL" w:cs="Arial"/>
          <w:sz w:val="22"/>
          <w:szCs w:val="22"/>
        </w:rPr>
      </w:pPr>
      <w:r w:rsidRPr="002C61CD">
        <w:rPr>
          <w:rStyle w:val="Strong"/>
          <w:rFonts w:ascii="AriEL" w:hAnsi="AriEL" w:cs="Arial"/>
          <w:sz w:val="22"/>
          <w:szCs w:val="22"/>
        </w:rPr>
        <w:t>Partnership working</w:t>
      </w:r>
      <w:r w:rsidRPr="002C61CD">
        <w:rPr>
          <w:rFonts w:ascii="AriEL" w:hAnsi="AriEL" w:cs="Arial"/>
          <w:sz w:val="22"/>
          <w:szCs w:val="22"/>
        </w:rPr>
        <w:t xml:space="preserve"> was effectively demonstrated in the care of an elderly patient with multiple chronic conditions requiring coordinated input from a GP, nurse, social worker, dietitian, and family members. Regular multidisciplinary meetings enabled the team to review progress, adjust care plans, and respond to emerging issues. Evidence suggests that effective collaboration reduces hospital admissions and enhances patient satisfaction (Glasby &amp; Dickinson, 2014). In this example, partnership working ensured continuity of care, timely interventions, and improved communication between professionals and the family, illustrating how integrated approaches enhance health outcomes in complex cases.</w:t>
      </w:r>
    </w:p>
    <w:p w14:paraId="4F561ADF" w14:textId="00142D64" w:rsidR="003225DA" w:rsidRPr="002C61CD" w:rsidRDefault="003225DA" w:rsidP="002C61CD">
      <w:pPr>
        <w:pStyle w:val="NormalWeb"/>
        <w:spacing w:line="360" w:lineRule="auto"/>
        <w:jc w:val="both"/>
        <w:rPr>
          <w:rFonts w:ascii="AriEL" w:hAnsi="AriEL" w:cs="Arial"/>
          <w:sz w:val="22"/>
          <w:szCs w:val="22"/>
        </w:rPr>
      </w:pPr>
      <w:r w:rsidRPr="002C61CD">
        <w:rPr>
          <w:rStyle w:val="Strong"/>
          <w:rFonts w:ascii="AriEL" w:hAnsi="AriEL" w:cs="Arial"/>
          <w:sz w:val="22"/>
          <w:szCs w:val="22"/>
        </w:rPr>
        <w:t>Ethics</w:t>
      </w:r>
      <w:r w:rsidRPr="002C61CD">
        <w:rPr>
          <w:rFonts w:ascii="AriEL" w:hAnsi="AriEL" w:cs="Arial"/>
          <w:sz w:val="22"/>
          <w:szCs w:val="22"/>
        </w:rPr>
        <w:t xml:space="preserve"> guided care in a palliative scenario where a terminally ill patient wished to prioritise comfort over life-extending treatments. The healthcare team applied ethical principles</w:t>
      </w:r>
      <w:r w:rsidR="00F00ED4" w:rsidRPr="002C61CD">
        <w:rPr>
          <w:rFonts w:ascii="AriEL" w:hAnsi="AriEL" w:cs="Arial"/>
          <w:sz w:val="22"/>
          <w:szCs w:val="22"/>
        </w:rPr>
        <w:t xml:space="preserve"> </w:t>
      </w:r>
      <w:r w:rsidRPr="002C61CD">
        <w:rPr>
          <w:rFonts w:ascii="AriEL" w:hAnsi="AriEL" w:cs="Arial"/>
          <w:sz w:val="22"/>
          <w:szCs w:val="22"/>
        </w:rPr>
        <w:t xml:space="preserve">including </w:t>
      </w:r>
      <w:r w:rsidRPr="002C61CD">
        <w:rPr>
          <w:rFonts w:ascii="AriEL" w:hAnsi="AriEL" w:cs="Arial"/>
          <w:sz w:val="22"/>
          <w:szCs w:val="22"/>
        </w:rPr>
        <w:lastRenderedPageBreak/>
        <w:t>autonomy, beneficence, and non-maleficence</w:t>
      </w:r>
      <w:r w:rsidR="00F00ED4" w:rsidRPr="002C61CD">
        <w:rPr>
          <w:rFonts w:ascii="AriEL" w:hAnsi="AriEL" w:cs="Arial"/>
          <w:sz w:val="22"/>
          <w:szCs w:val="22"/>
        </w:rPr>
        <w:t xml:space="preserve"> </w:t>
      </w:r>
      <w:r w:rsidRPr="002C61CD">
        <w:rPr>
          <w:rFonts w:ascii="AriEL" w:hAnsi="AriEL" w:cs="Arial"/>
          <w:sz w:val="22"/>
          <w:szCs w:val="22"/>
        </w:rPr>
        <w:t>while ensuring that the patient and family were fully informed (Beauchamp &amp; Childress, 2019). Respecting the patient’s decisions safeguarded dignity, strengthened trust, and supported morally sound care. This example highlights the importance of ethical decision-making in balancing professional responsibilities with individual rights, particularly in sensitive or high-stakes contexts.</w:t>
      </w:r>
    </w:p>
    <w:p w14:paraId="3551AD7C" w14:textId="77777777" w:rsidR="003225DA" w:rsidRPr="002C61CD" w:rsidRDefault="003225DA" w:rsidP="002C61CD">
      <w:pPr>
        <w:pStyle w:val="NormalWeb"/>
        <w:spacing w:line="360" w:lineRule="auto"/>
        <w:jc w:val="both"/>
        <w:rPr>
          <w:rFonts w:ascii="AriEL" w:hAnsi="AriEL" w:cs="Arial"/>
          <w:sz w:val="22"/>
          <w:szCs w:val="22"/>
        </w:rPr>
      </w:pPr>
      <w:r w:rsidRPr="002C61CD">
        <w:rPr>
          <w:rFonts w:ascii="AriEL" w:hAnsi="AriEL" w:cs="Arial"/>
          <w:sz w:val="22"/>
          <w:szCs w:val="22"/>
        </w:rPr>
        <w:t>Integration of these principles is supported by UK policies such as the NHS Long Term Plan and the Care Act 2014, which emphasise personalised care, collaborative practice, and ethical standards. Despite challenges such as resource limitations, complex patient needs, and time pressures, person-centred approaches, partnership working, and ethical frameworks provide structured methods to address these obstacles. Involving patients in care planning improves adherence and reduces avoidable hospital visits, coordinated multidisciplinary working ensures comprehensive support, and ethical decision-making maintains fairness and dignity, even in challenging scenarios.</w:t>
      </w:r>
    </w:p>
    <w:p w14:paraId="19794B09" w14:textId="77777777" w:rsidR="003225DA" w:rsidRDefault="003225DA" w:rsidP="002C61CD">
      <w:pPr>
        <w:pStyle w:val="NormalWeb"/>
        <w:spacing w:line="360" w:lineRule="auto"/>
        <w:jc w:val="both"/>
        <w:rPr>
          <w:rFonts w:ascii="AriEL" w:hAnsi="AriEL" w:cs="Arial"/>
          <w:sz w:val="22"/>
          <w:szCs w:val="22"/>
        </w:rPr>
      </w:pPr>
      <w:r w:rsidRPr="002C61CD">
        <w:rPr>
          <w:rFonts w:ascii="AriEL" w:hAnsi="AriEL" w:cs="Arial"/>
          <w:sz w:val="22"/>
          <w:szCs w:val="22"/>
        </w:rPr>
        <w:t>Practical application of these principles is evident across various health and social care settings. For example, in community nursing, personalised care plans that consider patients’ routines and preferences improve engagement and recovery. In hospital settings, multidisciplinary team meetings enhance coordination between medical, nursing, and social care staff, reducing errors and ensuring patients receive holistic support. Ethical frameworks guide decision-making in complex cases such as end-of-life care, safeguarding patients’ rights while supporting informed choices and respecting cultural or personal beliefs. Research consistently demonstrates that combining person-centred care, partnership working, and ethical practice leads to better patient outcomes, increased satisfaction, and more effective service delivery (McCormack &amp; McCance, 2017; Glasby &amp; Dickinson, 2014; Beauchamp &amp; Childress, 2019).</w:t>
      </w:r>
    </w:p>
    <w:p w14:paraId="05102310" w14:textId="77777777" w:rsidR="00220E1C" w:rsidRDefault="00220E1C" w:rsidP="002C61CD">
      <w:pPr>
        <w:pStyle w:val="NormalWeb"/>
        <w:spacing w:line="360" w:lineRule="auto"/>
        <w:jc w:val="both"/>
        <w:rPr>
          <w:rFonts w:ascii="AriEL" w:hAnsi="AriEL" w:cs="Arial"/>
          <w:sz w:val="22"/>
          <w:szCs w:val="22"/>
        </w:rPr>
      </w:pPr>
    </w:p>
    <w:p w14:paraId="2D64FD36" w14:textId="77777777" w:rsidR="00220E1C" w:rsidRDefault="00220E1C" w:rsidP="002C61CD">
      <w:pPr>
        <w:pStyle w:val="NormalWeb"/>
        <w:spacing w:line="360" w:lineRule="auto"/>
        <w:jc w:val="both"/>
        <w:rPr>
          <w:rFonts w:ascii="AriEL" w:hAnsi="AriEL" w:cs="Arial"/>
          <w:sz w:val="22"/>
          <w:szCs w:val="22"/>
        </w:rPr>
      </w:pPr>
    </w:p>
    <w:p w14:paraId="02BED5C0" w14:textId="77777777" w:rsidR="00220E1C" w:rsidRDefault="00220E1C" w:rsidP="002C61CD">
      <w:pPr>
        <w:pStyle w:val="NormalWeb"/>
        <w:spacing w:line="360" w:lineRule="auto"/>
        <w:jc w:val="both"/>
        <w:rPr>
          <w:rFonts w:ascii="AriEL" w:hAnsi="AriEL" w:cs="Arial"/>
          <w:sz w:val="22"/>
          <w:szCs w:val="22"/>
        </w:rPr>
      </w:pPr>
    </w:p>
    <w:p w14:paraId="16D6B8E3" w14:textId="77777777" w:rsidR="00220E1C" w:rsidRDefault="00220E1C" w:rsidP="002C61CD">
      <w:pPr>
        <w:pStyle w:val="NormalWeb"/>
        <w:spacing w:line="360" w:lineRule="auto"/>
        <w:jc w:val="both"/>
        <w:rPr>
          <w:rFonts w:ascii="AriEL" w:hAnsi="AriEL" w:cs="Arial"/>
          <w:sz w:val="22"/>
          <w:szCs w:val="22"/>
        </w:rPr>
      </w:pPr>
    </w:p>
    <w:p w14:paraId="26EA206A" w14:textId="77777777" w:rsidR="00220E1C" w:rsidRPr="002C61CD" w:rsidRDefault="00220E1C" w:rsidP="002C61CD">
      <w:pPr>
        <w:pStyle w:val="NormalWeb"/>
        <w:spacing w:line="360" w:lineRule="auto"/>
        <w:jc w:val="both"/>
        <w:rPr>
          <w:rFonts w:ascii="AriEL" w:hAnsi="AriEL" w:cs="Arial"/>
          <w:sz w:val="22"/>
          <w:szCs w:val="22"/>
        </w:rPr>
      </w:pPr>
    </w:p>
    <w:p w14:paraId="1B4289E7" w14:textId="77777777" w:rsidR="00A11336" w:rsidRPr="002C61CD" w:rsidRDefault="00A11336" w:rsidP="002C61CD">
      <w:pPr>
        <w:spacing w:after="0" w:line="360" w:lineRule="auto"/>
        <w:jc w:val="both"/>
        <w:rPr>
          <w:rFonts w:ascii="AriEL" w:eastAsia="Arial" w:hAnsi="AriEL" w:cs="Arial"/>
          <w:sz w:val="22"/>
        </w:rPr>
      </w:pPr>
    </w:p>
    <w:p w14:paraId="12FF1F8B" w14:textId="12194C7A" w:rsidR="00DE06F0" w:rsidRPr="002C61CD" w:rsidRDefault="00A11336" w:rsidP="002C61CD">
      <w:pPr>
        <w:pStyle w:val="Heading1"/>
        <w:spacing w:line="360" w:lineRule="auto"/>
        <w:jc w:val="both"/>
        <w:rPr>
          <w:rFonts w:ascii="AriEL" w:eastAsia="Arial" w:hAnsi="AriEL" w:cs="Arial"/>
          <w:sz w:val="22"/>
          <w:szCs w:val="22"/>
        </w:rPr>
      </w:pPr>
      <w:bookmarkStart w:id="3" w:name="_Toc212886652"/>
      <w:r w:rsidRPr="002C61CD">
        <w:rPr>
          <w:rFonts w:ascii="AriEL" w:eastAsia="Arial" w:hAnsi="AriEL" w:cs="Arial"/>
          <w:sz w:val="22"/>
          <w:szCs w:val="22"/>
        </w:rPr>
        <w:lastRenderedPageBreak/>
        <w:t xml:space="preserve">Task 3: </w:t>
      </w:r>
      <w:r w:rsidR="00DE06F0" w:rsidRPr="002C61CD">
        <w:rPr>
          <w:rStyle w:val="Strong"/>
          <w:rFonts w:ascii="AriEL" w:hAnsi="AriEL"/>
          <w:sz w:val="22"/>
          <w:szCs w:val="22"/>
        </w:rPr>
        <w:t>Self-Reflection as a Health and Social Care Professional</w:t>
      </w:r>
      <w:bookmarkEnd w:id="3"/>
    </w:p>
    <w:p w14:paraId="6069D4B6" w14:textId="77777777" w:rsidR="00DE06F0" w:rsidRPr="002C61CD" w:rsidRDefault="00DE06F0" w:rsidP="002C61CD">
      <w:pPr>
        <w:pStyle w:val="NormalWeb"/>
        <w:spacing w:line="360" w:lineRule="auto"/>
        <w:jc w:val="both"/>
        <w:rPr>
          <w:rFonts w:ascii="AriEL" w:hAnsi="AriEL" w:cs="Arial"/>
          <w:sz w:val="22"/>
          <w:szCs w:val="22"/>
        </w:rPr>
      </w:pPr>
      <w:r w:rsidRPr="002C61CD">
        <w:rPr>
          <w:rFonts w:ascii="AriEL" w:hAnsi="AriEL" w:cs="Arial"/>
          <w:sz w:val="22"/>
          <w:szCs w:val="22"/>
        </w:rPr>
        <w:t>Reflecting on my experiences in health and social care, I recognise that person-centred care, partnership working, and ethics are essential principles guiding professional practice. Using the community mental health example from Task 2, where a service user with depression and anxiety co-developed a personalised care plan, I will critically reflect on how these principles shape professional growth, identify areas for improvement, and outline strategies for personal and professional development.</w:t>
      </w:r>
    </w:p>
    <w:p w14:paraId="57123351" w14:textId="77777777" w:rsidR="00DE06F0" w:rsidRPr="002C61CD" w:rsidRDefault="00DE06F0" w:rsidP="002C61CD">
      <w:pPr>
        <w:pStyle w:val="NormalWeb"/>
        <w:spacing w:line="360" w:lineRule="auto"/>
        <w:jc w:val="both"/>
        <w:rPr>
          <w:rFonts w:ascii="AriEL" w:hAnsi="AriEL" w:cs="Arial"/>
          <w:sz w:val="22"/>
          <w:szCs w:val="22"/>
        </w:rPr>
      </w:pPr>
      <w:r w:rsidRPr="002C61CD">
        <w:rPr>
          <w:rFonts w:ascii="AriEL" w:hAnsi="AriEL" w:cs="Arial"/>
          <w:sz w:val="22"/>
          <w:szCs w:val="22"/>
        </w:rPr>
        <w:t>In the case study, the healthcare team collaborated with the service user to create a care plan including flexible counselling sessions, mindfulness activities, and tailored medication schedules. The focus was on understanding the individual’s needs, preferences, and goals rather than solely addressing clinical symptoms. The team also coordinated with other professionals and the patient’s family, ensuring continuity of care. Ethical decision-making was evident when balancing the patient’s autonomy with clinical guidance.</w:t>
      </w:r>
    </w:p>
    <w:p w14:paraId="70478529" w14:textId="77777777" w:rsidR="00DE06F0" w:rsidRPr="002C61CD" w:rsidRDefault="00DE06F0" w:rsidP="002C61CD">
      <w:pPr>
        <w:pStyle w:val="NormalWeb"/>
        <w:spacing w:line="360" w:lineRule="auto"/>
        <w:jc w:val="both"/>
        <w:rPr>
          <w:rFonts w:ascii="AriEL" w:hAnsi="AriEL" w:cs="Arial"/>
          <w:sz w:val="22"/>
          <w:szCs w:val="22"/>
        </w:rPr>
      </w:pPr>
      <w:r w:rsidRPr="002C61CD">
        <w:rPr>
          <w:rFonts w:ascii="AriEL" w:hAnsi="AriEL" w:cs="Arial"/>
          <w:sz w:val="22"/>
          <w:szCs w:val="22"/>
        </w:rPr>
        <w:t>Initially, I felt inspired and challenged by how effectively the principles were applied. I was inspired because the service user was actively involved in their care, demonstrating the positive impact of person-centred practice. At the same time, I recognised my own uncertainty about integrating ethics into complex care situations, particularly when patient choices conflict with professional recommendations. This reflection highlighted the importance of continual learning to build confidence in ethical decision-making.</w:t>
      </w:r>
    </w:p>
    <w:p w14:paraId="02CC74D4" w14:textId="77777777" w:rsidR="00DE06F0" w:rsidRPr="002C61CD" w:rsidRDefault="00DE06F0" w:rsidP="002C61CD">
      <w:pPr>
        <w:pStyle w:val="NormalWeb"/>
        <w:spacing w:line="360" w:lineRule="auto"/>
        <w:jc w:val="both"/>
        <w:rPr>
          <w:rFonts w:ascii="AriEL" w:hAnsi="AriEL" w:cs="Arial"/>
          <w:sz w:val="22"/>
          <w:szCs w:val="22"/>
        </w:rPr>
      </w:pPr>
      <w:r w:rsidRPr="002C61CD">
        <w:rPr>
          <w:rFonts w:ascii="AriEL" w:hAnsi="AriEL" w:cs="Arial"/>
          <w:sz w:val="22"/>
          <w:szCs w:val="22"/>
        </w:rPr>
        <w:t>The application of person-centred care empowered the service user, improving engagement and adherence, consistent with McCormack and McCance’s (2017) theory that recognising autonomy enhances recovery. Maslow’s Hierarchy of Needs is also relevant, as addressing psychological needs and promoting self-esteem contributed to the individual’s well-being. Partnership working facilitated coordinated support, demonstrating the value of multidisciplinary collaboration (Glasby &amp; Dickinson, 2014). Ethical practice ensured that the patient’s rights were respected while care remained safe and effective (Beauchamp &amp; Childress, 2019).</w:t>
      </w:r>
    </w:p>
    <w:p w14:paraId="78AA9119" w14:textId="77777777" w:rsidR="00DE06F0" w:rsidRPr="002C61CD" w:rsidRDefault="00DE06F0" w:rsidP="002C61CD">
      <w:pPr>
        <w:pStyle w:val="NormalWeb"/>
        <w:spacing w:line="360" w:lineRule="auto"/>
        <w:jc w:val="both"/>
        <w:rPr>
          <w:rFonts w:ascii="AriEL" w:hAnsi="AriEL" w:cs="Arial"/>
          <w:sz w:val="22"/>
          <w:szCs w:val="22"/>
        </w:rPr>
      </w:pPr>
      <w:r w:rsidRPr="002C61CD">
        <w:rPr>
          <w:rFonts w:ascii="AriEL" w:hAnsi="AriEL" w:cs="Arial"/>
          <w:sz w:val="22"/>
          <w:szCs w:val="22"/>
        </w:rPr>
        <w:t>However, challenges were evident that highlight areas for improvement in my own practice. One challenge was ensuring clear and ongoing communication between professionals and the service user, particularly in real-world settings where time and resource constraints exist. Additionally, applying ethical principles under pressure or when facing conflicting priorities is an area where I need to develop greater confidence and critical thinking.</w:t>
      </w:r>
    </w:p>
    <w:p w14:paraId="428D731B" w14:textId="77777777" w:rsidR="00DE06F0" w:rsidRPr="002C61CD" w:rsidRDefault="00DE06F0" w:rsidP="002C61CD">
      <w:pPr>
        <w:pStyle w:val="NormalWeb"/>
        <w:spacing w:line="360" w:lineRule="auto"/>
        <w:jc w:val="both"/>
        <w:rPr>
          <w:rFonts w:ascii="AriEL" w:hAnsi="AriEL" w:cs="Arial"/>
          <w:sz w:val="22"/>
          <w:szCs w:val="22"/>
        </w:rPr>
      </w:pPr>
      <w:r w:rsidRPr="002C61CD">
        <w:rPr>
          <w:rFonts w:ascii="AriEL" w:hAnsi="AriEL" w:cs="Arial"/>
          <w:sz w:val="22"/>
          <w:szCs w:val="22"/>
        </w:rPr>
        <w:lastRenderedPageBreak/>
        <w:t>The case study highlights the interconnected nature of these principles. Person-centred care enhances engagement, partnership working ensures comprehensive support, and ethics provides a framework for morally sound decisions. In future practice, I aim to integrate these principles more consistently by linking them to professional codes of conduct, such as those from the Nursing and Midwifery Council (NMC) and Health and Care Professions Council (HCPC), which emphasise respect, dignity, and accountability.</w:t>
      </w:r>
    </w:p>
    <w:p w14:paraId="4785A980" w14:textId="77777777" w:rsidR="00DE06F0" w:rsidRPr="002C61CD" w:rsidRDefault="00DE06F0" w:rsidP="002C61CD">
      <w:pPr>
        <w:pStyle w:val="NormalWeb"/>
        <w:spacing w:line="360" w:lineRule="auto"/>
        <w:jc w:val="both"/>
        <w:rPr>
          <w:rFonts w:ascii="AriEL" w:hAnsi="AriEL" w:cs="Arial"/>
          <w:sz w:val="22"/>
          <w:szCs w:val="22"/>
        </w:rPr>
      </w:pPr>
      <w:r w:rsidRPr="002C61CD">
        <w:rPr>
          <w:rFonts w:ascii="AriEL" w:hAnsi="AriEL" w:cs="Arial"/>
          <w:sz w:val="22"/>
          <w:szCs w:val="22"/>
        </w:rPr>
        <w:t>Legislation such as the Care Act 2014 and the Health and Care Act 2022 reinforces these principles by promoting personalised care, safeguarding, and collaboration. For instance, the Care Act encourages practitioners to involve service users in care planning, while the Health and Care Act focuses on improving integration between services, aligning with partnership working. Using these policies as a guide strengthens professional practice and ensures compliance with legal and ethical obligations.</w:t>
      </w:r>
    </w:p>
    <w:p w14:paraId="6DC47368" w14:textId="77777777" w:rsidR="00DE06F0" w:rsidRPr="002C61CD" w:rsidRDefault="00DE06F0" w:rsidP="002C61CD">
      <w:pPr>
        <w:pStyle w:val="NormalWeb"/>
        <w:spacing w:line="360" w:lineRule="auto"/>
        <w:jc w:val="both"/>
        <w:rPr>
          <w:rFonts w:ascii="AriEL" w:hAnsi="AriEL" w:cs="Arial"/>
          <w:sz w:val="22"/>
          <w:szCs w:val="22"/>
        </w:rPr>
      </w:pPr>
      <w:r w:rsidRPr="002C61CD">
        <w:rPr>
          <w:rFonts w:ascii="AriEL" w:hAnsi="AriEL" w:cs="Arial"/>
          <w:sz w:val="22"/>
          <w:szCs w:val="22"/>
        </w:rPr>
        <w:t>Key areas for professional growth include enhancing communication and advocacy skills to ensure service users’ voices are consistently heard, improving understanding and application of ethical frameworks to navigate complex care situations effectively, and strengthening the ability to collaborate with multidisciplinary teams to ensure continuity and holistic support.</w:t>
      </w:r>
    </w:p>
    <w:p w14:paraId="248C49CE" w14:textId="77777777" w:rsidR="00DE06F0" w:rsidRPr="002C61CD" w:rsidRDefault="00DE06F0" w:rsidP="002C61CD">
      <w:pPr>
        <w:pStyle w:val="NormalWeb"/>
        <w:spacing w:line="360" w:lineRule="auto"/>
        <w:jc w:val="both"/>
        <w:rPr>
          <w:rFonts w:ascii="AriEL" w:hAnsi="AriEL" w:cs="Arial"/>
          <w:sz w:val="22"/>
          <w:szCs w:val="22"/>
        </w:rPr>
      </w:pPr>
      <w:r w:rsidRPr="002C61CD">
        <w:rPr>
          <w:rFonts w:ascii="AriEL" w:hAnsi="AriEL" w:cs="Arial"/>
          <w:sz w:val="22"/>
          <w:szCs w:val="22"/>
        </w:rPr>
        <w:t>To address these areas, I plan to undertake professional development and training, including workshops and online courses on ethics in health and social care, focusing on consent, autonomy, and end-of-life decision-making. Engaging in mentorship and reflective practice with experienced practitioners will provide guidance on navigating ethical dilemmas and effective partnership strategies. Gaining practical experience in multidisciplinary teams through participation in care planning meetings will help consolidate skills in collaboration and applying person-centred principles in real-world contexts. Regular review of UK legislation and professional codes will ensure compliance and enhance decision-making.</w:t>
      </w:r>
    </w:p>
    <w:p w14:paraId="34F82267" w14:textId="77777777" w:rsidR="00DE06F0" w:rsidRPr="002C61CD" w:rsidRDefault="00DE06F0" w:rsidP="002C61CD">
      <w:pPr>
        <w:pStyle w:val="NormalWeb"/>
        <w:spacing w:line="360" w:lineRule="auto"/>
        <w:jc w:val="both"/>
        <w:rPr>
          <w:rFonts w:ascii="AriEL" w:hAnsi="AriEL" w:cs="Arial"/>
          <w:sz w:val="22"/>
          <w:szCs w:val="22"/>
        </w:rPr>
      </w:pPr>
      <w:r w:rsidRPr="002C61CD">
        <w:rPr>
          <w:rFonts w:ascii="AriEL" w:hAnsi="AriEL" w:cs="Arial"/>
          <w:sz w:val="22"/>
          <w:szCs w:val="22"/>
        </w:rPr>
        <w:t>Additionally, I will adopt ongoing self-assessment using reflective models such as Gibbs’ Cycle to regularly evaluate my practice, identify strengths and weaknesses, and set measurable goals for improvement. These strategies will support the development of skills necessary for delivering care that is ethical, collaborative, and person-centred, in line with professional expectations.</w:t>
      </w:r>
    </w:p>
    <w:p w14:paraId="2E4C9698" w14:textId="77777777" w:rsidR="00DE06F0" w:rsidRPr="002C61CD" w:rsidRDefault="00DE06F0" w:rsidP="002C61CD">
      <w:pPr>
        <w:pStyle w:val="NormalWeb"/>
        <w:spacing w:line="360" w:lineRule="auto"/>
        <w:jc w:val="both"/>
        <w:rPr>
          <w:rFonts w:ascii="AriEL" w:hAnsi="AriEL" w:cs="Arial"/>
          <w:sz w:val="22"/>
          <w:szCs w:val="22"/>
        </w:rPr>
      </w:pPr>
      <w:r w:rsidRPr="002C61CD">
        <w:rPr>
          <w:rFonts w:ascii="AriEL" w:hAnsi="AriEL" w:cs="Arial"/>
          <w:sz w:val="22"/>
          <w:szCs w:val="22"/>
        </w:rPr>
        <w:t xml:space="preserve">Practical application of these principles is evident across various UK health and social care settings. In community nursing, personalised care plans that consider patients’ routines and preferences improve engagement and recovery. In hospital settings, multidisciplinary team meetings enhance coordination among medical, nursing, and social care staff, reducing errors and </w:t>
      </w:r>
      <w:r w:rsidRPr="002C61CD">
        <w:rPr>
          <w:rFonts w:ascii="AriEL" w:hAnsi="AriEL" w:cs="Arial"/>
          <w:sz w:val="22"/>
          <w:szCs w:val="22"/>
        </w:rPr>
        <w:lastRenderedPageBreak/>
        <w:t>ensuring holistic support. Ethical frameworks guide decision-making in complex cases, safeguarding patients’ rights while supporting informed choices and respecting cultural or personal beliefs. Research consistently demonstrates that combining person-centred care, partnership working, and ethical practice leads to better patient outcomes, increased satisfaction, and more effective service delivery (McCormack &amp; McCance, 2017; Glasby &amp; Dickinson, 2014; Beauchamp &amp; Childress, 2019).</w:t>
      </w:r>
    </w:p>
    <w:p w14:paraId="4B3A2281" w14:textId="77777777" w:rsidR="00DE06F0" w:rsidRPr="002C61CD" w:rsidRDefault="00DE06F0" w:rsidP="002C61CD">
      <w:pPr>
        <w:pStyle w:val="NormalWeb"/>
        <w:spacing w:line="360" w:lineRule="auto"/>
        <w:jc w:val="both"/>
        <w:rPr>
          <w:rFonts w:ascii="AriEL" w:hAnsi="AriEL" w:cs="Arial"/>
          <w:sz w:val="22"/>
          <w:szCs w:val="22"/>
        </w:rPr>
      </w:pPr>
      <w:r w:rsidRPr="002C61CD">
        <w:rPr>
          <w:rFonts w:ascii="AriEL" w:hAnsi="AriEL" w:cs="Arial"/>
          <w:sz w:val="22"/>
          <w:szCs w:val="22"/>
        </w:rPr>
        <w:t>Integrating these principles into everyday practice will also enhance professional confidence and competence. Developing stronger skills in communication, ethical reasoning, and collaboration ensures that I am better prepared to respond to complex patient needs. Applying Maslow’s Hierarchy of Needs within person-centred care allows for recognition of the full spectrum of physical, psychological, and social requirements, supporting holistic practice. Similarly, embedding partnership working into practice ensures continuity of care and reduces fragmentation of services. Awareness of ethical standards provides a moral compass to guide decision-making, particularly in situations where patient choices may challenge clinical judgment.</w:t>
      </w:r>
    </w:p>
    <w:p w14:paraId="104A8E2D" w14:textId="03E8F32D" w:rsidR="00DE06F0" w:rsidRPr="002C61CD" w:rsidRDefault="00DE06F0" w:rsidP="002C61CD">
      <w:pPr>
        <w:pStyle w:val="NormalWeb"/>
        <w:spacing w:line="360" w:lineRule="auto"/>
        <w:jc w:val="both"/>
        <w:rPr>
          <w:rFonts w:ascii="AriEL" w:hAnsi="AriEL" w:cs="Arial"/>
          <w:sz w:val="22"/>
          <w:szCs w:val="22"/>
        </w:rPr>
      </w:pPr>
      <w:r w:rsidRPr="002C61CD">
        <w:rPr>
          <w:rFonts w:ascii="AriEL" w:hAnsi="AriEL" w:cs="Arial"/>
          <w:sz w:val="22"/>
          <w:szCs w:val="22"/>
        </w:rPr>
        <w:t>By reflecting on the community mental health example, I have identified specific actions to develop my professional practice. This includes structured training, mentorship, multidisciplinary exposure, policy review, and reflective practice, all of which aim to enhance competence in delivering ethical, collaborative, and person-centred care. These measures will equip me to navigate the complexities of health and social care, improve patient outcomes, and uphold professional and legislative standards.</w:t>
      </w:r>
    </w:p>
    <w:p w14:paraId="2E4A8896" w14:textId="77777777" w:rsidR="005824E3" w:rsidRPr="002C61CD" w:rsidRDefault="005824E3" w:rsidP="002C61CD">
      <w:pPr>
        <w:pStyle w:val="NormalWeb"/>
        <w:spacing w:line="360" w:lineRule="auto"/>
        <w:jc w:val="both"/>
        <w:rPr>
          <w:rFonts w:ascii="AriEL" w:hAnsi="AriEL" w:cs="Arial"/>
          <w:sz w:val="22"/>
          <w:szCs w:val="22"/>
        </w:rPr>
      </w:pPr>
    </w:p>
    <w:p w14:paraId="07BF0F52" w14:textId="77777777" w:rsidR="005824E3" w:rsidRPr="002C61CD" w:rsidRDefault="005824E3" w:rsidP="002C61CD">
      <w:pPr>
        <w:pStyle w:val="NormalWeb"/>
        <w:spacing w:line="360" w:lineRule="auto"/>
        <w:jc w:val="both"/>
        <w:rPr>
          <w:rFonts w:ascii="AriEL" w:hAnsi="AriEL" w:cs="Arial"/>
          <w:sz w:val="22"/>
          <w:szCs w:val="22"/>
        </w:rPr>
      </w:pPr>
    </w:p>
    <w:p w14:paraId="5A4D465C" w14:textId="320E7C50" w:rsidR="006524ED" w:rsidRPr="002C61CD" w:rsidRDefault="006D2F2D" w:rsidP="002C61CD">
      <w:pPr>
        <w:pStyle w:val="Heading1"/>
        <w:spacing w:line="360" w:lineRule="auto"/>
        <w:jc w:val="both"/>
        <w:rPr>
          <w:rFonts w:ascii="AriEL" w:hAnsi="AriEL" w:hint="eastAsia"/>
          <w:sz w:val="22"/>
          <w:szCs w:val="22"/>
        </w:rPr>
      </w:pPr>
      <w:bookmarkStart w:id="4" w:name="_Toc212886653"/>
      <w:r w:rsidRPr="002C61CD">
        <w:rPr>
          <w:rFonts w:ascii="AriEL" w:hAnsi="AriEL"/>
          <w:sz w:val="22"/>
          <w:szCs w:val="22"/>
        </w:rPr>
        <w:t>Conclusion</w:t>
      </w:r>
      <w:bookmarkEnd w:id="4"/>
    </w:p>
    <w:p w14:paraId="08049B93" w14:textId="4CFDD5C3" w:rsidR="004F5B88" w:rsidRPr="002C61CD" w:rsidRDefault="00F35FBF" w:rsidP="002C61CD">
      <w:pPr>
        <w:spacing w:line="360" w:lineRule="auto"/>
        <w:jc w:val="both"/>
        <w:rPr>
          <w:rFonts w:ascii="AriEL" w:hAnsi="AriEL" w:cs="Arial"/>
          <w:sz w:val="22"/>
        </w:rPr>
      </w:pPr>
      <w:r w:rsidRPr="002C61CD">
        <w:rPr>
          <w:rFonts w:ascii="AriEL" w:hAnsi="AriEL" w:cs="Arial"/>
          <w:sz w:val="22"/>
        </w:rPr>
        <w:t>In conclusion, person-centred care, partnership working, and ethics are essential for delivering high-quality, effective, and equitable health and social care in the UK. Applying these principles improves patient outcomes, fosters collaboration, upholds professional standards, and guides ethical decision-making, supporting holistic, personalised, and compassionate care in real-world practice.</w:t>
      </w:r>
    </w:p>
    <w:p w14:paraId="5642F7D6" w14:textId="77777777" w:rsidR="005824E3" w:rsidRPr="002C61CD" w:rsidRDefault="005824E3" w:rsidP="002C61CD">
      <w:pPr>
        <w:spacing w:line="360" w:lineRule="auto"/>
        <w:jc w:val="both"/>
        <w:rPr>
          <w:rFonts w:ascii="AriEL" w:hAnsi="AriEL" w:cs="Arial"/>
          <w:sz w:val="22"/>
        </w:rPr>
      </w:pPr>
    </w:p>
    <w:p w14:paraId="1D8F8267" w14:textId="77777777" w:rsidR="005824E3" w:rsidRPr="002C61CD" w:rsidRDefault="005824E3" w:rsidP="002C61CD">
      <w:pPr>
        <w:spacing w:line="360" w:lineRule="auto"/>
        <w:jc w:val="both"/>
        <w:rPr>
          <w:rFonts w:ascii="AriEL" w:hAnsi="AriEL" w:cs="Arial"/>
          <w:sz w:val="22"/>
        </w:rPr>
      </w:pPr>
    </w:p>
    <w:p w14:paraId="5A789721" w14:textId="468D4BEB" w:rsidR="006D2F2D" w:rsidRPr="002E729C" w:rsidRDefault="006D2F2D" w:rsidP="003F5B42">
      <w:pPr>
        <w:pStyle w:val="Heading1"/>
      </w:pPr>
      <w:bookmarkStart w:id="5" w:name="_Toc212886654"/>
      <w:r w:rsidRPr="002E729C">
        <w:lastRenderedPageBreak/>
        <w:t>Reference</w:t>
      </w:r>
      <w:r w:rsidR="001D345E" w:rsidRPr="002E729C">
        <w:t>s</w:t>
      </w:r>
      <w:bookmarkEnd w:id="5"/>
    </w:p>
    <w:p w14:paraId="302EE735" w14:textId="049EBD1F" w:rsidR="00C2525F" w:rsidRPr="00C42514" w:rsidRDefault="00C2525F" w:rsidP="00C42514">
      <w:pPr>
        <w:pStyle w:val="NormalWeb"/>
        <w:numPr>
          <w:ilvl w:val="0"/>
          <w:numId w:val="6"/>
        </w:numPr>
        <w:spacing w:line="360" w:lineRule="auto"/>
        <w:rPr>
          <w:rFonts w:ascii="Arial" w:hAnsi="Arial" w:cs="Arial"/>
          <w:sz w:val="22"/>
          <w:szCs w:val="22"/>
        </w:rPr>
      </w:pPr>
      <w:r w:rsidRPr="00C42514">
        <w:rPr>
          <w:rFonts w:ascii="Arial" w:hAnsi="Arial" w:cs="Arial"/>
          <w:sz w:val="22"/>
          <w:szCs w:val="22"/>
        </w:rPr>
        <w:t xml:space="preserve">Beauchamp, T.L. and Childress, J.F., 2019. </w:t>
      </w:r>
      <w:r w:rsidRPr="00C42514">
        <w:rPr>
          <w:rStyle w:val="Emphasis"/>
          <w:rFonts w:ascii="Arial" w:hAnsi="Arial" w:cs="Arial"/>
          <w:sz w:val="22"/>
          <w:szCs w:val="22"/>
        </w:rPr>
        <w:t>Principles of Biomedical Ethics</w:t>
      </w:r>
      <w:r w:rsidRPr="00C42514">
        <w:rPr>
          <w:rFonts w:ascii="Arial" w:hAnsi="Arial" w:cs="Arial"/>
          <w:sz w:val="22"/>
          <w:szCs w:val="22"/>
        </w:rPr>
        <w:t>. 8th ed. Oxford: Oxford University Press.</w:t>
      </w:r>
    </w:p>
    <w:p w14:paraId="1268AD1B" w14:textId="02A21055" w:rsidR="00C2525F" w:rsidRPr="00C42514" w:rsidRDefault="00C2525F" w:rsidP="00C42514">
      <w:pPr>
        <w:pStyle w:val="NormalWeb"/>
        <w:numPr>
          <w:ilvl w:val="0"/>
          <w:numId w:val="6"/>
        </w:numPr>
        <w:spacing w:line="360" w:lineRule="auto"/>
        <w:rPr>
          <w:rFonts w:ascii="Arial" w:hAnsi="Arial" w:cs="Arial"/>
          <w:sz w:val="22"/>
          <w:szCs w:val="22"/>
        </w:rPr>
      </w:pPr>
      <w:r w:rsidRPr="00C42514">
        <w:rPr>
          <w:rFonts w:ascii="Arial" w:hAnsi="Arial" w:cs="Arial"/>
          <w:sz w:val="22"/>
          <w:szCs w:val="22"/>
        </w:rPr>
        <w:t xml:space="preserve">Department of Health, 2010. </w:t>
      </w:r>
      <w:r w:rsidRPr="00C42514">
        <w:rPr>
          <w:rStyle w:val="Emphasis"/>
          <w:rFonts w:ascii="Arial" w:hAnsi="Arial" w:cs="Arial"/>
          <w:sz w:val="22"/>
          <w:szCs w:val="22"/>
        </w:rPr>
        <w:t>Equity and Excellence: Liberating the NHS</w:t>
      </w:r>
      <w:r w:rsidRPr="00C42514">
        <w:rPr>
          <w:rFonts w:ascii="Arial" w:hAnsi="Arial" w:cs="Arial"/>
          <w:sz w:val="22"/>
          <w:szCs w:val="22"/>
        </w:rPr>
        <w:t>. London: HMSO.</w:t>
      </w:r>
    </w:p>
    <w:p w14:paraId="54C597E9" w14:textId="1E594F1E" w:rsidR="00C2525F" w:rsidRPr="00C42514" w:rsidRDefault="00C2525F" w:rsidP="00C42514">
      <w:pPr>
        <w:pStyle w:val="NormalWeb"/>
        <w:numPr>
          <w:ilvl w:val="0"/>
          <w:numId w:val="6"/>
        </w:numPr>
        <w:spacing w:line="360" w:lineRule="auto"/>
        <w:rPr>
          <w:rFonts w:ascii="Arial" w:hAnsi="Arial" w:cs="Arial"/>
          <w:sz w:val="22"/>
          <w:szCs w:val="22"/>
        </w:rPr>
      </w:pPr>
      <w:r w:rsidRPr="00C42514">
        <w:rPr>
          <w:rFonts w:ascii="Arial" w:hAnsi="Arial" w:cs="Arial"/>
          <w:sz w:val="22"/>
          <w:szCs w:val="22"/>
        </w:rPr>
        <w:t xml:space="preserve">Department of Health &amp; Social Care, 2014. </w:t>
      </w:r>
      <w:r w:rsidRPr="00C42514">
        <w:rPr>
          <w:rStyle w:val="Emphasis"/>
          <w:rFonts w:ascii="Arial" w:hAnsi="Arial" w:cs="Arial"/>
          <w:sz w:val="22"/>
          <w:szCs w:val="22"/>
        </w:rPr>
        <w:t>Care Act 2014</w:t>
      </w:r>
      <w:r w:rsidRPr="00C42514">
        <w:rPr>
          <w:rFonts w:ascii="Arial" w:hAnsi="Arial" w:cs="Arial"/>
          <w:sz w:val="22"/>
          <w:szCs w:val="22"/>
        </w:rPr>
        <w:t>. London: HMSO.</w:t>
      </w:r>
    </w:p>
    <w:p w14:paraId="3B619AD7" w14:textId="633CFB41" w:rsidR="00C2525F" w:rsidRPr="00C42514" w:rsidRDefault="00C2525F" w:rsidP="00C42514">
      <w:pPr>
        <w:pStyle w:val="NormalWeb"/>
        <w:numPr>
          <w:ilvl w:val="0"/>
          <w:numId w:val="6"/>
        </w:numPr>
        <w:spacing w:line="360" w:lineRule="auto"/>
        <w:rPr>
          <w:rFonts w:ascii="Arial" w:hAnsi="Arial" w:cs="Arial"/>
          <w:sz w:val="22"/>
          <w:szCs w:val="22"/>
        </w:rPr>
      </w:pPr>
      <w:r w:rsidRPr="00C42514">
        <w:rPr>
          <w:rFonts w:ascii="Arial" w:hAnsi="Arial" w:cs="Arial"/>
          <w:sz w:val="22"/>
          <w:szCs w:val="22"/>
        </w:rPr>
        <w:t xml:space="preserve">Department of Health &amp; Social Care, 2022. </w:t>
      </w:r>
      <w:r w:rsidRPr="00C42514">
        <w:rPr>
          <w:rStyle w:val="Emphasis"/>
          <w:rFonts w:ascii="Arial" w:hAnsi="Arial" w:cs="Arial"/>
          <w:sz w:val="22"/>
          <w:szCs w:val="22"/>
        </w:rPr>
        <w:t>Health and Care Act 2022</w:t>
      </w:r>
      <w:r w:rsidRPr="00C42514">
        <w:rPr>
          <w:rFonts w:ascii="Arial" w:hAnsi="Arial" w:cs="Arial"/>
          <w:sz w:val="22"/>
          <w:szCs w:val="22"/>
        </w:rPr>
        <w:t>. London: HMSO.</w:t>
      </w:r>
    </w:p>
    <w:p w14:paraId="2A7DF1BD" w14:textId="357FD6CA" w:rsidR="00C2525F" w:rsidRPr="00C42514" w:rsidRDefault="00C2525F" w:rsidP="00C42514">
      <w:pPr>
        <w:pStyle w:val="NormalWeb"/>
        <w:numPr>
          <w:ilvl w:val="0"/>
          <w:numId w:val="6"/>
        </w:numPr>
        <w:spacing w:line="360" w:lineRule="auto"/>
        <w:rPr>
          <w:rFonts w:ascii="Arial" w:hAnsi="Arial" w:cs="Arial"/>
          <w:sz w:val="22"/>
          <w:szCs w:val="22"/>
        </w:rPr>
      </w:pPr>
      <w:r w:rsidRPr="00C42514">
        <w:rPr>
          <w:rFonts w:ascii="Arial" w:hAnsi="Arial" w:cs="Arial"/>
          <w:sz w:val="22"/>
          <w:szCs w:val="22"/>
        </w:rPr>
        <w:t xml:space="preserve">Glasby, J. and Dickinson, H., 2014. </w:t>
      </w:r>
      <w:r w:rsidRPr="00C42514">
        <w:rPr>
          <w:rStyle w:val="Emphasis"/>
          <w:rFonts w:ascii="Arial" w:hAnsi="Arial" w:cs="Arial"/>
          <w:sz w:val="22"/>
          <w:szCs w:val="22"/>
        </w:rPr>
        <w:t>Partnership Working in Health and Social Care: What Is Integrated Care and How Can We Deliver It?</w:t>
      </w:r>
      <w:r w:rsidRPr="00C42514">
        <w:rPr>
          <w:rFonts w:ascii="Arial" w:hAnsi="Arial" w:cs="Arial"/>
          <w:sz w:val="22"/>
          <w:szCs w:val="22"/>
        </w:rPr>
        <w:t xml:space="preserve"> Bristol: Policy Press.</w:t>
      </w:r>
    </w:p>
    <w:p w14:paraId="3CAFAC03" w14:textId="045FC5A0" w:rsidR="00C2525F" w:rsidRPr="00C42514" w:rsidRDefault="00C2525F" w:rsidP="00C42514">
      <w:pPr>
        <w:pStyle w:val="NormalWeb"/>
        <w:numPr>
          <w:ilvl w:val="0"/>
          <w:numId w:val="6"/>
        </w:numPr>
        <w:spacing w:line="360" w:lineRule="auto"/>
        <w:rPr>
          <w:rFonts w:ascii="Arial" w:hAnsi="Arial" w:cs="Arial"/>
          <w:sz w:val="22"/>
          <w:szCs w:val="22"/>
        </w:rPr>
      </w:pPr>
      <w:r w:rsidRPr="00C42514">
        <w:rPr>
          <w:rFonts w:ascii="Arial" w:hAnsi="Arial" w:cs="Arial"/>
          <w:sz w:val="22"/>
          <w:szCs w:val="22"/>
        </w:rPr>
        <w:t xml:space="preserve">Manley, K., Sanders, K., Cardiff, S. and Webster, J., 2011. </w:t>
      </w:r>
      <w:r w:rsidRPr="00C42514">
        <w:rPr>
          <w:rStyle w:val="Emphasis"/>
          <w:rFonts w:ascii="Arial" w:hAnsi="Arial" w:cs="Arial"/>
          <w:sz w:val="22"/>
          <w:szCs w:val="22"/>
        </w:rPr>
        <w:t>Effective Workplace Culture: The Attributes, Enablers and Consequences of a Productive Culture in Healthcare Settings</w:t>
      </w:r>
      <w:r w:rsidRPr="00C42514">
        <w:rPr>
          <w:rFonts w:ascii="Arial" w:hAnsi="Arial" w:cs="Arial"/>
          <w:sz w:val="22"/>
          <w:szCs w:val="22"/>
        </w:rPr>
        <w:t>. International Practice Development Journal, 1(1), pp.1-29.</w:t>
      </w:r>
    </w:p>
    <w:p w14:paraId="3A66CC73" w14:textId="692D2E1D" w:rsidR="00C2525F" w:rsidRPr="00C42514" w:rsidRDefault="00C2525F" w:rsidP="00C42514">
      <w:pPr>
        <w:pStyle w:val="NormalWeb"/>
        <w:numPr>
          <w:ilvl w:val="0"/>
          <w:numId w:val="6"/>
        </w:numPr>
        <w:spacing w:line="360" w:lineRule="auto"/>
        <w:rPr>
          <w:rFonts w:ascii="Arial" w:hAnsi="Arial" w:cs="Arial"/>
          <w:sz w:val="22"/>
          <w:szCs w:val="22"/>
        </w:rPr>
      </w:pPr>
      <w:r w:rsidRPr="00C42514">
        <w:rPr>
          <w:rFonts w:ascii="Arial" w:hAnsi="Arial" w:cs="Arial"/>
          <w:sz w:val="22"/>
          <w:szCs w:val="22"/>
        </w:rPr>
        <w:t xml:space="preserve">McCormack, B. and McCance, T., 2017. </w:t>
      </w:r>
      <w:r w:rsidRPr="00C42514">
        <w:rPr>
          <w:rStyle w:val="Emphasis"/>
          <w:rFonts w:ascii="Arial" w:hAnsi="Arial" w:cs="Arial"/>
          <w:sz w:val="22"/>
          <w:szCs w:val="22"/>
        </w:rPr>
        <w:t>Person-Centred Practice in Nursing and Health Care: Theory and Practice</w:t>
      </w:r>
      <w:r w:rsidRPr="00C42514">
        <w:rPr>
          <w:rFonts w:ascii="Arial" w:hAnsi="Arial" w:cs="Arial"/>
          <w:sz w:val="22"/>
          <w:szCs w:val="22"/>
        </w:rPr>
        <w:t>. 2nd ed. Chichester: Wiley-Blackwell.</w:t>
      </w:r>
    </w:p>
    <w:p w14:paraId="14BE3E0F" w14:textId="054F0813" w:rsidR="00C2525F" w:rsidRPr="00C42514" w:rsidRDefault="00C2525F" w:rsidP="00C42514">
      <w:pPr>
        <w:pStyle w:val="NormalWeb"/>
        <w:numPr>
          <w:ilvl w:val="0"/>
          <w:numId w:val="6"/>
        </w:numPr>
        <w:spacing w:line="360" w:lineRule="auto"/>
        <w:rPr>
          <w:rFonts w:ascii="Arial" w:hAnsi="Arial" w:cs="Arial"/>
          <w:sz w:val="22"/>
          <w:szCs w:val="22"/>
        </w:rPr>
      </w:pPr>
      <w:r w:rsidRPr="00C42514">
        <w:rPr>
          <w:rFonts w:ascii="Arial" w:hAnsi="Arial" w:cs="Arial"/>
          <w:sz w:val="22"/>
          <w:szCs w:val="22"/>
        </w:rPr>
        <w:t xml:space="preserve">National Institute for Health and Care Excellence (NICE), 2018. </w:t>
      </w:r>
      <w:r w:rsidRPr="00C42514">
        <w:rPr>
          <w:rStyle w:val="Emphasis"/>
          <w:rFonts w:ascii="Arial" w:hAnsi="Arial" w:cs="Arial"/>
          <w:sz w:val="22"/>
          <w:szCs w:val="22"/>
        </w:rPr>
        <w:t>Patient Experience in Adult NHS Services: Improving the Experience of Care for People Using Adult NHS Services</w:t>
      </w:r>
      <w:r w:rsidRPr="00C42514">
        <w:rPr>
          <w:rFonts w:ascii="Arial" w:hAnsi="Arial" w:cs="Arial"/>
          <w:sz w:val="22"/>
          <w:szCs w:val="22"/>
        </w:rPr>
        <w:t>. London: NICE.</w:t>
      </w:r>
    </w:p>
    <w:p w14:paraId="615F769A" w14:textId="43F565D8" w:rsidR="00C2525F" w:rsidRPr="00C42514" w:rsidRDefault="00C2525F" w:rsidP="00C42514">
      <w:pPr>
        <w:pStyle w:val="NormalWeb"/>
        <w:numPr>
          <w:ilvl w:val="0"/>
          <w:numId w:val="6"/>
        </w:numPr>
        <w:spacing w:line="360" w:lineRule="auto"/>
        <w:rPr>
          <w:rFonts w:ascii="Arial" w:hAnsi="Arial" w:cs="Arial"/>
          <w:sz w:val="22"/>
          <w:szCs w:val="22"/>
        </w:rPr>
      </w:pPr>
      <w:r w:rsidRPr="00C42514">
        <w:rPr>
          <w:rFonts w:ascii="Arial" w:hAnsi="Arial" w:cs="Arial"/>
          <w:sz w:val="22"/>
          <w:szCs w:val="22"/>
        </w:rPr>
        <w:t xml:space="preserve">Nolan, M., Davies, S., Brown, J., Keady, J. and Nolan, J., 2004. </w:t>
      </w:r>
      <w:r w:rsidRPr="00C42514">
        <w:rPr>
          <w:rStyle w:val="Emphasis"/>
          <w:rFonts w:ascii="Arial" w:hAnsi="Arial" w:cs="Arial"/>
          <w:sz w:val="22"/>
          <w:szCs w:val="22"/>
        </w:rPr>
        <w:t>Beyond ‘person-centred’ care: a new vision for gerontological nursing</w:t>
      </w:r>
      <w:r w:rsidRPr="00C42514">
        <w:rPr>
          <w:rFonts w:ascii="Arial" w:hAnsi="Arial" w:cs="Arial"/>
          <w:sz w:val="22"/>
          <w:szCs w:val="22"/>
        </w:rPr>
        <w:t>. Journal of Clinical Nursing, 13(3), pp.45-53.</w:t>
      </w:r>
    </w:p>
    <w:p w14:paraId="2655D1C8" w14:textId="3850D800" w:rsidR="00C2525F" w:rsidRPr="00C42514" w:rsidRDefault="00C2525F" w:rsidP="00C42514">
      <w:pPr>
        <w:pStyle w:val="NormalWeb"/>
        <w:numPr>
          <w:ilvl w:val="0"/>
          <w:numId w:val="6"/>
        </w:numPr>
        <w:spacing w:line="360" w:lineRule="auto"/>
        <w:rPr>
          <w:rFonts w:ascii="Arial" w:hAnsi="Arial" w:cs="Arial"/>
          <w:sz w:val="22"/>
          <w:szCs w:val="22"/>
        </w:rPr>
      </w:pPr>
      <w:r w:rsidRPr="00C42514">
        <w:rPr>
          <w:rFonts w:ascii="Arial" w:hAnsi="Arial" w:cs="Arial"/>
          <w:sz w:val="22"/>
          <w:szCs w:val="22"/>
        </w:rPr>
        <w:t xml:space="preserve">Roper, N., Logan, W.W. and Tierney, A.J., 2000. </w:t>
      </w:r>
      <w:r w:rsidRPr="00C42514">
        <w:rPr>
          <w:rStyle w:val="Emphasis"/>
          <w:rFonts w:ascii="Arial" w:hAnsi="Arial" w:cs="Arial"/>
          <w:sz w:val="22"/>
          <w:szCs w:val="22"/>
        </w:rPr>
        <w:t>The Roper-Logan-Tierney Model of Nursing: Based on Activities of Living</w:t>
      </w:r>
      <w:r w:rsidRPr="00C42514">
        <w:rPr>
          <w:rFonts w:ascii="Arial" w:hAnsi="Arial" w:cs="Arial"/>
          <w:sz w:val="22"/>
          <w:szCs w:val="22"/>
        </w:rPr>
        <w:t>. 2nd ed. Edinburgh: Churchill Livingstone.</w:t>
      </w:r>
    </w:p>
    <w:p w14:paraId="455DA558" w14:textId="107B4B40" w:rsidR="00C2525F" w:rsidRPr="00C42514" w:rsidRDefault="00C2525F" w:rsidP="00C42514">
      <w:pPr>
        <w:pStyle w:val="NormalWeb"/>
        <w:numPr>
          <w:ilvl w:val="0"/>
          <w:numId w:val="6"/>
        </w:numPr>
        <w:spacing w:line="360" w:lineRule="auto"/>
        <w:rPr>
          <w:rFonts w:ascii="Arial" w:hAnsi="Arial" w:cs="Arial"/>
          <w:sz w:val="22"/>
          <w:szCs w:val="22"/>
        </w:rPr>
      </w:pPr>
      <w:r w:rsidRPr="00C42514">
        <w:rPr>
          <w:rFonts w:ascii="Arial" w:hAnsi="Arial" w:cs="Arial"/>
          <w:sz w:val="22"/>
          <w:szCs w:val="22"/>
        </w:rPr>
        <w:t xml:space="preserve">Royal College of Nursing, 2015. </w:t>
      </w:r>
      <w:r w:rsidRPr="00C42514">
        <w:rPr>
          <w:rStyle w:val="Emphasis"/>
          <w:rFonts w:ascii="Arial" w:hAnsi="Arial" w:cs="Arial"/>
          <w:sz w:val="22"/>
          <w:szCs w:val="22"/>
        </w:rPr>
        <w:t>Person-Centred Care: RCN Guidance for Nursing Staff</w:t>
      </w:r>
      <w:r w:rsidRPr="00C42514">
        <w:rPr>
          <w:rFonts w:ascii="Arial" w:hAnsi="Arial" w:cs="Arial"/>
          <w:sz w:val="22"/>
          <w:szCs w:val="22"/>
        </w:rPr>
        <w:t>. London: RCN.</w:t>
      </w:r>
    </w:p>
    <w:p w14:paraId="349D09F2" w14:textId="65028228" w:rsidR="00C2525F" w:rsidRPr="00C42514" w:rsidRDefault="00C2525F" w:rsidP="00C42514">
      <w:pPr>
        <w:pStyle w:val="NormalWeb"/>
        <w:numPr>
          <w:ilvl w:val="0"/>
          <w:numId w:val="6"/>
        </w:numPr>
        <w:spacing w:line="360" w:lineRule="auto"/>
        <w:rPr>
          <w:rFonts w:ascii="Arial" w:hAnsi="Arial" w:cs="Arial"/>
          <w:sz w:val="22"/>
          <w:szCs w:val="22"/>
        </w:rPr>
      </w:pPr>
      <w:r w:rsidRPr="00C42514">
        <w:rPr>
          <w:rFonts w:ascii="Arial" w:hAnsi="Arial" w:cs="Arial"/>
          <w:sz w:val="22"/>
          <w:szCs w:val="22"/>
        </w:rPr>
        <w:t xml:space="preserve">Skills for Care, 2020. </w:t>
      </w:r>
      <w:r w:rsidRPr="00C42514">
        <w:rPr>
          <w:rStyle w:val="Emphasis"/>
          <w:rFonts w:ascii="Arial" w:hAnsi="Arial" w:cs="Arial"/>
          <w:sz w:val="22"/>
          <w:szCs w:val="22"/>
        </w:rPr>
        <w:t>Code of Conduct for Health and Social Care Workers in England</w:t>
      </w:r>
      <w:r w:rsidRPr="00C42514">
        <w:rPr>
          <w:rFonts w:ascii="Arial" w:hAnsi="Arial" w:cs="Arial"/>
          <w:sz w:val="22"/>
          <w:szCs w:val="22"/>
        </w:rPr>
        <w:t>. Leeds: Skills for Care.</w:t>
      </w:r>
    </w:p>
    <w:p w14:paraId="1E243764" w14:textId="77777777" w:rsidR="006D2F2D" w:rsidRPr="00C42514" w:rsidRDefault="006D2F2D" w:rsidP="00C42514">
      <w:pPr>
        <w:spacing w:line="360" w:lineRule="auto"/>
        <w:rPr>
          <w:rFonts w:ascii="Arial" w:hAnsi="Arial" w:cs="Arial"/>
          <w:sz w:val="22"/>
        </w:rPr>
      </w:pPr>
    </w:p>
    <w:sectPr w:rsidR="006D2F2D" w:rsidRPr="00C425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B4C869" w14:textId="77777777" w:rsidR="00202D17" w:rsidRDefault="00202D17" w:rsidP="00B21FE6">
      <w:pPr>
        <w:spacing w:after="0" w:line="240" w:lineRule="auto"/>
      </w:pPr>
      <w:r>
        <w:separator/>
      </w:r>
    </w:p>
  </w:endnote>
  <w:endnote w:type="continuationSeparator" w:id="0">
    <w:p w14:paraId="2C0E8776" w14:textId="77777777" w:rsidR="00202D17" w:rsidRDefault="00202D17"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EL">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D053EA" w14:textId="77777777" w:rsidR="00202D17" w:rsidRDefault="00202D17" w:rsidP="00B21FE6">
      <w:pPr>
        <w:spacing w:after="0" w:line="240" w:lineRule="auto"/>
      </w:pPr>
      <w:r>
        <w:separator/>
      </w:r>
    </w:p>
  </w:footnote>
  <w:footnote w:type="continuationSeparator" w:id="0">
    <w:p w14:paraId="35F1622C" w14:textId="77777777" w:rsidR="00202D17" w:rsidRDefault="00202D17" w:rsidP="00B21F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A66288"/>
    <w:multiLevelType w:val="hybridMultilevel"/>
    <w:tmpl w:val="CE7C2510"/>
    <w:lvl w:ilvl="0" w:tplc="42BC8A22">
      <w:start w:val="1"/>
      <w:numFmt w:val="bullet"/>
      <w:lvlText w:val=""/>
      <w:lvlJc w:val="left"/>
      <w:pPr>
        <w:ind w:left="720" w:hanging="360"/>
      </w:pPr>
      <w:rPr>
        <w:rFonts w:ascii="Symbol" w:hAnsi="Symbol" w:hint="default"/>
      </w:rPr>
    </w:lvl>
    <w:lvl w:ilvl="1" w:tplc="B980028C">
      <w:start w:val="1"/>
      <w:numFmt w:val="bullet"/>
      <w:lvlText w:val="o"/>
      <w:lvlJc w:val="left"/>
      <w:pPr>
        <w:ind w:left="1440" w:hanging="360"/>
      </w:pPr>
      <w:rPr>
        <w:rFonts w:ascii="Courier New" w:hAnsi="Courier New" w:hint="default"/>
      </w:rPr>
    </w:lvl>
    <w:lvl w:ilvl="2" w:tplc="205818A0">
      <w:start w:val="1"/>
      <w:numFmt w:val="bullet"/>
      <w:lvlText w:val=""/>
      <w:lvlJc w:val="left"/>
      <w:pPr>
        <w:ind w:left="2160" w:hanging="360"/>
      </w:pPr>
      <w:rPr>
        <w:rFonts w:ascii="Wingdings" w:hAnsi="Wingdings" w:hint="default"/>
      </w:rPr>
    </w:lvl>
    <w:lvl w:ilvl="3" w:tplc="1F6AAC58">
      <w:start w:val="1"/>
      <w:numFmt w:val="bullet"/>
      <w:lvlText w:val=""/>
      <w:lvlJc w:val="left"/>
      <w:pPr>
        <w:ind w:left="2880" w:hanging="360"/>
      </w:pPr>
      <w:rPr>
        <w:rFonts w:ascii="Symbol" w:hAnsi="Symbol" w:hint="default"/>
      </w:rPr>
    </w:lvl>
    <w:lvl w:ilvl="4" w:tplc="161A4ECE">
      <w:start w:val="1"/>
      <w:numFmt w:val="bullet"/>
      <w:lvlText w:val="o"/>
      <w:lvlJc w:val="left"/>
      <w:pPr>
        <w:ind w:left="3600" w:hanging="360"/>
      </w:pPr>
      <w:rPr>
        <w:rFonts w:ascii="Courier New" w:hAnsi="Courier New" w:hint="default"/>
      </w:rPr>
    </w:lvl>
    <w:lvl w:ilvl="5" w:tplc="AC085170">
      <w:start w:val="1"/>
      <w:numFmt w:val="bullet"/>
      <w:lvlText w:val=""/>
      <w:lvlJc w:val="left"/>
      <w:pPr>
        <w:ind w:left="4320" w:hanging="360"/>
      </w:pPr>
      <w:rPr>
        <w:rFonts w:ascii="Wingdings" w:hAnsi="Wingdings" w:hint="default"/>
      </w:rPr>
    </w:lvl>
    <w:lvl w:ilvl="6" w:tplc="A000C732">
      <w:start w:val="1"/>
      <w:numFmt w:val="bullet"/>
      <w:lvlText w:val=""/>
      <w:lvlJc w:val="left"/>
      <w:pPr>
        <w:ind w:left="5040" w:hanging="360"/>
      </w:pPr>
      <w:rPr>
        <w:rFonts w:ascii="Symbol" w:hAnsi="Symbol" w:hint="default"/>
      </w:rPr>
    </w:lvl>
    <w:lvl w:ilvl="7" w:tplc="71B841BA">
      <w:start w:val="1"/>
      <w:numFmt w:val="bullet"/>
      <w:lvlText w:val="o"/>
      <w:lvlJc w:val="left"/>
      <w:pPr>
        <w:ind w:left="5760" w:hanging="360"/>
      </w:pPr>
      <w:rPr>
        <w:rFonts w:ascii="Courier New" w:hAnsi="Courier New" w:hint="default"/>
      </w:rPr>
    </w:lvl>
    <w:lvl w:ilvl="8" w:tplc="CE0A151E">
      <w:start w:val="1"/>
      <w:numFmt w:val="bullet"/>
      <w:lvlText w:val=""/>
      <w:lvlJc w:val="left"/>
      <w:pPr>
        <w:ind w:left="6480" w:hanging="360"/>
      </w:pPr>
      <w:rPr>
        <w:rFonts w:ascii="Wingdings" w:hAnsi="Wingdings" w:hint="default"/>
      </w:rPr>
    </w:lvl>
  </w:abstractNum>
  <w:abstractNum w:abstractNumId="4"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933FFD"/>
    <w:multiLevelType w:val="hybridMultilevel"/>
    <w:tmpl w:val="61F8C9A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E42C85"/>
    <w:multiLevelType w:val="hybridMultilevel"/>
    <w:tmpl w:val="67BE3A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6105348">
    <w:abstractNumId w:val="4"/>
  </w:num>
  <w:num w:numId="2" w16cid:durableId="201140407">
    <w:abstractNumId w:val="1"/>
  </w:num>
  <w:num w:numId="3" w16cid:durableId="490028398">
    <w:abstractNumId w:val="0"/>
  </w:num>
  <w:num w:numId="4" w16cid:durableId="350911784">
    <w:abstractNumId w:val="2"/>
  </w:num>
  <w:num w:numId="5" w16cid:durableId="917598757">
    <w:abstractNumId w:val="3"/>
  </w:num>
  <w:num w:numId="6" w16cid:durableId="1402365384">
    <w:abstractNumId w:val="6"/>
  </w:num>
  <w:num w:numId="7" w16cid:durableId="18520665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52089"/>
    <w:rsid w:val="000C5BF7"/>
    <w:rsid w:val="001333C2"/>
    <w:rsid w:val="001847FC"/>
    <w:rsid w:val="001B456E"/>
    <w:rsid w:val="001D345E"/>
    <w:rsid w:val="001E0B10"/>
    <w:rsid w:val="00202D17"/>
    <w:rsid w:val="00220640"/>
    <w:rsid w:val="00220E1C"/>
    <w:rsid w:val="002C61CD"/>
    <w:rsid w:val="002D39BD"/>
    <w:rsid w:val="002E729C"/>
    <w:rsid w:val="00317E3D"/>
    <w:rsid w:val="003225DA"/>
    <w:rsid w:val="00350D4F"/>
    <w:rsid w:val="003F5B42"/>
    <w:rsid w:val="00425D1C"/>
    <w:rsid w:val="00441CEC"/>
    <w:rsid w:val="004F5B88"/>
    <w:rsid w:val="0055227D"/>
    <w:rsid w:val="0058218C"/>
    <w:rsid w:val="005824E3"/>
    <w:rsid w:val="00594FAC"/>
    <w:rsid w:val="00610A5B"/>
    <w:rsid w:val="006524ED"/>
    <w:rsid w:val="006D2F2D"/>
    <w:rsid w:val="006E1FF9"/>
    <w:rsid w:val="006E38AB"/>
    <w:rsid w:val="00785886"/>
    <w:rsid w:val="007C7E02"/>
    <w:rsid w:val="007D5F47"/>
    <w:rsid w:val="007F3A6A"/>
    <w:rsid w:val="00887FBB"/>
    <w:rsid w:val="008B0288"/>
    <w:rsid w:val="008D2921"/>
    <w:rsid w:val="008F6D4B"/>
    <w:rsid w:val="00910496"/>
    <w:rsid w:val="00975779"/>
    <w:rsid w:val="009B2872"/>
    <w:rsid w:val="009E5C5F"/>
    <w:rsid w:val="00A11336"/>
    <w:rsid w:val="00A30E2D"/>
    <w:rsid w:val="00AE7DDA"/>
    <w:rsid w:val="00B21FE6"/>
    <w:rsid w:val="00B820C0"/>
    <w:rsid w:val="00BA1A9D"/>
    <w:rsid w:val="00BA4008"/>
    <w:rsid w:val="00BC79FE"/>
    <w:rsid w:val="00C2525F"/>
    <w:rsid w:val="00C42514"/>
    <w:rsid w:val="00C558B0"/>
    <w:rsid w:val="00D00A38"/>
    <w:rsid w:val="00D545BA"/>
    <w:rsid w:val="00D66C96"/>
    <w:rsid w:val="00D7753F"/>
    <w:rsid w:val="00DE06F0"/>
    <w:rsid w:val="00E61A01"/>
    <w:rsid w:val="00E81204"/>
    <w:rsid w:val="00E827F6"/>
    <w:rsid w:val="00EA0B92"/>
    <w:rsid w:val="00EE1C72"/>
    <w:rsid w:val="00F00ED4"/>
    <w:rsid w:val="00F02CD5"/>
    <w:rsid w:val="00F35FBF"/>
    <w:rsid w:val="00F81510"/>
    <w:rsid w:val="00FA6248"/>
    <w:rsid w:val="00FF37D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paragraph" w:styleId="Heading1">
    <w:name w:val="heading 1"/>
    <w:basedOn w:val="Normal"/>
    <w:next w:val="Normal"/>
    <w:link w:val="Heading1Char"/>
    <w:uiPriority w:val="9"/>
    <w:qFormat/>
    <w:rsid w:val="00B820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paragraph" w:styleId="NormalWeb">
    <w:name w:val="Normal (Web)"/>
    <w:basedOn w:val="Normal"/>
    <w:uiPriority w:val="99"/>
    <w:unhideWhenUsed/>
    <w:rsid w:val="001847FC"/>
    <w:pPr>
      <w:spacing w:before="100" w:beforeAutospacing="1" w:after="100" w:afterAutospacing="1" w:line="240" w:lineRule="auto"/>
    </w:pPr>
    <w:rPr>
      <w:rFonts w:eastAsia="Times New Roman" w:cs="Times New Roman"/>
      <w:szCs w:val="24"/>
      <w:lang w:eastAsia="en-GB"/>
    </w:rPr>
  </w:style>
  <w:style w:type="character" w:styleId="Strong">
    <w:name w:val="Strong"/>
    <w:basedOn w:val="DefaultParagraphFont"/>
    <w:uiPriority w:val="22"/>
    <w:qFormat/>
    <w:rsid w:val="001847FC"/>
    <w:rPr>
      <w:b/>
      <w:bCs/>
    </w:rPr>
  </w:style>
  <w:style w:type="character" w:styleId="Emphasis">
    <w:name w:val="Emphasis"/>
    <w:basedOn w:val="DefaultParagraphFont"/>
    <w:uiPriority w:val="20"/>
    <w:qFormat/>
    <w:rsid w:val="00C2525F"/>
    <w:rPr>
      <w:i/>
      <w:iCs/>
    </w:rPr>
  </w:style>
  <w:style w:type="character" w:customStyle="1" w:styleId="Heading1Char">
    <w:name w:val="Heading 1 Char"/>
    <w:basedOn w:val="DefaultParagraphFont"/>
    <w:link w:val="Heading1"/>
    <w:uiPriority w:val="9"/>
    <w:rsid w:val="00B820C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820C0"/>
    <w:pPr>
      <w:spacing w:line="259" w:lineRule="auto"/>
      <w:outlineLvl w:val="9"/>
    </w:pPr>
    <w:rPr>
      <w:lang w:val="en-US"/>
    </w:rPr>
  </w:style>
  <w:style w:type="paragraph" w:styleId="TOC1">
    <w:name w:val="toc 1"/>
    <w:basedOn w:val="Normal"/>
    <w:next w:val="Normal"/>
    <w:autoRedefine/>
    <w:uiPriority w:val="39"/>
    <w:unhideWhenUsed/>
    <w:rsid w:val="00D7753F"/>
    <w:pPr>
      <w:spacing w:after="100"/>
    </w:pPr>
  </w:style>
  <w:style w:type="character" w:styleId="Hyperlink">
    <w:name w:val="Hyperlink"/>
    <w:basedOn w:val="DefaultParagraphFont"/>
    <w:uiPriority w:val="99"/>
    <w:unhideWhenUsed/>
    <w:rsid w:val="00D7753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E0ED1C-B10C-4C0E-8C21-7BAB28434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9</Pages>
  <Words>2676</Words>
  <Characters>15257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alexandra barcea</cp:lastModifiedBy>
  <cp:revision>31</cp:revision>
  <dcterms:created xsi:type="dcterms:W3CDTF">2025-06-05T11:55:00Z</dcterms:created>
  <dcterms:modified xsi:type="dcterms:W3CDTF">2025-11-26T11:46:00Z</dcterms:modified>
</cp:coreProperties>
</file>