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7939B" w14:textId="09426E28" w:rsidR="00AC7BCF" w:rsidRDefault="00642CB2" w:rsidP="000E0A88">
      <w:pPr>
        <w:jc w:val="center"/>
        <w:rPr>
          <w:rFonts w:ascii="Arial" w:hAnsi="Arial" w:cs="Arial"/>
          <w:b/>
          <w:bCs/>
          <w:sz w:val="52"/>
          <w:szCs w:val="52"/>
        </w:rPr>
      </w:pPr>
      <w:r w:rsidRPr="00AC7BCF">
        <w:rPr>
          <w:rFonts w:ascii="Arial" w:hAnsi="Arial" w:cs="Arial"/>
          <w:b/>
          <w:bCs/>
          <w:noProof/>
          <w:sz w:val="52"/>
          <w:szCs w:val="52"/>
        </w:rPr>
        <w:drawing>
          <wp:anchor distT="0" distB="0" distL="114300" distR="114300" simplePos="0" relativeHeight="251659264" behindDoc="0" locked="0" layoutInCell="1" allowOverlap="1" wp14:anchorId="5488B857" wp14:editId="1C14CA35">
            <wp:simplePos x="0" y="0"/>
            <wp:positionH relativeFrom="column">
              <wp:posOffset>0</wp:posOffset>
            </wp:positionH>
            <wp:positionV relativeFrom="paragraph">
              <wp:posOffset>378460</wp:posOffset>
            </wp:positionV>
            <wp:extent cx="5731510" cy="25527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552700"/>
                    </a:xfrm>
                    <a:prstGeom prst="rect">
                      <a:avLst/>
                    </a:prstGeom>
                  </pic:spPr>
                </pic:pic>
              </a:graphicData>
            </a:graphic>
          </wp:anchor>
        </w:drawing>
      </w:r>
    </w:p>
    <w:p w14:paraId="5DE930AE" w14:textId="6F32C1D1" w:rsidR="00AC7BCF" w:rsidRDefault="00AC7BCF" w:rsidP="000E0A88">
      <w:pPr>
        <w:jc w:val="center"/>
        <w:rPr>
          <w:rFonts w:ascii="Arial" w:hAnsi="Arial" w:cs="Arial"/>
          <w:b/>
          <w:bCs/>
          <w:sz w:val="52"/>
          <w:szCs w:val="52"/>
        </w:rPr>
      </w:pPr>
    </w:p>
    <w:p w14:paraId="751DFF6D" w14:textId="77777777" w:rsidR="00AC7BCF" w:rsidRDefault="00AC7BCF" w:rsidP="000E0A88">
      <w:pPr>
        <w:jc w:val="center"/>
        <w:rPr>
          <w:rFonts w:ascii="Arial" w:hAnsi="Arial" w:cs="Arial"/>
          <w:b/>
          <w:bCs/>
          <w:sz w:val="52"/>
          <w:szCs w:val="52"/>
        </w:rPr>
      </w:pPr>
    </w:p>
    <w:p w14:paraId="0B1C72D8" w14:textId="1D6F1125" w:rsidR="00AE72B6" w:rsidRPr="00AC7BCF" w:rsidRDefault="00433AD9" w:rsidP="000E0A88">
      <w:pPr>
        <w:jc w:val="center"/>
        <w:rPr>
          <w:rFonts w:ascii="Arial" w:hAnsi="Arial" w:cs="Arial"/>
          <w:b/>
          <w:bCs/>
          <w:sz w:val="52"/>
          <w:szCs w:val="52"/>
        </w:rPr>
      </w:pPr>
      <w:r w:rsidRPr="00AC7BCF">
        <w:rPr>
          <w:rFonts w:ascii="Arial" w:hAnsi="Arial" w:cs="Arial"/>
          <w:b/>
          <w:bCs/>
          <w:sz w:val="52"/>
          <w:szCs w:val="52"/>
        </w:rPr>
        <w:t>Independent Project</w:t>
      </w:r>
    </w:p>
    <w:p w14:paraId="31A86E67" w14:textId="5646EAB4" w:rsidR="00433AD9" w:rsidRDefault="00433AD9" w:rsidP="000E0A88">
      <w:pPr>
        <w:jc w:val="center"/>
        <w:rPr>
          <w:rFonts w:ascii="Arial" w:hAnsi="Arial" w:cs="Arial"/>
          <w:b/>
          <w:bCs/>
          <w:sz w:val="52"/>
          <w:szCs w:val="52"/>
        </w:rPr>
      </w:pPr>
      <w:r w:rsidRPr="00AC7BCF">
        <w:rPr>
          <w:rFonts w:ascii="Arial" w:hAnsi="Arial" w:cs="Arial"/>
          <w:b/>
          <w:bCs/>
          <w:sz w:val="52"/>
          <w:szCs w:val="52"/>
        </w:rPr>
        <w:t>(</w:t>
      </w:r>
      <w:r w:rsidR="001F0ADB" w:rsidRPr="00AC7BCF">
        <w:rPr>
          <w:rFonts w:ascii="Arial" w:hAnsi="Arial" w:cs="Arial"/>
          <w:b/>
          <w:bCs/>
          <w:sz w:val="52"/>
          <w:szCs w:val="52"/>
        </w:rPr>
        <w:t>BMTP6015)</w:t>
      </w:r>
    </w:p>
    <w:p w14:paraId="2BF5A8D6" w14:textId="77777777" w:rsidR="00AC7BCF" w:rsidRPr="00AC7BCF" w:rsidRDefault="00AC7BCF" w:rsidP="000E0A88">
      <w:pPr>
        <w:jc w:val="center"/>
        <w:rPr>
          <w:rFonts w:ascii="Arial" w:hAnsi="Arial" w:cs="Arial"/>
          <w:b/>
          <w:bCs/>
          <w:sz w:val="52"/>
          <w:szCs w:val="52"/>
        </w:rPr>
      </w:pPr>
    </w:p>
    <w:p w14:paraId="65D2EB31" w14:textId="77777777" w:rsidR="001F0ADB" w:rsidRPr="00AC7BCF" w:rsidRDefault="001F0ADB" w:rsidP="000E0A88">
      <w:pPr>
        <w:jc w:val="center"/>
        <w:rPr>
          <w:rFonts w:ascii="Arial" w:hAnsi="Arial" w:cs="Arial"/>
        </w:rPr>
      </w:pPr>
    </w:p>
    <w:p w14:paraId="53841A68" w14:textId="77777777" w:rsidR="000E0A88" w:rsidRPr="00AC7BCF" w:rsidRDefault="00656F2E" w:rsidP="009C3288">
      <w:pPr>
        <w:jc w:val="center"/>
        <w:rPr>
          <w:rFonts w:ascii="Arial" w:hAnsi="Arial" w:cs="Arial"/>
          <w:sz w:val="36"/>
          <w:szCs w:val="36"/>
        </w:rPr>
      </w:pPr>
      <w:r w:rsidRPr="00AC7BCF">
        <w:rPr>
          <w:rFonts w:ascii="Arial" w:hAnsi="Arial" w:cs="Arial"/>
          <w:sz w:val="36"/>
          <w:szCs w:val="36"/>
        </w:rPr>
        <w:t xml:space="preserve">An event planning document and case study of the Institute of Travel and Tourism </w:t>
      </w:r>
    </w:p>
    <w:p w14:paraId="19045584" w14:textId="75B5ACC5" w:rsidR="000E0A88" w:rsidRPr="00AC7BCF" w:rsidRDefault="00656F2E" w:rsidP="009C3288">
      <w:pPr>
        <w:jc w:val="center"/>
        <w:rPr>
          <w:rFonts w:ascii="Arial" w:hAnsi="Arial" w:cs="Arial"/>
          <w:sz w:val="36"/>
          <w:szCs w:val="36"/>
        </w:rPr>
      </w:pPr>
      <w:r w:rsidRPr="00AC7BCF">
        <w:rPr>
          <w:rFonts w:ascii="Arial" w:hAnsi="Arial" w:cs="Arial"/>
          <w:sz w:val="36"/>
          <w:szCs w:val="36"/>
        </w:rPr>
        <w:t xml:space="preserve">“Wales to the </w:t>
      </w:r>
      <w:r w:rsidR="00642CB2" w:rsidRPr="00AC7BCF">
        <w:rPr>
          <w:rFonts w:ascii="Arial" w:hAnsi="Arial" w:cs="Arial"/>
          <w:sz w:val="36"/>
          <w:szCs w:val="36"/>
        </w:rPr>
        <w:t>World”</w:t>
      </w:r>
      <w:r w:rsidRPr="00AC7BCF">
        <w:rPr>
          <w:rFonts w:ascii="Arial" w:hAnsi="Arial" w:cs="Arial"/>
          <w:sz w:val="36"/>
          <w:szCs w:val="36"/>
        </w:rPr>
        <w:t xml:space="preserve"> conference 2024</w:t>
      </w:r>
    </w:p>
    <w:p w14:paraId="0517C573" w14:textId="13B8F9CC" w:rsidR="009C3288" w:rsidRPr="00AC7BCF" w:rsidRDefault="001F0ADB" w:rsidP="009C3288">
      <w:pPr>
        <w:jc w:val="center"/>
        <w:rPr>
          <w:rFonts w:ascii="Arial" w:hAnsi="Arial" w:cs="Arial"/>
          <w:sz w:val="36"/>
          <w:szCs w:val="36"/>
        </w:rPr>
      </w:pPr>
      <w:r w:rsidRPr="00AC7BCF">
        <w:rPr>
          <w:rFonts w:ascii="Arial" w:hAnsi="Arial" w:cs="Arial"/>
          <w:sz w:val="36"/>
          <w:szCs w:val="36"/>
        </w:rPr>
        <w:t>By</w:t>
      </w:r>
      <w:r w:rsidR="000E0A88" w:rsidRPr="00AC7BCF">
        <w:rPr>
          <w:rFonts w:ascii="Arial" w:hAnsi="Arial" w:cs="Arial"/>
          <w:sz w:val="36"/>
          <w:szCs w:val="36"/>
        </w:rPr>
        <w:t xml:space="preserve"> Elinor Haskins</w:t>
      </w:r>
    </w:p>
    <w:p w14:paraId="39B997B3" w14:textId="77777777" w:rsidR="001F0ADB" w:rsidRPr="00AC7BCF" w:rsidRDefault="001F0ADB" w:rsidP="009C3288">
      <w:pPr>
        <w:jc w:val="center"/>
        <w:rPr>
          <w:rFonts w:ascii="Arial" w:hAnsi="Arial" w:cs="Arial"/>
          <w:sz w:val="36"/>
          <w:szCs w:val="36"/>
        </w:rPr>
      </w:pPr>
    </w:p>
    <w:p w14:paraId="5A1EBAAB" w14:textId="3357D4CF" w:rsidR="00642CB2" w:rsidRDefault="001F0ADB" w:rsidP="009C3288">
      <w:pPr>
        <w:jc w:val="center"/>
        <w:rPr>
          <w:rFonts w:ascii="Arial" w:hAnsi="Arial" w:cs="Arial"/>
          <w:sz w:val="36"/>
          <w:szCs w:val="36"/>
        </w:rPr>
      </w:pPr>
      <w:r w:rsidRPr="00AC7BCF">
        <w:rPr>
          <w:rFonts w:ascii="Arial" w:hAnsi="Arial" w:cs="Arial"/>
          <w:sz w:val="36"/>
          <w:szCs w:val="36"/>
        </w:rPr>
        <w:t xml:space="preserve">Student number </w:t>
      </w:r>
      <w:r w:rsidR="00AC7BCF" w:rsidRPr="00AC7BCF">
        <w:rPr>
          <w:rFonts w:ascii="Arial" w:hAnsi="Arial" w:cs="Arial"/>
          <w:sz w:val="36"/>
          <w:szCs w:val="36"/>
        </w:rPr>
        <w:t>1912233</w:t>
      </w:r>
    </w:p>
    <w:p w14:paraId="4B8BCD9C" w14:textId="1548BFC4" w:rsidR="003C021D" w:rsidRDefault="00642CB2">
      <w:pPr>
        <w:rPr>
          <w:rFonts w:ascii="Arial" w:hAnsi="Arial" w:cs="Arial"/>
          <w:sz w:val="36"/>
          <w:szCs w:val="36"/>
        </w:rPr>
      </w:pPr>
      <w:r>
        <w:rPr>
          <w:rFonts w:ascii="Arial" w:hAnsi="Arial" w:cs="Arial"/>
          <w:sz w:val="36"/>
          <w:szCs w:val="36"/>
        </w:rPr>
        <w:br w:type="page"/>
      </w:r>
    </w:p>
    <w:p w14:paraId="08AF0C3E" w14:textId="636249EE" w:rsidR="007003ED" w:rsidRDefault="4547BF02">
      <w:pPr>
        <w:rPr>
          <w:rFonts w:ascii="Arial" w:hAnsi="Arial" w:cs="Arial"/>
          <w:sz w:val="36"/>
          <w:szCs w:val="36"/>
        </w:rPr>
      </w:pPr>
      <w:r w:rsidRPr="45A2756A">
        <w:rPr>
          <w:rFonts w:ascii="Arial" w:hAnsi="Arial" w:cs="Arial"/>
          <w:sz w:val="36"/>
          <w:szCs w:val="36"/>
        </w:rPr>
        <w:lastRenderedPageBreak/>
        <w:t>C</w:t>
      </w:r>
      <w:r w:rsidR="003C021D" w:rsidRPr="45A2756A">
        <w:rPr>
          <w:rFonts w:ascii="Arial" w:hAnsi="Arial" w:cs="Arial"/>
          <w:sz w:val="36"/>
          <w:szCs w:val="36"/>
        </w:rPr>
        <w:t xml:space="preserve">ontents </w:t>
      </w:r>
    </w:p>
    <w:sdt>
      <w:sdtPr>
        <w:id w:val="1397141692"/>
        <w:docPartObj>
          <w:docPartGallery w:val="Table of Contents"/>
          <w:docPartUnique/>
        </w:docPartObj>
      </w:sdtPr>
      <w:sdtEndPr/>
      <w:sdtContent>
        <w:p w14:paraId="1CA005BB" w14:textId="277E4B3D" w:rsidR="45A2756A" w:rsidRDefault="45A2756A" w:rsidP="45A2756A">
          <w:pPr>
            <w:pStyle w:val="TOC1"/>
            <w:tabs>
              <w:tab w:val="right" w:leader="dot" w:pos="9015"/>
            </w:tabs>
            <w:rPr>
              <w:rStyle w:val="Hyperlink"/>
            </w:rPr>
          </w:pPr>
          <w:r>
            <w:fldChar w:fldCharType="begin"/>
          </w:r>
          <w:r>
            <w:instrText>TOC \o \z \u \h</w:instrText>
          </w:r>
          <w:r>
            <w:fldChar w:fldCharType="separate"/>
          </w:r>
          <w:hyperlink w:anchor="_Toc653769895">
            <w:r w:rsidRPr="45A2756A">
              <w:rPr>
                <w:rStyle w:val="Hyperlink"/>
              </w:rPr>
              <w:t>Event planning document</w:t>
            </w:r>
            <w:r>
              <w:tab/>
            </w:r>
            <w:r>
              <w:fldChar w:fldCharType="begin"/>
            </w:r>
            <w:r>
              <w:instrText>PAGEREF _Toc653769895 \h</w:instrText>
            </w:r>
            <w:r>
              <w:fldChar w:fldCharType="separate"/>
            </w:r>
            <w:r w:rsidRPr="45A2756A">
              <w:rPr>
                <w:rStyle w:val="Hyperlink"/>
              </w:rPr>
              <w:t>2</w:t>
            </w:r>
            <w:r>
              <w:fldChar w:fldCharType="end"/>
            </w:r>
          </w:hyperlink>
        </w:p>
        <w:p w14:paraId="14E862CD" w14:textId="45CF5AE0" w:rsidR="45A2756A" w:rsidRDefault="00F27A09" w:rsidP="45A2756A">
          <w:pPr>
            <w:pStyle w:val="TOC2"/>
            <w:tabs>
              <w:tab w:val="right" w:leader="dot" w:pos="9015"/>
            </w:tabs>
            <w:rPr>
              <w:rStyle w:val="Hyperlink"/>
            </w:rPr>
          </w:pPr>
          <w:hyperlink w:anchor="_Toc175322879">
            <w:r w:rsidR="45A2756A" w:rsidRPr="45A2756A">
              <w:rPr>
                <w:rStyle w:val="Hyperlink"/>
              </w:rPr>
              <w:t>Event overview</w:t>
            </w:r>
            <w:r w:rsidR="45A2756A">
              <w:tab/>
            </w:r>
            <w:r w:rsidR="45A2756A">
              <w:fldChar w:fldCharType="begin"/>
            </w:r>
            <w:r w:rsidR="45A2756A">
              <w:instrText>PAGEREF _Toc175322879 \h</w:instrText>
            </w:r>
            <w:r w:rsidR="45A2756A">
              <w:fldChar w:fldCharType="separate"/>
            </w:r>
            <w:r w:rsidR="45A2756A" w:rsidRPr="45A2756A">
              <w:rPr>
                <w:rStyle w:val="Hyperlink"/>
              </w:rPr>
              <w:t>2</w:t>
            </w:r>
            <w:r w:rsidR="45A2756A">
              <w:fldChar w:fldCharType="end"/>
            </w:r>
          </w:hyperlink>
        </w:p>
        <w:p w14:paraId="0848E072" w14:textId="3BF553B6" w:rsidR="45A2756A" w:rsidRDefault="00F27A09" w:rsidP="45A2756A">
          <w:pPr>
            <w:pStyle w:val="TOC2"/>
            <w:tabs>
              <w:tab w:val="right" w:leader="dot" w:pos="9015"/>
            </w:tabs>
            <w:rPr>
              <w:rStyle w:val="Hyperlink"/>
            </w:rPr>
          </w:pPr>
          <w:hyperlink w:anchor="_Toc509277580">
            <w:r w:rsidR="45A2756A" w:rsidRPr="45A2756A">
              <w:rPr>
                <w:rStyle w:val="Hyperlink"/>
              </w:rPr>
              <w:t>Name</w:t>
            </w:r>
            <w:r w:rsidR="45A2756A">
              <w:tab/>
            </w:r>
            <w:r w:rsidR="45A2756A">
              <w:fldChar w:fldCharType="begin"/>
            </w:r>
            <w:r w:rsidR="45A2756A">
              <w:instrText>PAGEREF _Toc509277580 \h</w:instrText>
            </w:r>
            <w:r w:rsidR="45A2756A">
              <w:fldChar w:fldCharType="separate"/>
            </w:r>
            <w:r w:rsidR="45A2756A" w:rsidRPr="45A2756A">
              <w:rPr>
                <w:rStyle w:val="Hyperlink"/>
              </w:rPr>
              <w:t>2</w:t>
            </w:r>
            <w:r w:rsidR="45A2756A">
              <w:fldChar w:fldCharType="end"/>
            </w:r>
          </w:hyperlink>
        </w:p>
        <w:p w14:paraId="3E62101F" w14:textId="60B1B3A1" w:rsidR="45A2756A" w:rsidRDefault="00F27A09" w:rsidP="45A2756A">
          <w:pPr>
            <w:pStyle w:val="TOC2"/>
            <w:tabs>
              <w:tab w:val="right" w:leader="dot" w:pos="9015"/>
            </w:tabs>
            <w:rPr>
              <w:rStyle w:val="Hyperlink"/>
            </w:rPr>
          </w:pPr>
          <w:hyperlink w:anchor="_Toc1635005856">
            <w:r w:rsidR="45A2756A" w:rsidRPr="45A2756A">
              <w:rPr>
                <w:rStyle w:val="Hyperlink"/>
              </w:rPr>
              <w:t>Date</w:t>
            </w:r>
            <w:r w:rsidR="45A2756A">
              <w:tab/>
            </w:r>
            <w:r w:rsidR="45A2756A">
              <w:fldChar w:fldCharType="begin"/>
            </w:r>
            <w:r w:rsidR="45A2756A">
              <w:instrText>PAGEREF _Toc1635005856 \h</w:instrText>
            </w:r>
            <w:r w:rsidR="45A2756A">
              <w:fldChar w:fldCharType="separate"/>
            </w:r>
            <w:r w:rsidR="45A2756A" w:rsidRPr="45A2756A">
              <w:rPr>
                <w:rStyle w:val="Hyperlink"/>
              </w:rPr>
              <w:t>3</w:t>
            </w:r>
            <w:r w:rsidR="45A2756A">
              <w:fldChar w:fldCharType="end"/>
            </w:r>
          </w:hyperlink>
        </w:p>
        <w:p w14:paraId="6674B3B4" w14:textId="61EC5F13" w:rsidR="45A2756A" w:rsidRDefault="00F27A09" w:rsidP="45A2756A">
          <w:pPr>
            <w:pStyle w:val="TOC2"/>
            <w:tabs>
              <w:tab w:val="right" w:leader="dot" w:pos="9015"/>
            </w:tabs>
            <w:rPr>
              <w:rStyle w:val="Hyperlink"/>
            </w:rPr>
          </w:pPr>
          <w:hyperlink w:anchor="_Toc10228354">
            <w:r w:rsidR="45A2756A" w:rsidRPr="45A2756A">
              <w:rPr>
                <w:rStyle w:val="Hyperlink"/>
              </w:rPr>
              <w:t>Location</w:t>
            </w:r>
            <w:r w:rsidR="45A2756A">
              <w:tab/>
            </w:r>
            <w:r w:rsidR="45A2756A">
              <w:fldChar w:fldCharType="begin"/>
            </w:r>
            <w:r w:rsidR="45A2756A">
              <w:instrText>PAGEREF _Toc10228354 \h</w:instrText>
            </w:r>
            <w:r w:rsidR="45A2756A">
              <w:fldChar w:fldCharType="separate"/>
            </w:r>
            <w:r w:rsidR="45A2756A" w:rsidRPr="45A2756A">
              <w:rPr>
                <w:rStyle w:val="Hyperlink"/>
              </w:rPr>
              <w:t>3</w:t>
            </w:r>
            <w:r w:rsidR="45A2756A">
              <w:fldChar w:fldCharType="end"/>
            </w:r>
          </w:hyperlink>
        </w:p>
        <w:p w14:paraId="133E8389" w14:textId="15234F17" w:rsidR="45A2756A" w:rsidRDefault="00F27A09" w:rsidP="45A2756A">
          <w:pPr>
            <w:pStyle w:val="TOC2"/>
            <w:tabs>
              <w:tab w:val="right" w:leader="dot" w:pos="9015"/>
            </w:tabs>
            <w:rPr>
              <w:rStyle w:val="Hyperlink"/>
            </w:rPr>
          </w:pPr>
          <w:hyperlink w:anchor="_Toc985566844">
            <w:r w:rsidR="45A2756A" w:rsidRPr="45A2756A">
              <w:rPr>
                <w:rStyle w:val="Hyperlink"/>
              </w:rPr>
              <w:t>Purpose</w:t>
            </w:r>
            <w:r w:rsidR="45A2756A">
              <w:tab/>
            </w:r>
            <w:r w:rsidR="45A2756A">
              <w:fldChar w:fldCharType="begin"/>
            </w:r>
            <w:r w:rsidR="45A2756A">
              <w:instrText>PAGEREF _Toc985566844 \h</w:instrText>
            </w:r>
            <w:r w:rsidR="45A2756A">
              <w:fldChar w:fldCharType="separate"/>
            </w:r>
            <w:r w:rsidR="45A2756A" w:rsidRPr="45A2756A">
              <w:rPr>
                <w:rStyle w:val="Hyperlink"/>
              </w:rPr>
              <w:t>4</w:t>
            </w:r>
            <w:r w:rsidR="45A2756A">
              <w:fldChar w:fldCharType="end"/>
            </w:r>
          </w:hyperlink>
        </w:p>
        <w:p w14:paraId="58E9BF62" w14:textId="217ED901" w:rsidR="45A2756A" w:rsidRDefault="00F27A09" w:rsidP="45A2756A">
          <w:pPr>
            <w:pStyle w:val="TOC2"/>
            <w:tabs>
              <w:tab w:val="right" w:leader="dot" w:pos="9015"/>
            </w:tabs>
            <w:rPr>
              <w:rStyle w:val="Hyperlink"/>
            </w:rPr>
          </w:pPr>
          <w:hyperlink w:anchor="_Toc389153261">
            <w:r w:rsidR="45A2756A" w:rsidRPr="45A2756A">
              <w:rPr>
                <w:rStyle w:val="Hyperlink"/>
              </w:rPr>
              <w:t>Need</w:t>
            </w:r>
            <w:r w:rsidR="45A2756A">
              <w:tab/>
            </w:r>
            <w:r w:rsidR="45A2756A">
              <w:fldChar w:fldCharType="begin"/>
            </w:r>
            <w:r w:rsidR="45A2756A">
              <w:instrText>PAGEREF _Toc389153261 \h</w:instrText>
            </w:r>
            <w:r w:rsidR="45A2756A">
              <w:fldChar w:fldCharType="separate"/>
            </w:r>
            <w:r w:rsidR="45A2756A" w:rsidRPr="45A2756A">
              <w:rPr>
                <w:rStyle w:val="Hyperlink"/>
              </w:rPr>
              <w:t>5</w:t>
            </w:r>
            <w:r w:rsidR="45A2756A">
              <w:fldChar w:fldCharType="end"/>
            </w:r>
          </w:hyperlink>
        </w:p>
        <w:p w14:paraId="418B8C27" w14:textId="357753F6" w:rsidR="45A2756A" w:rsidRDefault="00F27A09" w:rsidP="45A2756A">
          <w:pPr>
            <w:pStyle w:val="TOC2"/>
            <w:tabs>
              <w:tab w:val="right" w:leader="dot" w:pos="9015"/>
            </w:tabs>
            <w:rPr>
              <w:rStyle w:val="Hyperlink"/>
            </w:rPr>
          </w:pPr>
          <w:hyperlink w:anchor="_Toc884050164">
            <w:r w:rsidR="45A2756A" w:rsidRPr="45A2756A">
              <w:rPr>
                <w:rStyle w:val="Hyperlink"/>
              </w:rPr>
              <w:t>Audience</w:t>
            </w:r>
            <w:r w:rsidR="45A2756A">
              <w:tab/>
            </w:r>
            <w:r w:rsidR="45A2756A">
              <w:fldChar w:fldCharType="begin"/>
            </w:r>
            <w:r w:rsidR="45A2756A">
              <w:instrText>PAGEREF _Toc884050164 \h</w:instrText>
            </w:r>
            <w:r w:rsidR="45A2756A">
              <w:fldChar w:fldCharType="separate"/>
            </w:r>
            <w:r w:rsidR="45A2756A" w:rsidRPr="45A2756A">
              <w:rPr>
                <w:rStyle w:val="Hyperlink"/>
              </w:rPr>
              <w:t>6</w:t>
            </w:r>
            <w:r w:rsidR="45A2756A">
              <w:fldChar w:fldCharType="end"/>
            </w:r>
          </w:hyperlink>
        </w:p>
        <w:p w14:paraId="29AEB698" w14:textId="14D4D8FD" w:rsidR="45A2756A" w:rsidRDefault="00F27A09" w:rsidP="45A2756A">
          <w:pPr>
            <w:pStyle w:val="TOC2"/>
            <w:tabs>
              <w:tab w:val="right" w:leader="dot" w:pos="9015"/>
            </w:tabs>
            <w:rPr>
              <w:rStyle w:val="Hyperlink"/>
            </w:rPr>
          </w:pPr>
          <w:hyperlink w:anchor="_Toc896511009">
            <w:r w:rsidR="45A2756A" w:rsidRPr="45A2756A">
              <w:rPr>
                <w:rStyle w:val="Hyperlink"/>
              </w:rPr>
              <w:t>USP</w:t>
            </w:r>
            <w:r w:rsidR="45A2756A">
              <w:tab/>
            </w:r>
            <w:r w:rsidR="45A2756A">
              <w:fldChar w:fldCharType="begin"/>
            </w:r>
            <w:r w:rsidR="45A2756A">
              <w:instrText>PAGEREF _Toc896511009 \h</w:instrText>
            </w:r>
            <w:r w:rsidR="45A2756A">
              <w:fldChar w:fldCharType="separate"/>
            </w:r>
            <w:r w:rsidR="45A2756A" w:rsidRPr="45A2756A">
              <w:rPr>
                <w:rStyle w:val="Hyperlink"/>
              </w:rPr>
              <w:t>8</w:t>
            </w:r>
            <w:r w:rsidR="45A2756A">
              <w:fldChar w:fldCharType="end"/>
            </w:r>
          </w:hyperlink>
        </w:p>
        <w:p w14:paraId="2BF33944" w14:textId="59026912" w:rsidR="45A2756A" w:rsidRDefault="00F27A09" w:rsidP="45A2756A">
          <w:pPr>
            <w:pStyle w:val="TOC2"/>
            <w:tabs>
              <w:tab w:val="right" w:leader="dot" w:pos="9015"/>
            </w:tabs>
            <w:rPr>
              <w:rStyle w:val="Hyperlink"/>
            </w:rPr>
          </w:pPr>
          <w:hyperlink w:anchor="_Toc1449396262">
            <w:r w:rsidR="45A2756A" w:rsidRPr="45A2756A">
              <w:rPr>
                <w:rStyle w:val="Hyperlink"/>
              </w:rPr>
              <w:t>Agenda</w:t>
            </w:r>
            <w:r w:rsidR="45A2756A">
              <w:tab/>
            </w:r>
            <w:r w:rsidR="45A2756A">
              <w:fldChar w:fldCharType="begin"/>
            </w:r>
            <w:r w:rsidR="45A2756A">
              <w:instrText>PAGEREF _Toc1449396262 \h</w:instrText>
            </w:r>
            <w:r w:rsidR="45A2756A">
              <w:fldChar w:fldCharType="separate"/>
            </w:r>
            <w:r w:rsidR="45A2756A" w:rsidRPr="45A2756A">
              <w:rPr>
                <w:rStyle w:val="Hyperlink"/>
              </w:rPr>
              <w:t>9</w:t>
            </w:r>
            <w:r w:rsidR="45A2756A">
              <w:fldChar w:fldCharType="end"/>
            </w:r>
          </w:hyperlink>
        </w:p>
        <w:p w14:paraId="2B4DCC3E" w14:textId="21BD8063" w:rsidR="45A2756A" w:rsidRDefault="00F27A09" w:rsidP="45A2756A">
          <w:pPr>
            <w:pStyle w:val="TOC2"/>
            <w:tabs>
              <w:tab w:val="right" w:leader="dot" w:pos="9015"/>
            </w:tabs>
            <w:rPr>
              <w:rStyle w:val="Hyperlink"/>
            </w:rPr>
          </w:pPr>
          <w:hyperlink w:anchor="_Toc662211206">
            <w:r w:rsidR="45A2756A" w:rsidRPr="45A2756A">
              <w:rPr>
                <w:rStyle w:val="Hyperlink"/>
              </w:rPr>
              <w:t>Κey metrics</w:t>
            </w:r>
            <w:r w:rsidR="45A2756A">
              <w:tab/>
            </w:r>
            <w:r w:rsidR="45A2756A">
              <w:fldChar w:fldCharType="begin"/>
            </w:r>
            <w:r w:rsidR="45A2756A">
              <w:instrText>PAGEREF _Toc662211206 \h</w:instrText>
            </w:r>
            <w:r w:rsidR="45A2756A">
              <w:fldChar w:fldCharType="separate"/>
            </w:r>
            <w:r w:rsidR="45A2756A" w:rsidRPr="45A2756A">
              <w:rPr>
                <w:rStyle w:val="Hyperlink"/>
              </w:rPr>
              <w:t>10</w:t>
            </w:r>
            <w:r w:rsidR="45A2756A">
              <w:fldChar w:fldCharType="end"/>
            </w:r>
          </w:hyperlink>
        </w:p>
        <w:p w14:paraId="14BB7E9B" w14:textId="116BB44D" w:rsidR="45A2756A" w:rsidRDefault="00F27A09" w:rsidP="45A2756A">
          <w:pPr>
            <w:pStyle w:val="TOC2"/>
            <w:tabs>
              <w:tab w:val="right" w:leader="dot" w:pos="9015"/>
            </w:tabs>
            <w:rPr>
              <w:rStyle w:val="Hyperlink"/>
            </w:rPr>
          </w:pPr>
          <w:hyperlink w:anchor="_Toc1594171494">
            <w:r w:rsidR="45A2756A" w:rsidRPr="45A2756A">
              <w:rPr>
                <w:rStyle w:val="Hyperlink"/>
              </w:rPr>
              <w:t>Safety plan</w:t>
            </w:r>
            <w:r w:rsidR="45A2756A">
              <w:tab/>
            </w:r>
            <w:r w:rsidR="45A2756A">
              <w:fldChar w:fldCharType="begin"/>
            </w:r>
            <w:r w:rsidR="45A2756A">
              <w:instrText>PAGEREF _Toc1594171494 \h</w:instrText>
            </w:r>
            <w:r w:rsidR="45A2756A">
              <w:fldChar w:fldCharType="separate"/>
            </w:r>
            <w:r w:rsidR="45A2756A" w:rsidRPr="45A2756A">
              <w:rPr>
                <w:rStyle w:val="Hyperlink"/>
              </w:rPr>
              <w:t>12</w:t>
            </w:r>
            <w:r w:rsidR="45A2756A">
              <w:fldChar w:fldCharType="end"/>
            </w:r>
          </w:hyperlink>
        </w:p>
        <w:p w14:paraId="7C51F481" w14:textId="7F6495D8" w:rsidR="45A2756A" w:rsidRDefault="00F27A09" w:rsidP="45A2756A">
          <w:pPr>
            <w:pStyle w:val="TOC2"/>
            <w:tabs>
              <w:tab w:val="right" w:leader="dot" w:pos="9015"/>
            </w:tabs>
            <w:rPr>
              <w:rStyle w:val="Hyperlink"/>
            </w:rPr>
          </w:pPr>
          <w:hyperlink w:anchor="_Toc1729518492">
            <w:r w:rsidR="45A2756A" w:rsidRPr="45A2756A">
              <w:rPr>
                <w:rStyle w:val="Hyperlink"/>
              </w:rPr>
              <w:t>Event planning checklist</w:t>
            </w:r>
            <w:r w:rsidR="45A2756A">
              <w:tab/>
            </w:r>
            <w:r w:rsidR="45A2756A">
              <w:fldChar w:fldCharType="begin"/>
            </w:r>
            <w:r w:rsidR="45A2756A">
              <w:instrText>PAGEREF _Toc1729518492 \h</w:instrText>
            </w:r>
            <w:r w:rsidR="45A2756A">
              <w:fldChar w:fldCharType="separate"/>
            </w:r>
            <w:r w:rsidR="45A2756A" w:rsidRPr="45A2756A">
              <w:rPr>
                <w:rStyle w:val="Hyperlink"/>
              </w:rPr>
              <w:t>13</w:t>
            </w:r>
            <w:r w:rsidR="45A2756A">
              <w:fldChar w:fldCharType="end"/>
            </w:r>
          </w:hyperlink>
        </w:p>
        <w:p w14:paraId="6686631E" w14:textId="2DFD3355" w:rsidR="45A2756A" w:rsidRDefault="00F27A09" w:rsidP="45A2756A">
          <w:pPr>
            <w:pStyle w:val="TOC1"/>
            <w:tabs>
              <w:tab w:val="right" w:leader="dot" w:pos="9015"/>
            </w:tabs>
            <w:rPr>
              <w:rStyle w:val="Hyperlink"/>
            </w:rPr>
          </w:pPr>
          <w:hyperlink w:anchor="_Toc635333692">
            <w:r w:rsidR="45A2756A" w:rsidRPr="45A2756A">
              <w:rPr>
                <w:rStyle w:val="Hyperlink"/>
              </w:rPr>
              <w:t>Ip case study</w:t>
            </w:r>
            <w:r w:rsidR="45A2756A">
              <w:tab/>
            </w:r>
            <w:r w:rsidR="45A2756A">
              <w:fldChar w:fldCharType="begin"/>
            </w:r>
            <w:r w:rsidR="45A2756A">
              <w:instrText>PAGEREF _Toc635333692 \h</w:instrText>
            </w:r>
            <w:r w:rsidR="45A2756A">
              <w:fldChar w:fldCharType="separate"/>
            </w:r>
            <w:r w:rsidR="45A2756A" w:rsidRPr="45A2756A">
              <w:rPr>
                <w:rStyle w:val="Hyperlink"/>
              </w:rPr>
              <w:t>14</w:t>
            </w:r>
            <w:r w:rsidR="45A2756A">
              <w:fldChar w:fldCharType="end"/>
            </w:r>
          </w:hyperlink>
        </w:p>
        <w:p w14:paraId="554ADF6B" w14:textId="6488306D" w:rsidR="45A2756A" w:rsidRDefault="00F27A09" w:rsidP="45A2756A">
          <w:pPr>
            <w:pStyle w:val="TOC2"/>
            <w:tabs>
              <w:tab w:val="right" w:leader="dot" w:pos="9015"/>
            </w:tabs>
            <w:rPr>
              <w:rStyle w:val="Hyperlink"/>
            </w:rPr>
          </w:pPr>
          <w:hyperlink w:anchor="_Toc685167391">
            <w:r w:rsidR="45A2756A" w:rsidRPr="45A2756A">
              <w:rPr>
                <w:rStyle w:val="Hyperlink"/>
              </w:rPr>
              <w:t>Methodology</w:t>
            </w:r>
            <w:r w:rsidR="45A2756A">
              <w:tab/>
            </w:r>
            <w:r w:rsidR="45A2756A">
              <w:fldChar w:fldCharType="begin"/>
            </w:r>
            <w:r w:rsidR="45A2756A">
              <w:instrText>PAGEREF _Toc685167391 \h</w:instrText>
            </w:r>
            <w:r w:rsidR="45A2756A">
              <w:fldChar w:fldCharType="separate"/>
            </w:r>
            <w:r w:rsidR="45A2756A" w:rsidRPr="45A2756A">
              <w:rPr>
                <w:rStyle w:val="Hyperlink"/>
              </w:rPr>
              <w:t>15</w:t>
            </w:r>
            <w:r w:rsidR="45A2756A">
              <w:fldChar w:fldCharType="end"/>
            </w:r>
          </w:hyperlink>
        </w:p>
        <w:p w14:paraId="1C3C7F9D" w14:textId="49989606" w:rsidR="45A2756A" w:rsidRDefault="00F27A09" w:rsidP="45A2756A">
          <w:pPr>
            <w:pStyle w:val="TOC2"/>
            <w:tabs>
              <w:tab w:val="right" w:leader="dot" w:pos="9015"/>
            </w:tabs>
            <w:rPr>
              <w:rStyle w:val="Hyperlink"/>
            </w:rPr>
          </w:pPr>
          <w:hyperlink w:anchor="_Toc316358569">
            <w:r w:rsidR="45A2756A" w:rsidRPr="45A2756A">
              <w:rPr>
                <w:rStyle w:val="Hyperlink"/>
              </w:rPr>
              <w:t>Accessibility and Location</w:t>
            </w:r>
            <w:r w:rsidR="45A2756A">
              <w:tab/>
            </w:r>
            <w:r w:rsidR="45A2756A">
              <w:fldChar w:fldCharType="begin"/>
            </w:r>
            <w:r w:rsidR="45A2756A">
              <w:instrText>PAGEREF _Toc316358569 \h</w:instrText>
            </w:r>
            <w:r w:rsidR="45A2756A">
              <w:fldChar w:fldCharType="separate"/>
            </w:r>
            <w:r w:rsidR="45A2756A" w:rsidRPr="45A2756A">
              <w:rPr>
                <w:rStyle w:val="Hyperlink"/>
              </w:rPr>
              <w:t>16</w:t>
            </w:r>
            <w:r w:rsidR="45A2756A">
              <w:fldChar w:fldCharType="end"/>
            </w:r>
          </w:hyperlink>
        </w:p>
        <w:p w14:paraId="380C4306" w14:textId="214E871B" w:rsidR="45A2756A" w:rsidRDefault="00F27A09" w:rsidP="45A2756A">
          <w:pPr>
            <w:pStyle w:val="TOC3"/>
            <w:tabs>
              <w:tab w:val="right" w:leader="dot" w:pos="9015"/>
            </w:tabs>
            <w:rPr>
              <w:rStyle w:val="Hyperlink"/>
            </w:rPr>
          </w:pPr>
          <w:hyperlink w:anchor="_Toc202521832">
            <w:r w:rsidR="45A2756A" w:rsidRPr="45A2756A">
              <w:rPr>
                <w:rStyle w:val="Hyperlink"/>
              </w:rPr>
              <w:t>Spatial Design and Facilities</w:t>
            </w:r>
            <w:r w:rsidR="45A2756A">
              <w:tab/>
            </w:r>
            <w:r w:rsidR="45A2756A">
              <w:fldChar w:fldCharType="begin"/>
            </w:r>
            <w:r w:rsidR="45A2756A">
              <w:instrText>PAGEREF _Toc202521832 \h</w:instrText>
            </w:r>
            <w:r w:rsidR="45A2756A">
              <w:fldChar w:fldCharType="separate"/>
            </w:r>
            <w:r w:rsidR="45A2756A" w:rsidRPr="45A2756A">
              <w:rPr>
                <w:rStyle w:val="Hyperlink"/>
              </w:rPr>
              <w:t>17</w:t>
            </w:r>
            <w:r w:rsidR="45A2756A">
              <w:fldChar w:fldCharType="end"/>
            </w:r>
          </w:hyperlink>
        </w:p>
        <w:p w14:paraId="44A1433F" w14:textId="499BD05A" w:rsidR="45A2756A" w:rsidRDefault="00F27A09" w:rsidP="45A2756A">
          <w:pPr>
            <w:pStyle w:val="TOC3"/>
            <w:tabs>
              <w:tab w:val="right" w:leader="dot" w:pos="9015"/>
            </w:tabs>
            <w:rPr>
              <w:rStyle w:val="Hyperlink"/>
            </w:rPr>
          </w:pPr>
          <w:hyperlink w:anchor="_Toc738237166">
            <w:r w:rsidR="45A2756A" w:rsidRPr="45A2756A">
              <w:rPr>
                <w:rStyle w:val="Hyperlink"/>
              </w:rPr>
              <w:t>Atmosphere and Experience</w:t>
            </w:r>
            <w:r w:rsidR="45A2756A">
              <w:tab/>
            </w:r>
            <w:r w:rsidR="45A2756A">
              <w:fldChar w:fldCharType="begin"/>
            </w:r>
            <w:r w:rsidR="45A2756A">
              <w:instrText>PAGEREF _Toc738237166 \h</w:instrText>
            </w:r>
            <w:r w:rsidR="45A2756A">
              <w:fldChar w:fldCharType="separate"/>
            </w:r>
            <w:r w:rsidR="45A2756A" w:rsidRPr="45A2756A">
              <w:rPr>
                <w:rStyle w:val="Hyperlink"/>
              </w:rPr>
              <w:t>17</w:t>
            </w:r>
            <w:r w:rsidR="45A2756A">
              <w:fldChar w:fldCharType="end"/>
            </w:r>
          </w:hyperlink>
        </w:p>
        <w:p w14:paraId="729309AF" w14:textId="445C9FDA" w:rsidR="45A2756A" w:rsidRDefault="00F27A09" w:rsidP="45A2756A">
          <w:pPr>
            <w:pStyle w:val="TOC3"/>
            <w:tabs>
              <w:tab w:val="right" w:leader="dot" w:pos="9015"/>
            </w:tabs>
            <w:rPr>
              <w:rStyle w:val="Hyperlink"/>
            </w:rPr>
          </w:pPr>
          <w:hyperlink w:anchor="_Toc772740963">
            <w:r w:rsidR="45A2756A" w:rsidRPr="45A2756A">
              <w:rPr>
                <w:rStyle w:val="Hyperlink"/>
              </w:rPr>
              <w:t>Community Engagement and Social Impact</w:t>
            </w:r>
            <w:r w:rsidR="45A2756A">
              <w:tab/>
            </w:r>
            <w:r w:rsidR="45A2756A">
              <w:fldChar w:fldCharType="begin"/>
            </w:r>
            <w:r w:rsidR="45A2756A">
              <w:instrText>PAGEREF _Toc772740963 \h</w:instrText>
            </w:r>
            <w:r w:rsidR="45A2756A">
              <w:fldChar w:fldCharType="separate"/>
            </w:r>
            <w:r w:rsidR="45A2756A" w:rsidRPr="45A2756A">
              <w:rPr>
                <w:rStyle w:val="Hyperlink"/>
              </w:rPr>
              <w:t>18</w:t>
            </w:r>
            <w:r w:rsidR="45A2756A">
              <w:fldChar w:fldCharType="end"/>
            </w:r>
          </w:hyperlink>
        </w:p>
        <w:p w14:paraId="76D0EC01" w14:textId="597406B1" w:rsidR="45A2756A" w:rsidRDefault="00F27A09" w:rsidP="45A2756A">
          <w:pPr>
            <w:pStyle w:val="TOC3"/>
            <w:tabs>
              <w:tab w:val="right" w:leader="dot" w:pos="9015"/>
            </w:tabs>
            <w:rPr>
              <w:rStyle w:val="Hyperlink"/>
            </w:rPr>
          </w:pPr>
          <w:hyperlink w:anchor="_Toc1534556949">
            <w:r w:rsidR="45A2756A" w:rsidRPr="45A2756A">
              <w:rPr>
                <w:rStyle w:val="Hyperlink"/>
              </w:rPr>
              <w:t>Sustainability and Environmental Responsibility</w:t>
            </w:r>
            <w:r w:rsidR="45A2756A">
              <w:tab/>
            </w:r>
            <w:r w:rsidR="45A2756A">
              <w:fldChar w:fldCharType="begin"/>
            </w:r>
            <w:r w:rsidR="45A2756A">
              <w:instrText>PAGEREF _Toc1534556949 \h</w:instrText>
            </w:r>
            <w:r w:rsidR="45A2756A">
              <w:fldChar w:fldCharType="separate"/>
            </w:r>
            <w:r w:rsidR="45A2756A" w:rsidRPr="45A2756A">
              <w:rPr>
                <w:rStyle w:val="Hyperlink"/>
              </w:rPr>
              <w:t>18</w:t>
            </w:r>
            <w:r w:rsidR="45A2756A">
              <w:fldChar w:fldCharType="end"/>
            </w:r>
          </w:hyperlink>
        </w:p>
        <w:p w14:paraId="6E5DF0E7" w14:textId="72BDFC71" w:rsidR="45A2756A" w:rsidRDefault="00F27A09" w:rsidP="45A2756A">
          <w:pPr>
            <w:pStyle w:val="TOC2"/>
            <w:tabs>
              <w:tab w:val="right" w:leader="dot" w:pos="9015"/>
            </w:tabs>
            <w:rPr>
              <w:rStyle w:val="Hyperlink"/>
            </w:rPr>
          </w:pPr>
          <w:hyperlink w:anchor="_Toc917707353">
            <w:r w:rsidR="45A2756A" w:rsidRPr="45A2756A">
              <w:rPr>
                <w:rStyle w:val="Hyperlink"/>
              </w:rPr>
              <w:t>Purpose</w:t>
            </w:r>
            <w:r w:rsidR="45A2756A">
              <w:tab/>
            </w:r>
            <w:r w:rsidR="45A2756A">
              <w:fldChar w:fldCharType="begin"/>
            </w:r>
            <w:r w:rsidR="45A2756A">
              <w:instrText>PAGEREF _Toc917707353 \h</w:instrText>
            </w:r>
            <w:r w:rsidR="45A2756A">
              <w:fldChar w:fldCharType="separate"/>
            </w:r>
            <w:r w:rsidR="45A2756A" w:rsidRPr="45A2756A">
              <w:rPr>
                <w:rStyle w:val="Hyperlink"/>
              </w:rPr>
              <w:t>19</w:t>
            </w:r>
            <w:r w:rsidR="45A2756A">
              <w:fldChar w:fldCharType="end"/>
            </w:r>
          </w:hyperlink>
        </w:p>
        <w:p w14:paraId="064B9680" w14:textId="1DE14E4E" w:rsidR="45A2756A" w:rsidRDefault="00F27A09" w:rsidP="45A2756A">
          <w:pPr>
            <w:pStyle w:val="TOC3"/>
            <w:tabs>
              <w:tab w:val="right" w:leader="dot" w:pos="9015"/>
            </w:tabs>
            <w:rPr>
              <w:rStyle w:val="Hyperlink"/>
            </w:rPr>
          </w:pPr>
          <w:hyperlink w:anchor="_Toc1911054012">
            <w:r w:rsidR="45A2756A" w:rsidRPr="45A2756A">
              <w:rPr>
                <w:rStyle w:val="Hyperlink"/>
              </w:rPr>
              <w:t>Exploring Career Development Theories</w:t>
            </w:r>
            <w:r w:rsidR="45A2756A">
              <w:tab/>
            </w:r>
            <w:r w:rsidR="45A2756A">
              <w:fldChar w:fldCharType="begin"/>
            </w:r>
            <w:r w:rsidR="45A2756A">
              <w:instrText>PAGEREF _Toc1911054012 \h</w:instrText>
            </w:r>
            <w:r w:rsidR="45A2756A">
              <w:fldChar w:fldCharType="separate"/>
            </w:r>
            <w:r w:rsidR="45A2756A" w:rsidRPr="45A2756A">
              <w:rPr>
                <w:rStyle w:val="Hyperlink"/>
              </w:rPr>
              <w:t>19</w:t>
            </w:r>
            <w:r w:rsidR="45A2756A">
              <w:fldChar w:fldCharType="end"/>
            </w:r>
          </w:hyperlink>
        </w:p>
        <w:p w14:paraId="1BE37135" w14:textId="177CB9F0" w:rsidR="45A2756A" w:rsidRDefault="00F27A09" w:rsidP="45A2756A">
          <w:pPr>
            <w:pStyle w:val="TOC3"/>
            <w:tabs>
              <w:tab w:val="right" w:leader="dot" w:pos="9015"/>
            </w:tabs>
            <w:rPr>
              <w:rStyle w:val="Hyperlink"/>
            </w:rPr>
          </w:pPr>
          <w:hyperlink w:anchor="_Toc461361871">
            <w:r w:rsidR="45A2756A" w:rsidRPr="45A2756A">
              <w:rPr>
                <w:rStyle w:val="Hyperlink"/>
              </w:rPr>
              <w:t>Networking and Social Capital</w:t>
            </w:r>
            <w:r w:rsidR="45A2756A">
              <w:tab/>
            </w:r>
            <w:r w:rsidR="45A2756A">
              <w:fldChar w:fldCharType="begin"/>
            </w:r>
            <w:r w:rsidR="45A2756A">
              <w:instrText>PAGEREF _Toc461361871 \h</w:instrText>
            </w:r>
            <w:r w:rsidR="45A2756A">
              <w:fldChar w:fldCharType="separate"/>
            </w:r>
            <w:r w:rsidR="45A2756A" w:rsidRPr="45A2756A">
              <w:rPr>
                <w:rStyle w:val="Hyperlink"/>
              </w:rPr>
              <w:t>19</w:t>
            </w:r>
            <w:r w:rsidR="45A2756A">
              <w:fldChar w:fldCharType="end"/>
            </w:r>
          </w:hyperlink>
        </w:p>
        <w:p w14:paraId="35DEF769" w14:textId="267C04B3" w:rsidR="45A2756A" w:rsidRDefault="00F27A09" w:rsidP="45A2756A">
          <w:pPr>
            <w:pStyle w:val="TOC3"/>
            <w:tabs>
              <w:tab w:val="right" w:leader="dot" w:pos="9015"/>
            </w:tabs>
            <w:rPr>
              <w:rStyle w:val="Hyperlink"/>
            </w:rPr>
          </w:pPr>
          <w:hyperlink w:anchor="_Toc257119267">
            <w:r w:rsidR="45A2756A" w:rsidRPr="45A2756A">
              <w:rPr>
                <w:rStyle w:val="Hyperlink"/>
              </w:rPr>
              <w:t>Community and Economic Development</w:t>
            </w:r>
            <w:r w:rsidR="45A2756A">
              <w:tab/>
            </w:r>
            <w:r w:rsidR="45A2756A">
              <w:fldChar w:fldCharType="begin"/>
            </w:r>
            <w:r w:rsidR="45A2756A">
              <w:instrText>PAGEREF _Toc257119267 \h</w:instrText>
            </w:r>
            <w:r w:rsidR="45A2756A">
              <w:fldChar w:fldCharType="separate"/>
            </w:r>
            <w:r w:rsidR="45A2756A" w:rsidRPr="45A2756A">
              <w:rPr>
                <w:rStyle w:val="Hyperlink"/>
              </w:rPr>
              <w:t>20</w:t>
            </w:r>
            <w:r w:rsidR="45A2756A">
              <w:fldChar w:fldCharType="end"/>
            </w:r>
          </w:hyperlink>
        </w:p>
        <w:p w14:paraId="0F33B5CA" w14:textId="3BDDB7A6" w:rsidR="45A2756A" w:rsidRDefault="00F27A09" w:rsidP="45A2756A">
          <w:pPr>
            <w:pStyle w:val="TOC2"/>
            <w:tabs>
              <w:tab w:val="right" w:leader="dot" w:pos="9015"/>
            </w:tabs>
            <w:rPr>
              <w:rStyle w:val="Hyperlink"/>
            </w:rPr>
          </w:pPr>
          <w:hyperlink w:anchor="_Toc1779336404">
            <w:r w:rsidR="45A2756A" w:rsidRPr="45A2756A">
              <w:rPr>
                <w:rStyle w:val="Hyperlink"/>
              </w:rPr>
              <w:t>Need</w:t>
            </w:r>
            <w:r w:rsidR="45A2756A">
              <w:tab/>
            </w:r>
            <w:r w:rsidR="45A2756A">
              <w:fldChar w:fldCharType="begin"/>
            </w:r>
            <w:r w:rsidR="45A2756A">
              <w:instrText>PAGEREF _Toc1779336404 \h</w:instrText>
            </w:r>
            <w:r w:rsidR="45A2756A">
              <w:fldChar w:fldCharType="separate"/>
            </w:r>
            <w:r w:rsidR="45A2756A" w:rsidRPr="45A2756A">
              <w:rPr>
                <w:rStyle w:val="Hyperlink"/>
              </w:rPr>
              <w:t>20</w:t>
            </w:r>
            <w:r w:rsidR="45A2756A">
              <w:fldChar w:fldCharType="end"/>
            </w:r>
          </w:hyperlink>
        </w:p>
        <w:p w14:paraId="19375DD8" w14:textId="6EC553D6" w:rsidR="45A2756A" w:rsidRDefault="00F27A09" w:rsidP="45A2756A">
          <w:pPr>
            <w:pStyle w:val="TOC2"/>
            <w:tabs>
              <w:tab w:val="right" w:leader="dot" w:pos="9015"/>
            </w:tabs>
            <w:rPr>
              <w:rStyle w:val="Hyperlink"/>
            </w:rPr>
          </w:pPr>
          <w:hyperlink w:anchor="_Toc947363307">
            <w:r w:rsidR="45A2756A" w:rsidRPr="45A2756A">
              <w:rPr>
                <w:rStyle w:val="Hyperlink"/>
              </w:rPr>
              <w:t>Audience</w:t>
            </w:r>
            <w:r w:rsidR="45A2756A">
              <w:tab/>
            </w:r>
            <w:r w:rsidR="45A2756A">
              <w:fldChar w:fldCharType="begin"/>
            </w:r>
            <w:r w:rsidR="45A2756A">
              <w:instrText>PAGEREF _Toc947363307 \h</w:instrText>
            </w:r>
            <w:r w:rsidR="45A2756A">
              <w:fldChar w:fldCharType="separate"/>
            </w:r>
            <w:r w:rsidR="45A2756A" w:rsidRPr="45A2756A">
              <w:rPr>
                <w:rStyle w:val="Hyperlink"/>
              </w:rPr>
              <w:t>22</w:t>
            </w:r>
            <w:r w:rsidR="45A2756A">
              <w:fldChar w:fldCharType="end"/>
            </w:r>
          </w:hyperlink>
        </w:p>
        <w:p w14:paraId="19FF2D8D" w14:textId="558E9AF7" w:rsidR="45A2756A" w:rsidRDefault="00F27A09" w:rsidP="45A2756A">
          <w:pPr>
            <w:pStyle w:val="TOC2"/>
            <w:tabs>
              <w:tab w:val="right" w:leader="dot" w:pos="9015"/>
            </w:tabs>
            <w:rPr>
              <w:rStyle w:val="Hyperlink"/>
            </w:rPr>
          </w:pPr>
          <w:hyperlink w:anchor="_Toc522093691">
            <w:r w:rsidR="45A2756A" w:rsidRPr="45A2756A">
              <w:rPr>
                <w:rStyle w:val="Hyperlink"/>
              </w:rPr>
              <w:t>USP</w:t>
            </w:r>
            <w:r w:rsidR="45A2756A">
              <w:tab/>
            </w:r>
            <w:r w:rsidR="45A2756A">
              <w:fldChar w:fldCharType="begin"/>
            </w:r>
            <w:r w:rsidR="45A2756A">
              <w:instrText>PAGEREF _Toc522093691 \h</w:instrText>
            </w:r>
            <w:r w:rsidR="45A2756A">
              <w:fldChar w:fldCharType="separate"/>
            </w:r>
            <w:r w:rsidR="45A2756A" w:rsidRPr="45A2756A">
              <w:rPr>
                <w:rStyle w:val="Hyperlink"/>
              </w:rPr>
              <w:t>24</w:t>
            </w:r>
            <w:r w:rsidR="45A2756A">
              <w:fldChar w:fldCharType="end"/>
            </w:r>
          </w:hyperlink>
        </w:p>
        <w:p w14:paraId="06F3B662" w14:textId="1579909F" w:rsidR="45A2756A" w:rsidRDefault="00F27A09" w:rsidP="45A2756A">
          <w:pPr>
            <w:pStyle w:val="TOC2"/>
            <w:tabs>
              <w:tab w:val="right" w:leader="dot" w:pos="9015"/>
            </w:tabs>
            <w:rPr>
              <w:rStyle w:val="Hyperlink"/>
            </w:rPr>
          </w:pPr>
          <w:hyperlink w:anchor="_Toc1098416781">
            <w:r w:rsidR="45A2756A" w:rsidRPr="45A2756A">
              <w:rPr>
                <w:rStyle w:val="Hyperlink"/>
              </w:rPr>
              <w:t>Agenda</w:t>
            </w:r>
            <w:r w:rsidR="45A2756A">
              <w:tab/>
            </w:r>
            <w:r w:rsidR="45A2756A">
              <w:fldChar w:fldCharType="begin"/>
            </w:r>
            <w:r w:rsidR="45A2756A">
              <w:instrText>PAGEREF _Toc1098416781 \h</w:instrText>
            </w:r>
            <w:r w:rsidR="45A2756A">
              <w:fldChar w:fldCharType="separate"/>
            </w:r>
            <w:r w:rsidR="45A2756A" w:rsidRPr="45A2756A">
              <w:rPr>
                <w:rStyle w:val="Hyperlink"/>
              </w:rPr>
              <w:t>27</w:t>
            </w:r>
            <w:r w:rsidR="45A2756A">
              <w:fldChar w:fldCharType="end"/>
            </w:r>
          </w:hyperlink>
        </w:p>
        <w:p w14:paraId="0003D7CA" w14:textId="227B4A7A" w:rsidR="45A2756A" w:rsidRDefault="00F27A09" w:rsidP="45A2756A">
          <w:pPr>
            <w:pStyle w:val="TOC1"/>
            <w:tabs>
              <w:tab w:val="right" w:leader="dot" w:pos="9015"/>
            </w:tabs>
            <w:rPr>
              <w:rStyle w:val="Hyperlink"/>
            </w:rPr>
          </w:pPr>
          <w:hyperlink w:anchor="_Toc1776812624">
            <w:r w:rsidR="45A2756A" w:rsidRPr="45A2756A">
              <w:rPr>
                <w:rStyle w:val="Hyperlink"/>
              </w:rPr>
              <w:t>Presentation script</w:t>
            </w:r>
            <w:r w:rsidR="45A2756A">
              <w:tab/>
            </w:r>
            <w:r w:rsidR="45A2756A">
              <w:fldChar w:fldCharType="begin"/>
            </w:r>
            <w:r w:rsidR="45A2756A">
              <w:instrText>PAGEREF _Toc1776812624 \h</w:instrText>
            </w:r>
            <w:r w:rsidR="45A2756A">
              <w:fldChar w:fldCharType="separate"/>
            </w:r>
            <w:r w:rsidR="45A2756A" w:rsidRPr="45A2756A">
              <w:rPr>
                <w:rStyle w:val="Hyperlink"/>
              </w:rPr>
              <w:t>28</w:t>
            </w:r>
            <w:r w:rsidR="45A2756A">
              <w:fldChar w:fldCharType="end"/>
            </w:r>
          </w:hyperlink>
        </w:p>
        <w:p w14:paraId="3300C325" w14:textId="745C934B" w:rsidR="45A2756A" w:rsidRDefault="00F27A09" w:rsidP="45A2756A">
          <w:pPr>
            <w:pStyle w:val="TOC3"/>
            <w:tabs>
              <w:tab w:val="right" w:leader="dot" w:pos="9015"/>
            </w:tabs>
            <w:rPr>
              <w:rStyle w:val="Hyperlink"/>
            </w:rPr>
          </w:pPr>
          <w:hyperlink w:anchor="_Toc2130599382">
            <w:r w:rsidR="45A2756A" w:rsidRPr="45A2756A">
              <w:rPr>
                <w:rStyle w:val="Hyperlink"/>
              </w:rPr>
              <w:t>Analysis:</w:t>
            </w:r>
            <w:r w:rsidR="45A2756A">
              <w:tab/>
            </w:r>
            <w:r w:rsidR="45A2756A">
              <w:fldChar w:fldCharType="begin"/>
            </w:r>
            <w:r w:rsidR="45A2756A">
              <w:instrText>PAGEREF _Toc2130599382 \h</w:instrText>
            </w:r>
            <w:r w:rsidR="45A2756A">
              <w:fldChar w:fldCharType="separate"/>
            </w:r>
            <w:r w:rsidR="45A2756A" w:rsidRPr="45A2756A">
              <w:rPr>
                <w:rStyle w:val="Hyperlink"/>
              </w:rPr>
              <w:t>32</w:t>
            </w:r>
            <w:r w:rsidR="45A2756A">
              <w:fldChar w:fldCharType="end"/>
            </w:r>
          </w:hyperlink>
        </w:p>
        <w:p w14:paraId="11150ACF" w14:textId="33571BB2" w:rsidR="45A2756A" w:rsidRDefault="00F27A09" w:rsidP="45A2756A">
          <w:pPr>
            <w:pStyle w:val="TOC1"/>
            <w:tabs>
              <w:tab w:val="right" w:leader="dot" w:pos="9015"/>
            </w:tabs>
            <w:rPr>
              <w:rStyle w:val="Hyperlink"/>
            </w:rPr>
          </w:pPr>
          <w:hyperlink w:anchor="_Toc853265519">
            <w:r w:rsidR="45A2756A" w:rsidRPr="45A2756A">
              <w:rPr>
                <w:rStyle w:val="Hyperlink"/>
              </w:rPr>
              <w:t>Reference list</w:t>
            </w:r>
            <w:r w:rsidR="45A2756A">
              <w:tab/>
            </w:r>
            <w:r w:rsidR="45A2756A">
              <w:fldChar w:fldCharType="begin"/>
            </w:r>
            <w:r w:rsidR="45A2756A">
              <w:instrText>PAGEREF _Toc853265519 \h</w:instrText>
            </w:r>
            <w:r w:rsidR="45A2756A">
              <w:fldChar w:fldCharType="separate"/>
            </w:r>
            <w:r w:rsidR="45A2756A" w:rsidRPr="45A2756A">
              <w:rPr>
                <w:rStyle w:val="Hyperlink"/>
              </w:rPr>
              <w:t>36</w:t>
            </w:r>
            <w:r w:rsidR="45A2756A">
              <w:fldChar w:fldCharType="end"/>
            </w:r>
          </w:hyperlink>
        </w:p>
        <w:p w14:paraId="1D66920F" w14:textId="50C5E42B" w:rsidR="45A2756A" w:rsidRDefault="00F27A09" w:rsidP="45A2756A">
          <w:pPr>
            <w:pStyle w:val="TOC1"/>
            <w:tabs>
              <w:tab w:val="right" w:leader="dot" w:pos="9015"/>
            </w:tabs>
            <w:rPr>
              <w:rStyle w:val="Hyperlink"/>
            </w:rPr>
          </w:pPr>
          <w:hyperlink w:anchor="_Toc1789719568">
            <w:r w:rsidR="45A2756A" w:rsidRPr="45A2756A">
              <w:rPr>
                <w:rStyle w:val="Hyperlink"/>
              </w:rPr>
              <w:t>Appendices</w:t>
            </w:r>
            <w:r w:rsidR="45A2756A">
              <w:tab/>
            </w:r>
            <w:r w:rsidR="45A2756A">
              <w:fldChar w:fldCharType="begin"/>
            </w:r>
            <w:r w:rsidR="45A2756A">
              <w:instrText>PAGEREF _Toc1789719568 \h</w:instrText>
            </w:r>
            <w:r w:rsidR="45A2756A">
              <w:fldChar w:fldCharType="separate"/>
            </w:r>
            <w:r w:rsidR="45A2756A" w:rsidRPr="45A2756A">
              <w:rPr>
                <w:rStyle w:val="Hyperlink"/>
              </w:rPr>
              <w:t>45</w:t>
            </w:r>
            <w:r w:rsidR="45A2756A">
              <w:fldChar w:fldCharType="end"/>
            </w:r>
          </w:hyperlink>
          <w:r w:rsidR="45A2756A">
            <w:fldChar w:fldCharType="end"/>
          </w:r>
        </w:p>
      </w:sdtContent>
    </w:sdt>
    <w:p w14:paraId="31658392" w14:textId="6B119360" w:rsidR="45A2756A" w:rsidRDefault="45A2756A" w:rsidP="45A2756A">
      <w:pPr>
        <w:pStyle w:val="Heading1"/>
        <w:rPr>
          <w:rFonts w:ascii="Arial" w:hAnsi="Arial" w:cs="Arial"/>
          <w:color w:val="000000" w:themeColor="text1"/>
          <w:sz w:val="24"/>
          <w:szCs w:val="24"/>
        </w:rPr>
      </w:pPr>
    </w:p>
    <w:p w14:paraId="3219AAC0" w14:textId="26524321" w:rsidR="45A2756A" w:rsidRDefault="45A2756A" w:rsidP="45A2756A">
      <w:pPr>
        <w:pStyle w:val="Heading1"/>
        <w:rPr>
          <w:rFonts w:ascii="Arial" w:hAnsi="Arial" w:cs="Arial"/>
          <w:color w:val="000000" w:themeColor="text1"/>
          <w:sz w:val="24"/>
          <w:szCs w:val="24"/>
        </w:rPr>
      </w:pPr>
    </w:p>
    <w:p w14:paraId="6F16B1A1" w14:textId="6C08D65A" w:rsidR="45A2756A" w:rsidRDefault="45A2756A" w:rsidP="45A2756A">
      <w:pPr>
        <w:pStyle w:val="Heading1"/>
        <w:rPr>
          <w:rFonts w:ascii="Arial" w:hAnsi="Arial" w:cs="Arial"/>
          <w:color w:val="000000" w:themeColor="text1"/>
          <w:sz w:val="24"/>
          <w:szCs w:val="24"/>
        </w:rPr>
      </w:pPr>
    </w:p>
    <w:p w14:paraId="58090754" w14:textId="6D082E52" w:rsidR="45A2756A" w:rsidRDefault="45A2756A" w:rsidP="45A2756A">
      <w:pPr>
        <w:pStyle w:val="Heading1"/>
        <w:rPr>
          <w:rFonts w:ascii="Arial" w:hAnsi="Arial" w:cs="Arial"/>
          <w:color w:val="000000" w:themeColor="text1"/>
          <w:sz w:val="24"/>
          <w:szCs w:val="24"/>
        </w:rPr>
      </w:pPr>
    </w:p>
    <w:p w14:paraId="1BAC2906" w14:textId="0EEF21E7" w:rsidR="00815F55" w:rsidRPr="00EC1377" w:rsidRDefault="00815F55" w:rsidP="45A2756A">
      <w:pPr>
        <w:pStyle w:val="Heading1"/>
        <w:rPr>
          <w:rFonts w:ascii="Arial" w:hAnsi="Arial" w:cs="Arial"/>
          <w:color w:val="000000" w:themeColor="text1"/>
          <w:sz w:val="24"/>
          <w:szCs w:val="24"/>
        </w:rPr>
      </w:pPr>
      <w:bookmarkStart w:id="0" w:name="_Toc1227093265"/>
      <w:bookmarkStart w:id="1" w:name="_Toc935635734"/>
      <w:bookmarkStart w:id="2" w:name="_Toc653769895"/>
      <w:r w:rsidRPr="45A2756A">
        <w:rPr>
          <w:rFonts w:ascii="Arial" w:hAnsi="Arial" w:cs="Arial"/>
          <w:color w:val="000000" w:themeColor="text1"/>
          <w:sz w:val="24"/>
          <w:szCs w:val="24"/>
        </w:rPr>
        <w:lastRenderedPageBreak/>
        <w:t>Event planning document</w:t>
      </w:r>
      <w:bookmarkEnd w:id="0"/>
      <w:bookmarkEnd w:id="1"/>
      <w:bookmarkEnd w:id="2"/>
      <w:r w:rsidRPr="45A2756A">
        <w:rPr>
          <w:rFonts w:ascii="Arial" w:hAnsi="Arial" w:cs="Arial"/>
          <w:color w:val="000000" w:themeColor="text1"/>
          <w:sz w:val="24"/>
          <w:szCs w:val="24"/>
        </w:rPr>
        <w:t xml:space="preserve"> </w:t>
      </w:r>
    </w:p>
    <w:p w14:paraId="36AE8985" w14:textId="77777777" w:rsidR="00815F55" w:rsidRPr="00A132B0" w:rsidRDefault="00815F55" w:rsidP="00805BB3">
      <w:pPr>
        <w:spacing w:line="360" w:lineRule="auto"/>
        <w:jc w:val="both"/>
        <w:rPr>
          <w:rFonts w:ascii="Arial" w:hAnsi="Arial" w:cs="Arial"/>
          <w:sz w:val="24"/>
          <w:szCs w:val="24"/>
        </w:rPr>
      </w:pPr>
    </w:p>
    <w:p w14:paraId="60DE91F3" w14:textId="77777777" w:rsidR="00815F55" w:rsidRPr="00976797" w:rsidRDefault="00815F55" w:rsidP="00E07E5C">
      <w:pPr>
        <w:pStyle w:val="Heading2"/>
      </w:pPr>
      <w:bookmarkStart w:id="3" w:name="_Toc41453636"/>
      <w:bookmarkStart w:id="4" w:name="_Toc490901414"/>
      <w:bookmarkStart w:id="5" w:name="_Toc175322879"/>
      <w:r w:rsidRPr="45A2756A">
        <w:rPr>
          <w:color w:val="000000" w:themeColor="text1"/>
        </w:rPr>
        <w:t>Event overview</w:t>
      </w:r>
      <w:bookmarkEnd w:id="3"/>
      <w:bookmarkEnd w:id="4"/>
      <w:bookmarkEnd w:id="5"/>
      <w:r w:rsidRPr="45A2756A">
        <w:t xml:space="preserve"> </w:t>
      </w:r>
    </w:p>
    <w:p w14:paraId="23D94A5C" w14:textId="7E651B6A" w:rsidR="00815F55" w:rsidRDefault="00815F55" w:rsidP="00805BB3">
      <w:pPr>
        <w:spacing w:line="360" w:lineRule="auto"/>
        <w:jc w:val="both"/>
        <w:rPr>
          <w:rFonts w:ascii="Arial" w:hAnsi="Arial" w:cs="Arial"/>
          <w:sz w:val="24"/>
          <w:szCs w:val="24"/>
        </w:rPr>
      </w:pPr>
      <w:r w:rsidRPr="00A132B0">
        <w:rPr>
          <w:rFonts w:ascii="Arial" w:hAnsi="Arial" w:cs="Arial"/>
          <w:sz w:val="24"/>
          <w:szCs w:val="24"/>
        </w:rPr>
        <w:t>In line with Visit Wales' objectives, the "Wales to the World" conference and exhibition offers students in Wales a singular chance to investigate international travel and tourism prospects. The event provides a top platform for industry insights, student-focused workshops, and interactive networking. It will take place at Swansea Arena on February 27, 2024. With a diverse agenda, including organisational profiles, operational insights, and industry panels, the conference aims to empower students while promoting Swansea as a hub for tourism education and employment. A thorough safety plan with proactive methods to mitigate risks will support the event's success, with key metrics like attendance rate and satisfaction surveys serving as benchmarks. A thorough and comprehensive event planning checklist guarantees careful planning for an effective and memorable conference.</w:t>
      </w:r>
    </w:p>
    <w:p w14:paraId="45B162CB" w14:textId="77777777" w:rsidR="00580EA2" w:rsidRDefault="00580EA2" w:rsidP="00805BB3">
      <w:pPr>
        <w:spacing w:line="360" w:lineRule="auto"/>
        <w:jc w:val="both"/>
        <w:rPr>
          <w:rFonts w:ascii="Arial" w:hAnsi="Arial" w:cs="Arial"/>
          <w:sz w:val="24"/>
          <w:szCs w:val="24"/>
        </w:rPr>
      </w:pPr>
    </w:p>
    <w:p w14:paraId="3451514A" w14:textId="77777777" w:rsidR="00580EA2" w:rsidRPr="00A132B0" w:rsidRDefault="00580EA2" w:rsidP="00805BB3">
      <w:pPr>
        <w:spacing w:line="360" w:lineRule="auto"/>
        <w:jc w:val="both"/>
        <w:rPr>
          <w:rFonts w:ascii="Arial" w:hAnsi="Arial" w:cs="Arial"/>
          <w:sz w:val="24"/>
          <w:szCs w:val="24"/>
        </w:rPr>
      </w:pPr>
    </w:p>
    <w:p w14:paraId="62067BF8" w14:textId="77777777" w:rsidR="00815F55" w:rsidRPr="00976797" w:rsidRDefault="00815F55" w:rsidP="00976797">
      <w:pPr>
        <w:pStyle w:val="Heading2"/>
        <w:rPr>
          <w:color w:val="000000" w:themeColor="text1"/>
        </w:rPr>
      </w:pPr>
      <w:bookmarkStart w:id="6" w:name="_Toc2147026918"/>
      <w:bookmarkStart w:id="7" w:name="_Toc1610287377"/>
      <w:bookmarkStart w:id="8" w:name="_Toc509277580"/>
      <w:r w:rsidRPr="45A2756A">
        <w:rPr>
          <w:color w:val="000000" w:themeColor="text1"/>
        </w:rPr>
        <w:t>Name</w:t>
      </w:r>
      <w:bookmarkEnd w:id="6"/>
      <w:bookmarkEnd w:id="7"/>
      <w:bookmarkEnd w:id="8"/>
    </w:p>
    <w:p w14:paraId="2DCEBD0D" w14:textId="77777777"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t>The theme "Wales to the World" is a great fit for a conference and exhibition on travel and tourism aimed at Welsh-based students on a number of levels. By conveying the idea of showcasing the world stage to a Welsh-speaking and based audience, it offers clarity and guarantees that potential attendees are aware of the event's goal and focus—all important considerations when creating an event title (</w:t>
      </w:r>
      <w:proofErr w:type="spellStart"/>
      <w:r w:rsidRPr="00A132B0">
        <w:rPr>
          <w:rFonts w:ascii="Arial" w:hAnsi="Arial" w:cs="Arial"/>
          <w:sz w:val="24"/>
          <w:szCs w:val="24"/>
        </w:rPr>
        <w:t>Officechai</w:t>
      </w:r>
      <w:proofErr w:type="spellEnd"/>
      <w:r w:rsidRPr="00A132B0">
        <w:rPr>
          <w:rFonts w:ascii="Arial" w:hAnsi="Arial" w:cs="Arial"/>
          <w:sz w:val="24"/>
          <w:szCs w:val="24"/>
        </w:rPr>
        <w:t>, 2023). Its importance is evident from the fact that it directly advances the objectives of the event, which are to promote Wales as a travel destination and to point out opportunities for international exploration. These objectives align with those of visit wales, the Welsh tourism website, and are crucial in attracting students who are willing to try a range of travel experiences (Visit Wales, 2023). Students who are interested in travel and cross-cultural relationships will find the name appealing because to its simplicity and aspirational quality, which should boost engagement and attendance.</w:t>
      </w:r>
    </w:p>
    <w:p w14:paraId="6F375B09" w14:textId="77777777" w:rsidR="00815F55" w:rsidRPr="00A132B0" w:rsidRDefault="00815F55" w:rsidP="00805BB3">
      <w:pPr>
        <w:spacing w:line="360" w:lineRule="auto"/>
        <w:jc w:val="both"/>
        <w:rPr>
          <w:rFonts w:ascii="Arial" w:hAnsi="Arial" w:cs="Arial"/>
          <w:sz w:val="24"/>
          <w:szCs w:val="24"/>
        </w:rPr>
      </w:pPr>
    </w:p>
    <w:p w14:paraId="39AC54C4" w14:textId="77777777" w:rsidR="00815F55" w:rsidRDefault="00815F55" w:rsidP="00805BB3">
      <w:pPr>
        <w:spacing w:line="360" w:lineRule="auto"/>
        <w:jc w:val="both"/>
        <w:rPr>
          <w:rFonts w:ascii="Arial" w:hAnsi="Arial" w:cs="Arial"/>
          <w:sz w:val="24"/>
          <w:szCs w:val="24"/>
        </w:rPr>
      </w:pPr>
      <w:r w:rsidRPr="00A132B0">
        <w:rPr>
          <w:rFonts w:ascii="Arial" w:hAnsi="Arial" w:cs="Arial"/>
          <w:sz w:val="24"/>
          <w:szCs w:val="24"/>
        </w:rPr>
        <w:t>Its memorability also ensures that it remains engrained in the minds of potential participants, helping with event promotion and attendance—both of which are essential to the event's success and importance (</w:t>
      </w:r>
      <w:proofErr w:type="spellStart"/>
      <w:r w:rsidRPr="00A132B0">
        <w:rPr>
          <w:rFonts w:ascii="Arial" w:hAnsi="Arial" w:cs="Arial"/>
          <w:sz w:val="24"/>
          <w:szCs w:val="24"/>
        </w:rPr>
        <w:t>Samu</w:t>
      </w:r>
      <w:proofErr w:type="spellEnd"/>
      <w:r w:rsidRPr="00A132B0">
        <w:rPr>
          <w:rFonts w:ascii="Arial" w:hAnsi="Arial" w:cs="Arial"/>
          <w:sz w:val="24"/>
          <w:szCs w:val="24"/>
        </w:rPr>
        <w:t xml:space="preserve"> &amp; </w:t>
      </w:r>
      <w:proofErr w:type="spellStart"/>
      <w:r w:rsidRPr="00A132B0">
        <w:rPr>
          <w:rFonts w:ascii="Arial" w:hAnsi="Arial" w:cs="Arial"/>
          <w:sz w:val="24"/>
          <w:szCs w:val="24"/>
        </w:rPr>
        <w:t>Krishnan</w:t>
      </w:r>
      <w:proofErr w:type="spellEnd"/>
      <w:r w:rsidRPr="00A132B0">
        <w:rPr>
          <w:rFonts w:ascii="Arial" w:hAnsi="Arial" w:cs="Arial"/>
          <w:sz w:val="24"/>
          <w:szCs w:val="24"/>
        </w:rPr>
        <w:t xml:space="preserve">, 2009). By emphasising Wales' global connection, which promotes a sense of global perspective </w:t>
      </w:r>
      <w:r w:rsidRPr="00A132B0">
        <w:rPr>
          <w:rFonts w:ascii="Arial" w:hAnsi="Arial" w:cs="Arial"/>
          <w:sz w:val="24"/>
          <w:szCs w:val="24"/>
        </w:rPr>
        <w:lastRenderedPageBreak/>
        <w:t>and appeals to students seeking a range of travel experiences, the event's name broadens its appeal and reach. Additionally, the name's implied inclusion fosters a welcoming culture that welcomes participation from individuals from various backgrounds, which is crucial for developing a diverse and stimulating event setting (APS,2023).</w:t>
      </w:r>
    </w:p>
    <w:p w14:paraId="0D20285F" w14:textId="77777777" w:rsidR="00580EA2" w:rsidRPr="00A132B0" w:rsidRDefault="00580EA2" w:rsidP="00805BB3">
      <w:pPr>
        <w:spacing w:line="360" w:lineRule="auto"/>
        <w:jc w:val="both"/>
        <w:rPr>
          <w:rFonts w:ascii="Arial" w:hAnsi="Arial" w:cs="Arial"/>
          <w:sz w:val="24"/>
          <w:szCs w:val="24"/>
        </w:rPr>
      </w:pPr>
    </w:p>
    <w:p w14:paraId="233CBDA5" w14:textId="77777777"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t>All in all, "Wales to the World" is a compelling and effective choice that embodies the essence of the occasion and motivates students to travel both domestically and internationally, fulfilling its objective of promoting tourism and intercultural interchange in Wales.</w:t>
      </w:r>
    </w:p>
    <w:p w14:paraId="6C441FA2" w14:textId="77777777" w:rsidR="00815F55" w:rsidRDefault="00815F55" w:rsidP="00805BB3">
      <w:pPr>
        <w:spacing w:line="360" w:lineRule="auto"/>
        <w:jc w:val="both"/>
        <w:rPr>
          <w:rFonts w:ascii="Arial" w:hAnsi="Arial" w:cs="Arial"/>
          <w:sz w:val="24"/>
          <w:szCs w:val="24"/>
        </w:rPr>
      </w:pPr>
    </w:p>
    <w:p w14:paraId="59B27A42" w14:textId="77777777" w:rsidR="00580EA2" w:rsidRPr="00A132B0" w:rsidRDefault="00580EA2" w:rsidP="00805BB3">
      <w:pPr>
        <w:spacing w:line="360" w:lineRule="auto"/>
        <w:jc w:val="both"/>
        <w:rPr>
          <w:rFonts w:ascii="Arial" w:hAnsi="Arial" w:cs="Arial"/>
          <w:sz w:val="24"/>
          <w:szCs w:val="24"/>
        </w:rPr>
      </w:pPr>
    </w:p>
    <w:p w14:paraId="0C7E68A4" w14:textId="77777777" w:rsidR="00815F55" w:rsidRPr="008D3D82" w:rsidRDefault="00815F55" w:rsidP="00976797">
      <w:pPr>
        <w:pStyle w:val="Heading2"/>
        <w:rPr>
          <w:color w:val="000000" w:themeColor="text1"/>
        </w:rPr>
      </w:pPr>
      <w:bookmarkStart w:id="9" w:name="_Toc631570352"/>
      <w:bookmarkStart w:id="10" w:name="_Toc1846085283"/>
      <w:bookmarkStart w:id="11" w:name="_Toc1635005856"/>
      <w:r w:rsidRPr="45A2756A">
        <w:rPr>
          <w:color w:val="000000" w:themeColor="text1"/>
        </w:rPr>
        <w:t>Date</w:t>
      </w:r>
      <w:bookmarkEnd w:id="9"/>
      <w:bookmarkEnd w:id="10"/>
      <w:bookmarkEnd w:id="11"/>
    </w:p>
    <w:p w14:paraId="68810683" w14:textId="7B09AF2D" w:rsidR="00815F55" w:rsidRPr="00A132B0" w:rsidRDefault="00815F55" w:rsidP="00805BB3">
      <w:pPr>
        <w:spacing w:line="360" w:lineRule="auto"/>
        <w:jc w:val="both"/>
        <w:rPr>
          <w:rFonts w:ascii="Arial" w:hAnsi="Arial" w:cs="Arial"/>
          <w:sz w:val="24"/>
          <w:szCs w:val="24"/>
        </w:rPr>
      </w:pPr>
      <w:r w:rsidRPr="45A2756A">
        <w:rPr>
          <w:rFonts w:ascii="Arial" w:hAnsi="Arial" w:cs="Arial"/>
          <w:sz w:val="24"/>
          <w:szCs w:val="24"/>
        </w:rPr>
        <w:t xml:space="preserve">February 27, </w:t>
      </w:r>
      <w:r w:rsidR="523852BF" w:rsidRPr="45A2756A">
        <w:rPr>
          <w:rFonts w:ascii="Arial" w:hAnsi="Arial" w:cs="Arial"/>
          <w:sz w:val="24"/>
          <w:szCs w:val="24"/>
        </w:rPr>
        <w:t>2024,</w:t>
      </w:r>
      <w:r w:rsidRPr="45A2756A">
        <w:rPr>
          <w:rFonts w:ascii="Arial" w:hAnsi="Arial" w:cs="Arial"/>
          <w:sz w:val="24"/>
          <w:szCs w:val="24"/>
        </w:rPr>
        <w:t xml:space="preserve"> is a potential date for an event that Welsh schoolchildren could participate in. But its applicability depends on several factors that need to be carefully considered. Despite the unpredictability of February weather, research indicates that the weather should be appropriate for a primarily indoor event, which should ease concerns about attendance (</w:t>
      </w:r>
      <w:proofErr w:type="spellStart"/>
      <w:r w:rsidRPr="45A2756A">
        <w:rPr>
          <w:rFonts w:ascii="Arial" w:hAnsi="Arial" w:cs="Arial"/>
          <w:sz w:val="24"/>
          <w:szCs w:val="24"/>
        </w:rPr>
        <w:t>weatherspark,2024</w:t>
      </w:r>
      <w:proofErr w:type="spellEnd"/>
      <w:r w:rsidRPr="45A2756A">
        <w:rPr>
          <w:rFonts w:ascii="Arial" w:hAnsi="Arial" w:cs="Arial"/>
          <w:sz w:val="24"/>
          <w:szCs w:val="24"/>
        </w:rPr>
        <w:t>). Moreover, no school-related events are scheduled for that day, which raises the possibility that students may be available (Gov.Wales,2023). Furthermore, the chosen site is available, eliminating any chance of scheduling problems. However, proper planning and communication with schools and students are crucial to maximising participation and ensuring the event's success.</w:t>
      </w:r>
    </w:p>
    <w:p w14:paraId="4D03BFC2" w14:textId="77777777" w:rsidR="00815F55" w:rsidRDefault="00815F55" w:rsidP="00805BB3">
      <w:pPr>
        <w:spacing w:line="360" w:lineRule="auto"/>
        <w:jc w:val="both"/>
        <w:rPr>
          <w:rFonts w:ascii="Arial" w:hAnsi="Arial" w:cs="Arial"/>
          <w:sz w:val="24"/>
          <w:szCs w:val="24"/>
        </w:rPr>
      </w:pPr>
    </w:p>
    <w:p w14:paraId="0C59D7F3" w14:textId="77777777" w:rsidR="00580EA2" w:rsidRPr="00A132B0" w:rsidRDefault="00580EA2" w:rsidP="00805BB3">
      <w:pPr>
        <w:spacing w:line="360" w:lineRule="auto"/>
        <w:jc w:val="both"/>
        <w:rPr>
          <w:rFonts w:ascii="Arial" w:hAnsi="Arial" w:cs="Arial"/>
          <w:sz w:val="24"/>
          <w:szCs w:val="24"/>
        </w:rPr>
      </w:pPr>
    </w:p>
    <w:p w14:paraId="23E05310" w14:textId="77777777" w:rsidR="00815F55" w:rsidRPr="008D3D82" w:rsidRDefault="00815F55" w:rsidP="008D3D82">
      <w:pPr>
        <w:pStyle w:val="Heading2"/>
        <w:rPr>
          <w:color w:val="000000" w:themeColor="text1"/>
        </w:rPr>
      </w:pPr>
      <w:bookmarkStart w:id="12" w:name="_Toc1356092891"/>
      <w:bookmarkStart w:id="13" w:name="_Toc35473090"/>
      <w:bookmarkStart w:id="14" w:name="_Toc10228354"/>
      <w:r w:rsidRPr="45A2756A">
        <w:rPr>
          <w:color w:val="000000" w:themeColor="text1"/>
        </w:rPr>
        <w:t>Location</w:t>
      </w:r>
      <w:bookmarkEnd w:id="12"/>
      <w:bookmarkEnd w:id="13"/>
      <w:bookmarkEnd w:id="14"/>
    </w:p>
    <w:p w14:paraId="6FDF61A1" w14:textId="7915831D" w:rsidR="00815F55" w:rsidRDefault="00815F55" w:rsidP="00805BB3">
      <w:pPr>
        <w:spacing w:line="360" w:lineRule="auto"/>
        <w:jc w:val="both"/>
        <w:rPr>
          <w:rFonts w:ascii="Arial" w:hAnsi="Arial" w:cs="Arial"/>
          <w:sz w:val="24"/>
          <w:szCs w:val="24"/>
        </w:rPr>
      </w:pPr>
      <w:r w:rsidRPr="00A132B0">
        <w:rPr>
          <w:rFonts w:ascii="Arial" w:hAnsi="Arial" w:cs="Arial"/>
          <w:sz w:val="24"/>
          <w:szCs w:val="24"/>
        </w:rPr>
        <w:t>The ambience of a conference is greatly influenced by the venue that is selected (locations direct,2023). Swansea Arena is a shining example of a conference and exhibition venue that excels in every aspect that contributes to its effectiveness. Swansea Arena (2023) has a history of hosting several well-attended conferences, including several conferences. Its prominent location in Swansea's downtown ensures exposure and importance throughout the city while also making participation simple. Not only that, but the arena's proximity to major transportation hubs—like train stations and bus lines—makes travelling convenient for both local visitors and visitors from outside the area. </w:t>
      </w:r>
    </w:p>
    <w:p w14:paraId="33BF3BCE" w14:textId="77777777" w:rsidR="00251409" w:rsidRPr="00A132B0" w:rsidRDefault="00251409" w:rsidP="00805BB3">
      <w:pPr>
        <w:spacing w:line="360" w:lineRule="auto"/>
        <w:jc w:val="both"/>
        <w:rPr>
          <w:rFonts w:ascii="Arial" w:hAnsi="Arial" w:cs="Arial"/>
          <w:sz w:val="24"/>
          <w:szCs w:val="24"/>
        </w:rPr>
      </w:pPr>
    </w:p>
    <w:p w14:paraId="67B14F01" w14:textId="4A6620DB" w:rsidR="00815F55" w:rsidRDefault="00815F55" w:rsidP="00805BB3">
      <w:pPr>
        <w:spacing w:line="360" w:lineRule="auto"/>
        <w:jc w:val="both"/>
        <w:rPr>
          <w:rFonts w:ascii="Arial" w:hAnsi="Arial" w:cs="Arial"/>
          <w:sz w:val="24"/>
          <w:szCs w:val="24"/>
        </w:rPr>
      </w:pPr>
      <w:r w:rsidRPr="00A132B0">
        <w:rPr>
          <w:rFonts w:ascii="Arial" w:hAnsi="Arial" w:cs="Arial"/>
          <w:sz w:val="24"/>
          <w:szCs w:val="24"/>
        </w:rPr>
        <w:t>Upon arrival, guests are welcomed into a modern, welcoming area equipped with a range of amenities tailored to meet the specific needs of both hosts and participants. Modern audiovisual technology, well-designed conference rooms, and spacious exhibition halls all combine to provide a dynamic environment that is perfect for memorable presentations and productive discussions. The ability of the facility to readily host events of various sizes and formats—from banquets for 750 people to huge industrial conferences or specialised trade fairs with a capacity of 3500—is one of its main features (Swansea Arena, 2023). Its flexible arrangement options allow for smooth activity transitions, resulting in an energetic and captivating atmosphere that permeates the whole event. </w:t>
      </w:r>
    </w:p>
    <w:p w14:paraId="735FC8A7" w14:textId="77777777" w:rsidR="00251409" w:rsidRPr="00A132B0" w:rsidRDefault="00251409" w:rsidP="00805BB3">
      <w:pPr>
        <w:spacing w:line="360" w:lineRule="auto"/>
        <w:jc w:val="both"/>
        <w:rPr>
          <w:rFonts w:ascii="Arial" w:hAnsi="Arial" w:cs="Arial"/>
          <w:sz w:val="24"/>
          <w:szCs w:val="24"/>
        </w:rPr>
      </w:pPr>
    </w:p>
    <w:p w14:paraId="1830BA66" w14:textId="77777777"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t>In conclusion, Swansea Arena is a great choice for conferences and exhibits because it blends great service, flexibility, and convenience to create an atmosphere that makes an event memorable and successful.</w:t>
      </w:r>
    </w:p>
    <w:p w14:paraId="206B9726" w14:textId="77777777" w:rsidR="00815F55" w:rsidRDefault="00815F55" w:rsidP="00805BB3">
      <w:pPr>
        <w:spacing w:line="360" w:lineRule="auto"/>
        <w:jc w:val="both"/>
        <w:rPr>
          <w:rFonts w:ascii="Arial" w:hAnsi="Arial" w:cs="Arial"/>
          <w:sz w:val="24"/>
          <w:szCs w:val="24"/>
        </w:rPr>
      </w:pPr>
    </w:p>
    <w:p w14:paraId="389F12BD" w14:textId="77777777" w:rsidR="00580EA2" w:rsidRPr="00A132B0" w:rsidRDefault="00580EA2" w:rsidP="00805BB3">
      <w:pPr>
        <w:spacing w:line="360" w:lineRule="auto"/>
        <w:jc w:val="both"/>
        <w:rPr>
          <w:rFonts w:ascii="Arial" w:hAnsi="Arial" w:cs="Arial"/>
          <w:sz w:val="24"/>
          <w:szCs w:val="24"/>
        </w:rPr>
      </w:pPr>
    </w:p>
    <w:p w14:paraId="5A925A34" w14:textId="77777777" w:rsidR="00815F55" w:rsidRPr="00544989" w:rsidRDefault="00815F55" w:rsidP="00544989">
      <w:pPr>
        <w:pStyle w:val="Heading2"/>
        <w:rPr>
          <w:color w:val="000000" w:themeColor="text1"/>
        </w:rPr>
      </w:pPr>
      <w:bookmarkStart w:id="15" w:name="_Toc1464435591"/>
      <w:bookmarkStart w:id="16" w:name="_Toc2006541903"/>
      <w:bookmarkStart w:id="17" w:name="_Toc985566844"/>
      <w:r w:rsidRPr="45A2756A">
        <w:rPr>
          <w:color w:val="000000" w:themeColor="text1"/>
        </w:rPr>
        <w:t>Purpose</w:t>
      </w:r>
      <w:bookmarkEnd w:id="15"/>
      <w:bookmarkEnd w:id="16"/>
      <w:bookmarkEnd w:id="17"/>
    </w:p>
    <w:p w14:paraId="3B9B6F15" w14:textId="77777777"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t>The purpose of hosting a travel and tourism conference and careers fair for students in Swansea is crucial for both the local community and the students themselves. Primarily, the event serves as a comprehensive platform for students to explore the diverse opportunities within the travel and tourism industry. By providing insights into various career paths, from hospitality management to ecotourism, the fair empowers students to make informed decisions about their future careers. The connection between education and tourism is seen to be highly advantageous in the modern industry and therefore the dynamic of the event is one of clear effectiveness (Glover, 2011). Moreover, it facilitates direct interaction with industry professionals, allowing students to gain valuable advice, mentorship, and networking opportunities (</w:t>
      </w:r>
      <w:proofErr w:type="spellStart"/>
      <w:r w:rsidRPr="00A132B0">
        <w:rPr>
          <w:rFonts w:ascii="Arial" w:hAnsi="Arial" w:cs="Arial"/>
          <w:sz w:val="24"/>
          <w:szCs w:val="24"/>
        </w:rPr>
        <w:t>Gharehbaghi</w:t>
      </w:r>
      <w:proofErr w:type="spellEnd"/>
      <w:r w:rsidRPr="00A132B0">
        <w:rPr>
          <w:rFonts w:ascii="Arial" w:hAnsi="Arial" w:cs="Arial"/>
          <w:sz w:val="24"/>
          <w:szCs w:val="24"/>
        </w:rPr>
        <w:t xml:space="preserve">, 2015). Beyond personal professional goals, Swansea's wider economic growth is aided by the conference and fair, which present the city as a vibrant centre for jobs and education in the tourism industry. Furthermore, the occasion encourages cooperation between corporations, governmental organisations, and educational establishments like Trinity Saint David's University of Wales, which propels innovation and encourages sustainable practices in the sector (UWTSD, </w:t>
      </w:r>
      <w:r w:rsidRPr="00A132B0">
        <w:rPr>
          <w:rFonts w:ascii="Arial" w:hAnsi="Arial" w:cs="Arial"/>
          <w:sz w:val="24"/>
          <w:szCs w:val="24"/>
        </w:rPr>
        <w:lastRenderedPageBreak/>
        <w:t>2024). In the end, Swansea's thriving tourist industry benefits greatly from the travel and tourism conference and careers fair, which are essential in developing the next generation of professionals and leaders.</w:t>
      </w:r>
    </w:p>
    <w:p w14:paraId="55014B93" w14:textId="77777777" w:rsidR="00815F55" w:rsidRDefault="00815F55" w:rsidP="00805BB3">
      <w:pPr>
        <w:spacing w:line="360" w:lineRule="auto"/>
        <w:jc w:val="both"/>
        <w:rPr>
          <w:rFonts w:ascii="Arial" w:hAnsi="Arial" w:cs="Arial"/>
          <w:sz w:val="24"/>
          <w:szCs w:val="24"/>
        </w:rPr>
      </w:pPr>
    </w:p>
    <w:p w14:paraId="6819E630" w14:textId="77777777" w:rsidR="00580EA2" w:rsidRPr="00A132B0" w:rsidRDefault="00580EA2" w:rsidP="00805BB3">
      <w:pPr>
        <w:spacing w:line="360" w:lineRule="auto"/>
        <w:jc w:val="both"/>
        <w:rPr>
          <w:rFonts w:ascii="Arial" w:hAnsi="Arial" w:cs="Arial"/>
          <w:sz w:val="24"/>
          <w:szCs w:val="24"/>
        </w:rPr>
      </w:pPr>
    </w:p>
    <w:p w14:paraId="2DBD232A" w14:textId="77777777" w:rsidR="00815F55" w:rsidRPr="00544989" w:rsidRDefault="00815F55" w:rsidP="00544989">
      <w:pPr>
        <w:pStyle w:val="Heading2"/>
        <w:rPr>
          <w:color w:val="000000" w:themeColor="text1"/>
        </w:rPr>
      </w:pPr>
      <w:bookmarkStart w:id="18" w:name="_Toc1692229184"/>
      <w:bookmarkStart w:id="19" w:name="_Toc1342611023"/>
      <w:bookmarkStart w:id="20" w:name="_Toc389153261"/>
      <w:r w:rsidRPr="45A2756A">
        <w:rPr>
          <w:color w:val="000000" w:themeColor="text1"/>
        </w:rPr>
        <w:t>Need</w:t>
      </w:r>
      <w:bookmarkEnd w:id="18"/>
      <w:bookmarkEnd w:id="19"/>
      <w:bookmarkEnd w:id="20"/>
    </w:p>
    <w:p w14:paraId="4BFAD727" w14:textId="16873D38" w:rsidR="00815F55" w:rsidRDefault="00815F55" w:rsidP="00805BB3">
      <w:pPr>
        <w:spacing w:line="360" w:lineRule="auto"/>
        <w:jc w:val="both"/>
        <w:rPr>
          <w:rFonts w:ascii="Arial" w:hAnsi="Arial" w:cs="Arial"/>
          <w:sz w:val="24"/>
          <w:szCs w:val="24"/>
        </w:rPr>
      </w:pPr>
      <w:r w:rsidRPr="45A2756A">
        <w:rPr>
          <w:rFonts w:ascii="Arial" w:hAnsi="Arial" w:cs="Arial"/>
          <w:sz w:val="24"/>
          <w:szCs w:val="24"/>
        </w:rPr>
        <w:t xml:space="preserve">To meet the rising need for opportunities and business insights, Swansea should host a careers fair and conference for travel and tourism students. Travel and tourism, one of the industries with the greatest rate of growth in the world, offers a wide range of career options, from event planning and hospitality to sustainable travel and travel technology. Additionally, research has demonstrated that the chance to get global and cross-cultural perspectives is one of the main ways that </w:t>
      </w:r>
      <w:r w:rsidR="2B97C938" w:rsidRPr="45A2756A">
        <w:rPr>
          <w:rFonts w:ascii="Arial" w:hAnsi="Arial" w:cs="Arial"/>
          <w:sz w:val="24"/>
          <w:szCs w:val="24"/>
        </w:rPr>
        <w:t>travel,</w:t>
      </w:r>
      <w:r w:rsidRPr="45A2756A">
        <w:rPr>
          <w:rFonts w:ascii="Arial" w:hAnsi="Arial" w:cs="Arial"/>
          <w:sz w:val="24"/>
          <w:szCs w:val="24"/>
        </w:rPr>
        <w:t xml:space="preserve"> and tourism assist a large number of students (</w:t>
      </w:r>
      <w:proofErr w:type="spellStart"/>
      <w:r w:rsidRPr="45A2756A">
        <w:rPr>
          <w:rFonts w:ascii="Arial" w:hAnsi="Arial" w:cs="Arial"/>
          <w:sz w:val="24"/>
          <w:szCs w:val="24"/>
        </w:rPr>
        <w:t>Lesjak</w:t>
      </w:r>
      <w:proofErr w:type="spellEnd"/>
      <w:r w:rsidRPr="45A2756A">
        <w:rPr>
          <w:rFonts w:ascii="Arial" w:hAnsi="Arial" w:cs="Arial"/>
          <w:sz w:val="24"/>
          <w:szCs w:val="24"/>
        </w:rPr>
        <w:t xml:space="preserve">, </w:t>
      </w:r>
      <w:proofErr w:type="spellStart"/>
      <w:r w:rsidRPr="45A2756A">
        <w:rPr>
          <w:rFonts w:ascii="Arial" w:hAnsi="Arial" w:cs="Arial"/>
          <w:sz w:val="24"/>
          <w:szCs w:val="24"/>
        </w:rPr>
        <w:t>Juvan</w:t>
      </w:r>
      <w:proofErr w:type="spellEnd"/>
      <w:r w:rsidRPr="45A2756A">
        <w:rPr>
          <w:rFonts w:ascii="Arial" w:hAnsi="Arial" w:cs="Arial"/>
          <w:sz w:val="24"/>
          <w:szCs w:val="24"/>
        </w:rPr>
        <w:t xml:space="preserve">, </w:t>
      </w:r>
      <w:proofErr w:type="spellStart"/>
      <w:r w:rsidRPr="45A2756A">
        <w:rPr>
          <w:rFonts w:ascii="Arial" w:hAnsi="Arial" w:cs="Arial"/>
          <w:sz w:val="24"/>
          <w:szCs w:val="24"/>
        </w:rPr>
        <w:t>Ineson</w:t>
      </w:r>
      <w:proofErr w:type="spellEnd"/>
      <w:r w:rsidRPr="45A2756A">
        <w:rPr>
          <w:rFonts w:ascii="Arial" w:hAnsi="Arial" w:cs="Arial"/>
          <w:sz w:val="24"/>
          <w:szCs w:val="24"/>
        </w:rPr>
        <w:t xml:space="preserve">, Yap, &amp; </w:t>
      </w:r>
      <w:proofErr w:type="spellStart"/>
      <w:r w:rsidRPr="45A2756A">
        <w:rPr>
          <w:rFonts w:ascii="Arial" w:hAnsi="Arial" w:cs="Arial"/>
          <w:sz w:val="24"/>
          <w:szCs w:val="24"/>
        </w:rPr>
        <w:t>Axelsson</w:t>
      </w:r>
      <w:proofErr w:type="spellEnd"/>
      <w:r w:rsidRPr="45A2756A">
        <w:rPr>
          <w:rFonts w:ascii="Arial" w:hAnsi="Arial" w:cs="Arial"/>
          <w:sz w:val="24"/>
          <w:szCs w:val="24"/>
        </w:rPr>
        <w:t>, 2015). Giving students access to this kind of platform not only gives them the freedom to consider a variety of career paths, but it also gives them the information and tools they need to make wise decisions about their future. Swansea is also a perfect place to highlight the breadth and depth of potential in the travel and tourism industry because of its distinctive position as a thriving coastal city with a rich cultural heritage and natural attractions (visitWales, 2024). This conference and careers fair can act as a catalyst for establishing connections, sparking innovation, and propelling the next generation of talent in the exciting field of travel and tourism by bringing together industry professionals, employers, educators, and aspirant students. Furthermore, this kind of event can be extremely important in positioning Swansea as a centre for training, education, and career development related to tourism, which will support the region's economic growth and vitality. </w:t>
      </w:r>
    </w:p>
    <w:p w14:paraId="711CC549" w14:textId="77777777" w:rsidR="00815F55" w:rsidRPr="00A132B0" w:rsidRDefault="00815F55" w:rsidP="00805BB3">
      <w:pPr>
        <w:spacing w:line="360" w:lineRule="auto"/>
        <w:jc w:val="both"/>
        <w:rPr>
          <w:rFonts w:ascii="Arial" w:hAnsi="Arial" w:cs="Arial"/>
          <w:sz w:val="24"/>
          <w:szCs w:val="24"/>
        </w:rPr>
      </w:pPr>
    </w:p>
    <w:p w14:paraId="77C984B7" w14:textId="77777777"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t>Conferences on travel and tourism are essential for bringing together experts, interested parties, and enthusiasts from many facets of the business (</w:t>
      </w:r>
      <w:proofErr w:type="spellStart"/>
      <w:r w:rsidRPr="00A132B0">
        <w:rPr>
          <w:rFonts w:ascii="Arial" w:hAnsi="Arial" w:cs="Arial"/>
          <w:sz w:val="24"/>
          <w:szCs w:val="24"/>
        </w:rPr>
        <w:t>Al-Badarneh</w:t>
      </w:r>
      <w:proofErr w:type="spellEnd"/>
      <w:r w:rsidRPr="00A132B0">
        <w:rPr>
          <w:rFonts w:ascii="Arial" w:hAnsi="Arial" w:cs="Arial"/>
          <w:sz w:val="24"/>
          <w:szCs w:val="24"/>
        </w:rPr>
        <w:t xml:space="preserve"> et al., 2023). It is imperative for event managers to comprehend the heterogeneous population that attends these conferences in order to customise sessions, networking opportunities, and content accordingly. A travel and tourism conference usually attracts a wide range of attendees, including academics, professionals, students, legislators, and international entrepreneurs. There is a great deal of variation in demographic traits such as age, gender, nationality, educational attainment, and work experience. A </w:t>
      </w:r>
      <w:r w:rsidRPr="00A132B0">
        <w:rPr>
          <w:rFonts w:ascii="Arial" w:hAnsi="Arial" w:cs="Arial"/>
          <w:sz w:val="24"/>
          <w:szCs w:val="24"/>
        </w:rPr>
        <w:lastRenderedPageBreak/>
        <w:t>shared love of travel and tourism links all guests, who can be young students considering their future possibilities or seasoned professionals looking for professional development opportunities.</w:t>
      </w:r>
    </w:p>
    <w:p w14:paraId="08F562C9" w14:textId="77777777" w:rsidR="00815F55" w:rsidRDefault="00815F55" w:rsidP="00805BB3">
      <w:pPr>
        <w:spacing w:line="360" w:lineRule="auto"/>
        <w:jc w:val="both"/>
        <w:rPr>
          <w:rFonts w:ascii="Arial" w:hAnsi="Arial" w:cs="Arial"/>
          <w:sz w:val="24"/>
          <w:szCs w:val="24"/>
        </w:rPr>
      </w:pPr>
    </w:p>
    <w:p w14:paraId="63DF5F87" w14:textId="77777777" w:rsidR="00580EA2" w:rsidRPr="00A132B0" w:rsidRDefault="00580EA2" w:rsidP="00805BB3">
      <w:pPr>
        <w:spacing w:line="360" w:lineRule="auto"/>
        <w:jc w:val="both"/>
        <w:rPr>
          <w:rFonts w:ascii="Arial" w:hAnsi="Arial" w:cs="Arial"/>
          <w:sz w:val="24"/>
          <w:szCs w:val="24"/>
        </w:rPr>
      </w:pPr>
    </w:p>
    <w:p w14:paraId="48DB67B3" w14:textId="77777777" w:rsidR="00815F55" w:rsidRPr="00A132B0" w:rsidRDefault="00815F55" w:rsidP="00805BB3">
      <w:pPr>
        <w:spacing w:line="360" w:lineRule="auto"/>
        <w:jc w:val="both"/>
        <w:rPr>
          <w:rFonts w:ascii="Arial" w:hAnsi="Arial" w:cs="Arial"/>
          <w:sz w:val="24"/>
          <w:szCs w:val="24"/>
        </w:rPr>
      </w:pPr>
      <w:bookmarkStart w:id="21" w:name="_Toc337220008"/>
      <w:bookmarkStart w:id="22" w:name="_Toc1106660815"/>
      <w:bookmarkStart w:id="23" w:name="_Toc884050164"/>
      <w:r w:rsidRPr="45A2756A">
        <w:rPr>
          <w:rStyle w:val="Heading2Char"/>
        </w:rPr>
        <w:t>Audience</w:t>
      </w:r>
      <w:bookmarkEnd w:id="21"/>
      <w:bookmarkEnd w:id="22"/>
      <w:bookmarkEnd w:id="23"/>
      <w:r w:rsidRPr="45A2756A">
        <w:rPr>
          <w:rFonts w:ascii="Arial" w:hAnsi="Arial" w:cs="Arial"/>
          <w:sz w:val="24"/>
          <w:szCs w:val="24"/>
        </w:rPr>
        <w:t xml:space="preserve"> </w:t>
      </w:r>
    </w:p>
    <w:p w14:paraId="24261E16" w14:textId="77777777"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t>Conference attendees in the travel and tourism business represent a wide spectrum of interests, a reflection of the complexity of this complicated industry. The demography of this conference is noticeably thicker in comparison because it is promoted as being for students, by students. Topics that may be of interest include destination management, environmentally conscious tourism strategies, hospitality practices, digital marketing strategies, cultural heritage preservation, adventure travel, and emerging technology such as virtual reality and artificial intelligence. Attendance is typically higher for seminars and workshops that offer insightful case studies, realistic strategies, and workable solutions that participants can apply to their coursework or professional lives. This broad range of topics aligns with the audience segmentation theory, which maintains that various audience members have unique needs, preferences, and interests and that tailored communication strategies are necessary to effectively engage them (Katz, 1959).</w:t>
      </w:r>
    </w:p>
    <w:p w14:paraId="655D0696" w14:textId="77777777" w:rsidR="00815F55" w:rsidRPr="00A132B0" w:rsidRDefault="00815F55" w:rsidP="00805BB3">
      <w:pPr>
        <w:spacing w:line="360" w:lineRule="auto"/>
        <w:jc w:val="both"/>
        <w:rPr>
          <w:rFonts w:ascii="Arial" w:hAnsi="Arial" w:cs="Arial"/>
          <w:sz w:val="24"/>
          <w:szCs w:val="24"/>
        </w:rPr>
      </w:pPr>
    </w:p>
    <w:p w14:paraId="3CD2851B" w14:textId="77777777" w:rsidR="00815F55" w:rsidRPr="00A132B0" w:rsidRDefault="00815F55" w:rsidP="00805BB3">
      <w:pPr>
        <w:spacing w:line="360" w:lineRule="auto"/>
        <w:jc w:val="both"/>
        <w:rPr>
          <w:rFonts w:ascii="Arial" w:hAnsi="Arial" w:cs="Arial"/>
          <w:sz w:val="24"/>
          <w:szCs w:val="24"/>
        </w:rPr>
      </w:pPr>
      <w:r w:rsidRPr="45A2756A">
        <w:rPr>
          <w:rFonts w:ascii="Arial" w:hAnsi="Arial" w:cs="Arial"/>
          <w:sz w:val="24"/>
          <w:szCs w:val="24"/>
        </w:rPr>
        <w:t>Attendees demand high standards from travel and tourism conferences; they want for experiences that provide value and make their time and money worthwhile. They anticipate stimulating panel discussions with a range of viewpoints, interactive workshops that promote skill development, and networking opportunities that enable deep connections and collaborative efforts, in addition to educational and captivating keynote addresses by prominent figures in the business. Attendees anticipate having access to state-of-the-art research, creative ideas, and useful tools that address present issues and potential prospects in the field. This is consistent with the idea of expectation theory, which postulates that people are driven to act in ways they anticipate will result in rewards or desirable outcomes (Vroom, 1964). Conference planners may improve attendee satisfaction and retention and build a positive reputation by providing participants with the valuable information and networking opportunities they anticipate.</w:t>
      </w:r>
    </w:p>
    <w:p w14:paraId="2AD4EADE" w14:textId="09DFA99A" w:rsidR="45A2756A" w:rsidRDefault="45A2756A" w:rsidP="45A2756A">
      <w:pPr>
        <w:spacing w:line="360" w:lineRule="auto"/>
        <w:jc w:val="both"/>
        <w:rPr>
          <w:rFonts w:ascii="Arial" w:hAnsi="Arial" w:cs="Arial"/>
          <w:sz w:val="24"/>
          <w:szCs w:val="24"/>
        </w:rPr>
      </w:pPr>
    </w:p>
    <w:p w14:paraId="734923C3" w14:textId="77777777" w:rsidR="00815F55" w:rsidRPr="00A132B0" w:rsidRDefault="00815F55" w:rsidP="00805BB3">
      <w:pPr>
        <w:spacing w:line="360" w:lineRule="auto"/>
        <w:jc w:val="both"/>
        <w:rPr>
          <w:rFonts w:ascii="Arial" w:hAnsi="Arial" w:cs="Arial"/>
          <w:sz w:val="24"/>
          <w:szCs w:val="24"/>
        </w:rPr>
      </w:pPr>
      <w:r w:rsidRPr="45A2756A">
        <w:rPr>
          <w:rFonts w:ascii="Arial" w:hAnsi="Arial" w:cs="Arial"/>
          <w:sz w:val="24"/>
          <w:szCs w:val="24"/>
        </w:rPr>
        <w:lastRenderedPageBreak/>
        <w:t xml:space="preserve">Organising a student conference on travel and tourism is a priceless chance to close the knowledge gap between academia and business, offering insights, professional development possibilities, and networking experiences. The potential of a travel and tourism conference to provide networking chances for students is one of its primary distinctive selling factors. Leading company representatives may provide personal knowledge about market trends, career trajectories, and professional development opportunities. Students can develop their professional networks, find mentors, and investigate potential career options in the travel and tourism business by engaging with industry leaders (Social Exchange Theory; </w:t>
      </w:r>
      <w:proofErr w:type="spellStart"/>
      <w:r w:rsidRPr="45A2756A">
        <w:rPr>
          <w:rFonts w:ascii="Arial" w:hAnsi="Arial" w:cs="Arial"/>
          <w:sz w:val="24"/>
          <w:szCs w:val="24"/>
        </w:rPr>
        <w:t>Granovetter</w:t>
      </w:r>
      <w:proofErr w:type="spellEnd"/>
      <w:r w:rsidRPr="45A2756A">
        <w:rPr>
          <w:rFonts w:ascii="Arial" w:hAnsi="Arial" w:cs="Arial"/>
          <w:sz w:val="24"/>
          <w:szCs w:val="24"/>
        </w:rPr>
        <w:t>, 1973; Burt, 1992).</w:t>
      </w:r>
    </w:p>
    <w:p w14:paraId="0B26D43D" w14:textId="3E82ADFB" w:rsidR="45A2756A" w:rsidRDefault="45A2756A" w:rsidP="45A2756A">
      <w:pPr>
        <w:spacing w:line="360" w:lineRule="auto"/>
        <w:jc w:val="both"/>
        <w:rPr>
          <w:rFonts w:ascii="Arial" w:hAnsi="Arial" w:cs="Arial"/>
          <w:sz w:val="24"/>
          <w:szCs w:val="24"/>
        </w:rPr>
      </w:pPr>
    </w:p>
    <w:p w14:paraId="57EDF091" w14:textId="77777777" w:rsidR="00815F55" w:rsidRDefault="00815F55" w:rsidP="00805BB3">
      <w:pPr>
        <w:spacing w:line="360" w:lineRule="auto"/>
        <w:jc w:val="both"/>
        <w:rPr>
          <w:rFonts w:ascii="Arial" w:hAnsi="Arial" w:cs="Arial"/>
          <w:sz w:val="24"/>
          <w:szCs w:val="24"/>
        </w:rPr>
      </w:pPr>
      <w:r w:rsidRPr="00A132B0">
        <w:rPr>
          <w:rFonts w:ascii="Arial" w:hAnsi="Arial" w:cs="Arial"/>
          <w:sz w:val="24"/>
          <w:szCs w:val="24"/>
        </w:rPr>
        <w:t xml:space="preserve">Students can network and gain practical insights from industry experts through case studies and attendance at travel and tourism conferences. Through experiential learning with case studies, students' understanding of real-world issues and industry solutions is strengthened. Academic institutions can provide insights into good customer service and ecologically sustainable tourism practices, while industry leaders can share successful strategies. By applying theoretical ideas to actual situations and industry best practices, students can get ready for careers in the travel and tourism sector by developing their critical thinking skills (Experiential Learning Theory; </w:t>
      </w:r>
      <w:proofErr w:type="spellStart"/>
      <w:r w:rsidRPr="00A132B0">
        <w:rPr>
          <w:rFonts w:ascii="Arial" w:hAnsi="Arial" w:cs="Arial"/>
          <w:sz w:val="24"/>
          <w:szCs w:val="24"/>
        </w:rPr>
        <w:t>Kolb</w:t>
      </w:r>
      <w:proofErr w:type="spellEnd"/>
      <w:r w:rsidRPr="00A132B0">
        <w:rPr>
          <w:rFonts w:ascii="Arial" w:hAnsi="Arial" w:cs="Arial"/>
          <w:sz w:val="24"/>
          <w:szCs w:val="24"/>
        </w:rPr>
        <w:t>, 1984).</w:t>
      </w:r>
    </w:p>
    <w:p w14:paraId="158CB54F" w14:textId="77777777" w:rsidR="00580EA2" w:rsidRPr="00A132B0" w:rsidRDefault="00580EA2" w:rsidP="00805BB3">
      <w:pPr>
        <w:spacing w:line="360" w:lineRule="auto"/>
        <w:jc w:val="both"/>
        <w:rPr>
          <w:rFonts w:ascii="Arial" w:hAnsi="Arial" w:cs="Arial"/>
          <w:sz w:val="24"/>
          <w:szCs w:val="24"/>
        </w:rPr>
      </w:pPr>
    </w:p>
    <w:p w14:paraId="5E32C6C3" w14:textId="77777777" w:rsidR="00815F55" w:rsidRDefault="00815F55" w:rsidP="00805BB3">
      <w:pPr>
        <w:spacing w:line="360" w:lineRule="auto"/>
        <w:jc w:val="both"/>
        <w:rPr>
          <w:rFonts w:ascii="Arial" w:hAnsi="Arial" w:cs="Arial"/>
          <w:sz w:val="24"/>
          <w:szCs w:val="24"/>
        </w:rPr>
      </w:pPr>
      <w:r w:rsidRPr="00A132B0">
        <w:rPr>
          <w:rFonts w:ascii="Arial" w:hAnsi="Arial" w:cs="Arial"/>
          <w:sz w:val="24"/>
          <w:szCs w:val="24"/>
        </w:rPr>
        <w:t xml:space="preserve">In order to actively include students, a conference on travel and tourism may also include interactive workshops and panel discussions. Engaging students in interactive learning environments enhances their memory of material. Professionals from the sector may provide workshops on subjects like destination marketing, emerging trends in digital tourism, and cultural sensitivity in hospitality. Students have the opportunity to ask questions, participate in dialogue, and receive diversified insights into the potential and difficulties within the travel and tourism sector through panel discussions incorporating diverse perspectives from industry professionals (Constructivism; </w:t>
      </w:r>
      <w:proofErr w:type="spellStart"/>
      <w:r w:rsidRPr="00A132B0">
        <w:rPr>
          <w:rFonts w:ascii="Arial" w:hAnsi="Arial" w:cs="Arial"/>
          <w:sz w:val="24"/>
          <w:szCs w:val="24"/>
        </w:rPr>
        <w:t>Vygotsky</w:t>
      </w:r>
      <w:proofErr w:type="spellEnd"/>
      <w:r w:rsidRPr="00A132B0">
        <w:rPr>
          <w:rFonts w:ascii="Arial" w:hAnsi="Arial" w:cs="Arial"/>
          <w:sz w:val="24"/>
          <w:szCs w:val="24"/>
        </w:rPr>
        <w:t xml:space="preserve">, 1978; </w:t>
      </w:r>
      <w:proofErr w:type="spellStart"/>
      <w:r w:rsidRPr="00A132B0">
        <w:rPr>
          <w:rFonts w:ascii="Arial" w:hAnsi="Arial" w:cs="Arial"/>
          <w:sz w:val="24"/>
          <w:szCs w:val="24"/>
        </w:rPr>
        <w:t>Rogoff</w:t>
      </w:r>
      <w:proofErr w:type="spellEnd"/>
      <w:r w:rsidRPr="00A132B0">
        <w:rPr>
          <w:rFonts w:ascii="Arial" w:hAnsi="Arial" w:cs="Arial"/>
          <w:sz w:val="24"/>
          <w:szCs w:val="24"/>
        </w:rPr>
        <w:t>, 1990). </w:t>
      </w:r>
    </w:p>
    <w:p w14:paraId="707AC4AC" w14:textId="77777777" w:rsidR="00580EA2" w:rsidRPr="00A132B0" w:rsidRDefault="00580EA2" w:rsidP="00805BB3">
      <w:pPr>
        <w:spacing w:line="360" w:lineRule="auto"/>
        <w:jc w:val="both"/>
        <w:rPr>
          <w:rFonts w:ascii="Arial" w:hAnsi="Arial" w:cs="Arial"/>
          <w:sz w:val="24"/>
          <w:szCs w:val="24"/>
        </w:rPr>
      </w:pPr>
    </w:p>
    <w:p w14:paraId="5D0009BE" w14:textId="77777777"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t xml:space="preserve">A travel and tourism conference can serve as a platform for destination marketing and cross-cultural learning. Cultural experiences, which are fundamental to the tourism offering, influence the perceptions and preferences of travellers (Gartner, 1993). Representatives can market the region as a booming tourism destination by utilising </w:t>
      </w:r>
      <w:r w:rsidRPr="00A132B0">
        <w:rPr>
          <w:rFonts w:ascii="Arial" w:hAnsi="Arial" w:cs="Arial"/>
          <w:sz w:val="24"/>
          <w:szCs w:val="24"/>
        </w:rPr>
        <w:lastRenderedPageBreak/>
        <w:t>its unique assets, cultural legacy, and culinary experiences (Ritchie &amp; Crouch, 2003). Through immersion activities like culinary demos, local excursions, and cultural performances, students can gain a deeper knowledge of the richness and complexity of travel experiences as well as a sense of pride in their local community. </w:t>
      </w:r>
      <w:r w:rsidRPr="00A132B0">
        <w:rPr>
          <w:rFonts w:ascii="Arial" w:hAnsi="Arial" w:cs="Arial"/>
          <w:sz w:val="24"/>
          <w:szCs w:val="24"/>
        </w:rPr>
        <w:br/>
      </w:r>
    </w:p>
    <w:p w14:paraId="6582B53B" w14:textId="30D7E376" w:rsidR="00815F55" w:rsidRDefault="00815F55" w:rsidP="00805BB3">
      <w:pPr>
        <w:spacing w:line="360" w:lineRule="auto"/>
        <w:jc w:val="both"/>
        <w:rPr>
          <w:rFonts w:ascii="Arial" w:hAnsi="Arial" w:cs="Arial"/>
          <w:sz w:val="24"/>
          <w:szCs w:val="24"/>
        </w:rPr>
      </w:pPr>
      <w:r w:rsidRPr="00A132B0">
        <w:rPr>
          <w:rFonts w:ascii="Arial" w:hAnsi="Arial" w:cs="Arial"/>
          <w:sz w:val="24"/>
          <w:szCs w:val="24"/>
        </w:rPr>
        <w:t>Numerous unique selling factors are available during a travel and tourism conference to improve student participation. Interactive lectures, opportunities for cultural immersion, networking opportunities, and useful insights are some of these components. By collaborating with experts in the field, this conference can provide students with invaluable information, abilities, and contacts that they will need for future success in the rapidly evolving travel and tourism sector (Ritchie &amp; Ritchie, 1998). Through theoretical frameworks and practical applications, this research demonstrates the transformative effect of a travel and tourism conference in shaping the upcoming generation of industry professionals. </w:t>
      </w:r>
    </w:p>
    <w:p w14:paraId="138AF6D4" w14:textId="77777777" w:rsidR="00580EA2" w:rsidRPr="00A132B0" w:rsidRDefault="00580EA2" w:rsidP="00805BB3">
      <w:pPr>
        <w:spacing w:line="360" w:lineRule="auto"/>
        <w:jc w:val="both"/>
        <w:rPr>
          <w:rFonts w:ascii="Arial" w:hAnsi="Arial" w:cs="Arial"/>
          <w:sz w:val="24"/>
          <w:szCs w:val="24"/>
        </w:rPr>
      </w:pPr>
    </w:p>
    <w:p w14:paraId="626F9842" w14:textId="77777777" w:rsidR="00815F55" w:rsidRPr="00A132B0" w:rsidRDefault="00815F55" w:rsidP="00805BB3">
      <w:pPr>
        <w:spacing w:line="360" w:lineRule="auto"/>
        <w:jc w:val="both"/>
        <w:rPr>
          <w:rFonts w:ascii="Arial" w:hAnsi="Arial" w:cs="Arial"/>
          <w:sz w:val="24"/>
          <w:szCs w:val="24"/>
        </w:rPr>
      </w:pPr>
    </w:p>
    <w:p w14:paraId="6E311788" w14:textId="77777777" w:rsidR="00815F55" w:rsidRPr="00A132B0" w:rsidRDefault="00815F55" w:rsidP="45A2756A">
      <w:pPr>
        <w:pStyle w:val="Heading2"/>
      </w:pPr>
      <w:bookmarkStart w:id="24" w:name="_Toc443014483"/>
      <w:bookmarkStart w:id="25" w:name="_Toc1917699552"/>
      <w:bookmarkStart w:id="26" w:name="_Toc896511009"/>
      <w:r w:rsidRPr="45A2756A">
        <w:t>USP</w:t>
      </w:r>
      <w:bookmarkEnd w:id="24"/>
      <w:bookmarkEnd w:id="25"/>
      <w:bookmarkEnd w:id="26"/>
    </w:p>
    <w:p w14:paraId="6C60AA66" w14:textId="552BEC12" w:rsidR="00815F55" w:rsidRDefault="00815F55" w:rsidP="00805BB3">
      <w:pPr>
        <w:spacing w:line="360" w:lineRule="auto"/>
        <w:jc w:val="both"/>
        <w:rPr>
          <w:rFonts w:ascii="Arial" w:hAnsi="Arial" w:cs="Arial"/>
          <w:sz w:val="24"/>
          <w:szCs w:val="24"/>
        </w:rPr>
      </w:pPr>
      <w:r w:rsidRPr="00A132B0">
        <w:rPr>
          <w:rFonts w:ascii="Arial" w:hAnsi="Arial" w:cs="Arial"/>
          <w:sz w:val="24"/>
          <w:szCs w:val="24"/>
        </w:rPr>
        <w:t>The ITT Wales to the World Conference distinguishes itself as a premier event for professionals and students alike with a remarkable lineup of industry leaders. With speakers from esteemed companies like TUI, Royal Caribbean, Events Wales, and The Institute of Hospitality, participants gain unique insights from a broad spectrum of experts with experience in the travel and tourism industry (Freeman, 1984). Because so many different viewpoints are available, it is possible to thoroughly analyse the industry's present patterns and potential futures. </w:t>
      </w:r>
    </w:p>
    <w:p w14:paraId="1FD41C51" w14:textId="77777777" w:rsidR="00580EA2" w:rsidRPr="00A132B0" w:rsidRDefault="00580EA2" w:rsidP="00805BB3">
      <w:pPr>
        <w:spacing w:line="360" w:lineRule="auto"/>
        <w:jc w:val="both"/>
        <w:rPr>
          <w:rFonts w:ascii="Arial" w:hAnsi="Arial" w:cs="Arial"/>
          <w:sz w:val="24"/>
          <w:szCs w:val="24"/>
        </w:rPr>
      </w:pPr>
    </w:p>
    <w:p w14:paraId="232554B6" w14:textId="5B10A84A" w:rsidR="00580EA2" w:rsidRDefault="00815F55" w:rsidP="00805BB3">
      <w:pPr>
        <w:spacing w:line="360" w:lineRule="auto"/>
        <w:jc w:val="both"/>
        <w:rPr>
          <w:rFonts w:ascii="Arial" w:hAnsi="Arial" w:cs="Arial"/>
          <w:sz w:val="24"/>
          <w:szCs w:val="24"/>
        </w:rPr>
      </w:pPr>
      <w:r w:rsidRPr="45A2756A">
        <w:rPr>
          <w:rFonts w:ascii="Arial" w:hAnsi="Arial" w:cs="Arial"/>
          <w:sz w:val="24"/>
          <w:szCs w:val="24"/>
        </w:rPr>
        <w:t xml:space="preserve">The conference's style, which comprises of </w:t>
      </w:r>
      <w:r w:rsidR="5B75DE93" w:rsidRPr="45A2756A">
        <w:rPr>
          <w:rFonts w:ascii="Arial" w:hAnsi="Arial" w:cs="Arial"/>
          <w:sz w:val="24"/>
          <w:szCs w:val="24"/>
        </w:rPr>
        <w:t>brief,</w:t>
      </w:r>
      <w:r w:rsidRPr="45A2756A">
        <w:rPr>
          <w:rFonts w:ascii="Arial" w:hAnsi="Arial" w:cs="Arial"/>
          <w:sz w:val="24"/>
          <w:szCs w:val="24"/>
        </w:rPr>
        <w:t xml:space="preserve"> yet thoughtful presentations designed to grab and hold the audience's attention, is one of its main advantages (McPhee &amp; Poole, 2001). With each lecture lasting no longer than fifteen minutes, participants can hear brief but insightful conversations. Participants can learn a lot of knowledge in a shorter amount of time thanks to this strategy, which guarantees that important information is presented effectively.</w:t>
      </w:r>
    </w:p>
    <w:p w14:paraId="3C5C3199" w14:textId="77777777" w:rsidR="00580EA2" w:rsidRDefault="00580EA2" w:rsidP="00805BB3">
      <w:pPr>
        <w:spacing w:line="360" w:lineRule="auto"/>
        <w:jc w:val="both"/>
        <w:rPr>
          <w:rFonts w:ascii="Arial" w:hAnsi="Arial" w:cs="Arial"/>
          <w:sz w:val="24"/>
          <w:szCs w:val="24"/>
        </w:rPr>
      </w:pPr>
    </w:p>
    <w:p w14:paraId="5375FDC5" w14:textId="6A2F8708"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t xml:space="preserve">Moreover, the addition of several powerful films enhances the meeting experience. These films offer audiences a visual representation of the opportunities available by </w:t>
      </w:r>
      <w:r w:rsidRPr="00A132B0">
        <w:rPr>
          <w:rFonts w:ascii="Arial" w:hAnsi="Arial" w:cs="Arial"/>
          <w:sz w:val="24"/>
          <w:szCs w:val="24"/>
        </w:rPr>
        <w:lastRenderedPageBreak/>
        <w:t>showcasing a range of experiences gained via education and employment in the field (Shone &amp; Parry, 2010). Multimedia content improves presentations and creates an engaging atmosphere that appeals to a wide range of viewers. </w:t>
      </w:r>
      <w:r w:rsidRPr="00A132B0">
        <w:rPr>
          <w:rFonts w:ascii="Arial" w:hAnsi="Arial" w:cs="Arial"/>
          <w:sz w:val="24"/>
          <w:szCs w:val="24"/>
        </w:rPr>
        <w:br/>
      </w:r>
      <w:r w:rsidRPr="00A132B0">
        <w:rPr>
          <w:rFonts w:ascii="Arial" w:hAnsi="Arial" w:cs="Arial"/>
          <w:sz w:val="24"/>
          <w:szCs w:val="24"/>
        </w:rPr>
        <w:br/>
        <w:t>In addition, the conference offers a venue for college success stories, showcasing the accomplishments of previous learners and their current roles in the industry. These success stories serve as motivation for present students and highlight the genuine benefits of a career in travel and tourism (Witt &amp; Moutinho, 1994). The conference gives young people confidence and drive by showcasing real-world instances of industrial progress. </w:t>
      </w:r>
    </w:p>
    <w:p w14:paraId="70954C00" w14:textId="77777777"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br/>
        <w:t>One entertaining aspect of the conference is the business executive speed dating question and answer session, which pairs up registrants with seasoned pros in person. Through this framework, innovators and decision-makers can directly inform players about the sector's future trajectory (Morrison, 2012). This gathering provides insightful viewpoints on potential future advancements for the business through dialogue and engagement. </w:t>
      </w:r>
      <w:r w:rsidRPr="00A132B0">
        <w:rPr>
          <w:rFonts w:ascii="Arial" w:hAnsi="Arial" w:cs="Arial"/>
          <w:sz w:val="24"/>
          <w:szCs w:val="24"/>
        </w:rPr>
        <w:br/>
      </w:r>
      <w:r w:rsidRPr="00A132B0">
        <w:rPr>
          <w:rFonts w:ascii="Arial" w:hAnsi="Arial" w:cs="Arial"/>
          <w:sz w:val="24"/>
          <w:szCs w:val="24"/>
        </w:rPr>
        <w:br/>
        <w:t>Finally, the conference is student-focused and was created with students in mind. By giving priority to their wants and interests, the conference will surely satisfy the particular requirements of aspiring industry experts (Deloitte, 2021). The conference promotes diversity and a sense of ownership by giving students the opportunity to lead debates and contribute their thoughts. This makes it a genuinely enjoyable experience for every visitor.</w:t>
      </w:r>
    </w:p>
    <w:p w14:paraId="2C4B0949" w14:textId="4710E91E" w:rsidR="00815F55" w:rsidRDefault="00815F55" w:rsidP="00805BB3">
      <w:pPr>
        <w:spacing w:line="360" w:lineRule="auto"/>
        <w:jc w:val="both"/>
        <w:rPr>
          <w:rFonts w:ascii="Arial" w:hAnsi="Arial" w:cs="Arial"/>
          <w:sz w:val="24"/>
          <w:szCs w:val="24"/>
        </w:rPr>
      </w:pPr>
    </w:p>
    <w:p w14:paraId="2333C8F0" w14:textId="77777777" w:rsidR="00580EA2" w:rsidRPr="00A132B0" w:rsidRDefault="00580EA2" w:rsidP="00805BB3">
      <w:pPr>
        <w:spacing w:line="360" w:lineRule="auto"/>
        <w:jc w:val="both"/>
        <w:rPr>
          <w:rFonts w:ascii="Arial" w:hAnsi="Arial" w:cs="Arial"/>
          <w:sz w:val="24"/>
          <w:szCs w:val="24"/>
        </w:rPr>
      </w:pPr>
    </w:p>
    <w:p w14:paraId="55AFEF5D" w14:textId="77777777" w:rsidR="00815F55" w:rsidRPr="00A132B0" w:rsidRDefault="00815F55" w:rsidP="45A2756A">
      <w:pPr>
        <w:pStyle w:val="Heading2"/>
      </w:pPr>
      <w:bookmarkStart w:id="27" w:name="_Toc350445000"/>
      <w:bookmarkStart w:id="28" w:name="_Toc1769356956"/>
      <w:bookmarkStart w:id="29" w:name="_Toc1449396262"/>
      <w:r w:rsidRPr="45A2756A">
        <w:t>Agenda</w:t>
      </w:r>
      <w:bookmarkEnd w:id="27"/>
      <w:bookmarkEnd w:id="28"/>
      <w:bookmarkEnd w:id="29"/>
    </w:p>
    <w:p w14:paraId="597EA551" w14:textId="06C6E799"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t xml:space="preserve">The conference agenda, as presented in </w:t>
      </w:r>
      <w:r w:rsidR="00A97697">
        <w:rPr>
          <w:rFonts w:ascii="Arial" w:hAnsi="Arial" w:cs="Arial"/>
          <w:sz w:val="24"/>
          <w:szCs w:val="24"/>
        </w:rPr>
        <w:t>A</w:t>
      </w:r>
      <w:r w:rsidRPr="00A132B0">
        <w:rPr>
          <w:rFonts w:ascii="Arial" w:hAnsi="Arial" w:cs="Arial"/>
          <w:sz w:val="24"/>
          <w:szCs w:val="24"/>
        </w:rPr>
        <w:t xml:space="preserve">1, reflects a comprehensive awareness of the dynamics of the industry and upcoming trends and shows a strategic connection with organisational goals through its varied range of themes. In order to promote a deeper understanding of the roles and contributions of important players in the travel industry, sessions like "Introduction to the Institute of Travel and Tourism" and "Royal Caribbean Group: Introducing all the groups within the Royal Caribbean Group" (Witt &amp; Moutinho, 1994) delve into organisational profiles. Furthermore, subjects like "Talent </w:t>
      </w:r>
      <w:r w:rsidRPr="00A132B0">
        <w:rPr>
          <w:rFonts w:ascii="Arial" w:hAnsi="Arial" w:cs="Arial"/>
          <w:sz w:val="24"/>
          <w:szCs w:val="24"/>
        </w:rPr>
        <w:lastRenderedPageBreak/>
        <w:t>Acquisition in the Travel Industry" and "2023 Trip to Colorado: Recruiting Implications" highlight the importance of HR strategies and recruitment initiatives tailored to specific destinations, demonstrating how businesses adjust to changing labour needs and take advantage of regional opportunities (Deloitte, 2021). </w:t>
      </w:r>
    </w:p>
    <w:p w14:paraId="6A98E8CB" w14:textId="77777777"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t xml:space="preserve">Additionally, by highlighting difficulties and best practices specific to certain job roles and industries, the inclusion of sessions like "Shore Excursion Management on Celebrity Cruise Ships" and "Reservations Sales at The </w:t>
      </w:r>
      <w:proofErr w:type="spellStart"/>
      <w:r w:rsidRPr="00A132B0">
        <w:rPr>
          <w:rFonts w:ascii="Arial" w:hAnsi="Arial" w:cs="Arial"/>
          <w:sz w:val="24"/>
          <w:szCs w:val="24"/>
        </w:rPr>
        <w:t>Sennonalp</w:t>
      </w:r>
      <w:proofErr w:type="spellEnd"/>
      <w:r w:rsidRPr="00A132B0">
        <w:rPr>
          <w:rFonts w:ascii="Arial" w:hAnsi="Arial" w:cs="Arial"/>
          <w:sz w:val="24"/>
          <w:szCs w:val="24"/>
        </w:rPr>
        <w:t xml:space="preserve"> Hotel Aspen" offers helpful insights into operational aspects (</w:t>
      </w:r>
      <w:proofErr w:type="spellStart"/>
      <w:r w:rsidRPr="00A132B0">
        <w:rPr>
          <w:rFonts w:ascii="Arial" w:hAnsi="Arial" w:cs="Arial"/>
          <w:sz w:val="24"/>
          <w:szCs w:val="24"/>
        </w:rPr>
        <w:t>Fesenmaier</w:t>
      </w:r>
      <w:proofErr w:type="spellEnd"/>
      <w:r w:rsidRPr="00A132B0">
        <w:rPr>
          <w:rFonts w:ascii="Arial" w:hAnsi="Arial" w:cs="Arial"/>
          <w:sz w:val="24"/>
          <w:szCs w:val="24"/>
        </w:rPr>
        <w:t xml:space="preserve"> et al., 2014). Furthermore, by addressing pressing issues and promising prospects in the travel and tourism industry, panel discussions like "Industry Panel: </w:t>
      </w:r>
      <w:proofErr w:type="spellStart"/>
      <w:r w:rsidRPr="00A132B0">
        <w:rPr>
          <w:rFonts w:ascii="Arial" w:hAnsi="Arial" w:cs="Arial"/>
          <w:sz w:val="24"/>
          <w:szCs w:val="24"/>
        </w:rPr>
        <w:t>Heledd</w:t>
      </w:r>
      <w:proofErr w:type="spellEnd"/>
      <w:r w:rsidRPr="00A132B0">
        <w:rPr>
          <w:rFonts w:ascii="Arial" w:hAnsi="Arial" w:cs="Arial"/>
          <w:sz w:val="24"/>
          <w:szCs w:val="24"/>
        </w:rPr>
        <w:t xml:space="preserve"> Williams, Thomas </w:t>
      </w:r>
      <w:proofErr w:type="spellStart"/>
      <w:r w:rsidRPr="00A132B0">
        <w:rPr>
          <w:rFonts w:ascii="Arial" w:hAnsi="Arial" w:cs="Arial"/>
          <w:sz w:val="24"/>
          <w:szCs w:val="24"/>
        </w:rPr>
        <w:t>Ferrante</w:t>
      </w:r>
      <w:proofErr w:type="spellEnd"/>
      <w:r w:rsidRPr="00A132B0">
        <w:rPr>
          <w:rFonts w:ascii="Arial" w:hAnsi="Arial" w:cs="Arial"/>
          <w:sz w:val="24"/>
          <w:szCs w:val="24"/>
        </w:rPr>
        <w:t xml:space="preserve"> &amp; Emily </w:t>
      </w:r>
      <w:proofErr w:type="spellStart"/>
      <w:r w:rsidRPr="00A132B0">
        <w:rPr>
          <w:rFonts w:ascii="Arial" w:hAnsi="Arial" w:cs="Arial"/>
          <w:sz w:val="24"/>
          <w:szCs w:val="24"/>
        </w:rPr>
        <w:t>Boscoe</w:t>
      </w:r>
      <w:proofErr w:type="spellEnd"/>
      <w:r w:rsidRPr="00A132B0">
        <w:rPr>
          <w:rFonts w:ascii="Arial" w:hAnsi="Arial" w:cs="Arial"/>
          <w:sz w:val="24"/>
          <w:szCs w:val="24"/>
        </w:rPr>
        <w:t>" foster collaborative dialogue and information exchange (Morrison, 2012). All things considered, the carefully chosen topics on the agenda demonstrate a deliberate approach to industry contact and information exchange, appealing to a variety of interests and promoting in-depth discussion among attendees.</w:t>
      </w:r>
    </w:p>
    <w:p w14:paraId="0727A1D2" w14:textId="77777777" w:rsidR="00815F55" w:rsidRDefault="00815F55" w:rsidP="00805BB3">
      <w:pPr>
        <w:spacing w:line="360" w:lineRule="auto"/>
        <w:jc w:val="both"/>
        <w:rPr>
          <w:rFonts w:ascii="Arial" w:hAnsi="Arial" w:cs="Arial"/>
          <w:sz w:val="24"/>
          <w:szCs w:val="24"/>
        </w:rPr>
      </w:pPr>
    </w:p>
    <w:p w14:paraId="4D4E7F2F" w14:textId="77777777" w:rsidR="00580EA2" w:rsidRPr="00A132B0" w:rsidRDefault="00580EA2" w:rsidP="00805BB3">
      <w:pPr>
        <w:spacing w:line="360" w:lineRule="auto"/>
        <w:jc w:val="both"/>
        <w:rPr>
          <w:rFonts w:ascii="Arial" w:hAnsi="Arial" w:cs="Arial"/>
          <w:sz w:val="24"/>
          <w:szCs w:val="24"/>
        </w:rPr>
      </w:pPr>
    </w:p>
    <w:p w14:paraId="1677A240" w14:textId="77777777" w:rsidR="00815F55" w:rsidRPr="00A132B0" w:rsidRDefault="00815F55" w:rsidP="45A2756A">
      <w:pPr>
        <w:pStyle w:val="Heading2"/>
      </w:pPr>
      <w:bookmarkStart w:id="30" w:name="_Toc1435754766"/>
      <w:bookmarkStart w:id="31" w:name="_Toc863346653"/>
      <w:bookmarkStart w:id="32" w:name="_Toc662211206"/>
      <w:proofErr w:type="spellStart"/>
      <w:r w:rsidRPr="45A2756A">
        <w:t>Κey</w:t>
      </w:r>
      <w:proofErr w:type="spellEnd"/>
      <w:r w:rsidRPr="45A2756A">
        <w:t xml:space="preserve"> metrics</w:t>
      </w:r>
      <w:bookmarkEnd w:id="30"/>
      <w:bookmarkEnd w:id="31"/>
      <w:bookmarkEnd w:id="32"/>
    </w:p>
    <w:p w14:paraId="03DAE4F5" w14:textId="19BE201C" w:rsidR="00580EA2" w:rsidRDefault="00815F55" w:rsidP="00805BB3">
      <w:pPr>
        <w:spacing w:line="360" w:lineRule="auto"/>
        <w:jc w:val="both"/>
        <w:rPr>
          <w:rFonts w:ascii="Arial" w:hAnsi="Arial" w:cs="Arial"/>
          <w:sz w:val="24"/>
          <w:szCs w:val="24"/>
        </w:rPr>
      </w:pPr>
      <w:r w:rsidRPr="45A2756A">
        <w:rPr>
          <w:rFonts w:ascii="Arial" w:hAnsi="Arial" w:cs="Arial"/>
          <w:sz w:val="24"/>
          <w:szCs w:val="24"/>
        </w:rPr>
        <w:t xml:space="preserve">To properly evaluate the impact and effectiveness of the Institute of Travel and Tourism wales to the world Conference for students in Swansea, Key Performance Indicators (KPIs) can be organised around a variety of parameters. First of all, according to Smith (2010), the attendance percentage is a key sign of the target audience's interest and participation. This is in line with the tenets of event management theory, which highlight how crucial audience engagement is to </w:t>
      </w:r>
      <w:r w:rsidR="1EF0EF26" w:rsidRPr="45A2756A">
        <w:rPr>
          <w:rFonts w:ascii="Arial" w:hAnsi="Arial" w:cs="Arial"/>
          <w:sz w:val="24"/>
          <w:szCs w:val="24"/>
        </w:rPr>
        <w:t>determine</w:t>
      </w:r>
      <w:r w:rsidRPr="45A2756A">
        <w:rPr>
          <w:rFonts w:ascii="Arial" w:hAnsi="Arial" w:cs="Arial"/>
          <w:sz w:val="24"/>
          <w:szCs w:val="24"/>
        </w:rPr>
        <w:t xml:space="preserve"> how successful an event is (Allen et al., 2018). </w:t>
      </w:r>
    </w:p>
    <w:p w14:paraId="06982421" w14:textId="4F978BCC"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br/>
        <w:t>Second, post-conference satisfaction surveys can offer insightful information about how attendees felt about the programme, speakers, setup, and general experience (</w:t>
      </w:r>
      <w:proofErr w:type="spellStart"/>
      <w:r w:rsidRPr="00A132B0">
        <w:rPr>
          <w:rFonts w:ascii="Arial" w:hAnsi="Arial" w:cs="Arial"/>
          <w:sz w:val="24"/>
          <w:szCs w:val="24"/>
        </w:rPr>
        <w:t>Gursoy</w:t>
      </w:r>
      <w:proofErr w:type="spellEnd"/>
      <w:r w:rsidRPr="00A132B0">
        <w:rPr>
          <w:rFonts w:ascii="Arial" w:hAnsi="Arial" w:cs="Arial"/>
          <w:sz w:val="24"/>
          <w:szCs w:val="24"/>
        </w:rPr>
        <w:t xml:space="preserve"> et al., 2015). This strategy is in line with the ideas of customer satisfaction theory, which emphasises the need of exceeding or meeting participant expectations in order to guarantee the success of an event (Oliver, 1981). </w:t>
      </w:r>
    </w:p>
    <w:p w14:paraId="15AEC648" w14:textId="77777777" w:rsidR="00815F55" w:rsidRPr="00A132B0" w:rsidRDefault="00815F55" w:rsidP="00805BB3">
      <w:pPr>
        <w:spacing w:line="360" w:lineRule="auto"/>
        <w:jc w:val="both"/>
        <w:rPr>
          <w:rFonts w:ascii="Arial" w:hAnsi="Arial" w:cs="Arial"/>
          <w:sz w:val="24"/>
          <w:szCs w:val="24"/>
        </w:rPr>
      </w:pPr>
    </w:p>
    <w:p w14:paraId="73719A32" w14:textId="044661D3" w:rsidR="00580EA2" w:rsidRDefault="00815F55" w:rsidP="00805BB3">
      <w:pPr>
        <w:spacing w:line="360" w:lineRule="auto"/>
        <w:jc w:val="both"/>
        <w:rPr>
          <w:rFonts w:ascii="Arial" w:hAnsi="Arial" w:cs="Arial"/>
          <w:sz w:val="24"/>
          <w:szCs w:val="24"/>
        </w:rPr>
      </w:pPr>
      <w:r w:rsidRPr="45A2756A">
        <w:rPr>
          <w:rFonts w:ascii="Arial" w:hAnsi="Arial" w:cs="Arial"/>
          <w:sz w:val="24"/>
          <w:szCs w:val="24"/>
        </w:rPr>
        <w:t xml:space="preserve">Thirdly, monitoring the volume and calibre of contacts between students and </w:t>
      </w:r>
      <w:r w:rsidR="0C326383" w:rsidRPr="45A2756A">
        <w:rPr>
          <w:rFonts w:ascii="Arial" w:hAnsi="Arial" w:cs="Arial"/>
          <w:sz w:val="24"/>
          <w:szCs w:val="24"/>
        </w:rPr>
        <w:t>businesspeople</w:t>
      </w:r>
      <w:r w:rsidRPr="45A2756A">
        <w:rPr>
          <w:rFonts w:ascii="Arial" w:hAnsi="Arial" w:cs="Arial"/>
          <w:sz w:val="24"/>
          <w:szCs w:val="24"/>
        </w:rPr>
        <w:t xml:space="preserve"> can be used to gauge how successful the networking possibilities provided by the conference were (Dolan et al., 2016). This is consistent with the theory </w:t>
      </w:r>
      <w:r w:rsidRPr="45A2756A">
        <w:rPr>
          <w:rFonts w:ascii="Arial" w:hAnsi="Arial" w:cs="Arial"/>
          <w:sz w:val="24"/>
          <w:szCs w:val="24"/>
        </w:rPr>
        <w:lastRenderedPageBreak/>
        <w:t>of relational exchange, which highlights the importance of interpersonal interactions in reaching win-win situations (</w:t>
      </w:r>
      <w:proofErr w:type="spellStart"/>
      <w:r w:rsidRPr="45A2756A">
        <w:rPr>
          <w:rFonts w:ascii="Arial" w:hAnsi="Arial" w:cs="Arial"/>
          <w:sz w:val="24"/>
          <w:szCs w:val="24"/>
        </w:rPr>
        <w:t>Bagozzi</w:t>
      </w:r>
      <w:proofErr w:type="spellEnd"/>
      <w:r w:rsidRPr="45A2756A">
        <w:rPr>
          <w:rFonts w:ascii="Arial" w:hAnsi="Arial" w:cs="Arial"/>
          <w:sz w:val="24"/>
          <w:szCs w:val="24"/>
        </w:rPr>
        <w:t xml:space="preserve"> et al., 1999). </w:t>
      </w:r>
    </w:p>
    <w:p w14:paraId="6CF965C9" w14:textId="1078556B"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br/>
        <w:t>Fourth, evaluating the conference's impact requires considering employment outcomes, where relevant indicators include the proportion of participants who secure internships, job offers, or possibilities for more education (</w:t>
      </w:r>
      <w:proofErr w:type="spellStart"/>
      <w:r w:rsidRPr="00A132B0">
        <w:rPr>
          <w:rFonts w:ascii="Arial" w:hAnsi="Arial" w:cs="Arial"/>
          <w:sz w:val="24"/>
          <w:szCs w:val="24"/>
        </w:rPr>
        <w:t>DeVos</w:t>
      </w:r>
      <w:proofErr w:type="spellEnd"/>
      <w:r w:rsidRPr="00A132B0">
        <w:rPr>
          <w:rFonts w:ascii="Arial" w:hAnsi="Arial" w:cs="Arial"/>
          <w:sz w:val="24"/>
          <w:szCs w:val="24"/>
        </w:rPr>
        <w:t xml:space="preserve"> et al., 2017). This is consistent with the tenets of career development theory, which highlights the value of networking and hands-on learning in easing entry-level employment transfers (Super, 1990). </w:t>
      </w:r>
    </w:p>
    <w:p w14:paraId="36C2C19D" w14:textId="77777777" w:rsidR="00815F55" w:rsidRPr="00A132B0" w:rsidRDefault="00815F55" w:rsidP="00805BB3">
      <w:pPr>
        <w:spacing w:line="360" w:lineRule="auto"/>
        <w:jc w:val="both"/>
        <w:rPr>
          <w:rFonts w:ascii="Arial" w:hAnsi="Arial" w:cs="Arial"/>
          <w:sz w:val="24"/>
          <w:szCs w:val="24"/>
        </w:rPr>
      </w:pPr>
    </w:p>
    <w:p w14:paraId="688A6598" w14:textId="77777777"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t>Fifthly, the online reach and audience involvement of the conference can be gleaned from social media engagement indicators such as shares, likes, comments, and hashtag usage (</w:t>
      </w:r>
      <w:proofErr w:type="spellStart"/>
      <w:r w:rsidRPr="00A132B0">
        <w:rPr>
          <w:rFonts w:ascii="Arial" w:hAnsi="Arial" w:cs="Arial"/>
          <w:sz w:val="24"/>
          <w:szCs w:val="24"/>
        </w:rPr>
        <w:t>Kietzmann</w:t>
      </w:r>
      <w:proofErr w:type="spellEnd"/>
      <w:r w:rsidRPr="00A132B0">
        <w:rPr>
          <w:rFonts w:ascii="Arial" w:hAnsi="Arial" w:cs="Arial"/>
          <w:sz w:val="24"/>
          <w:szCs w:val="24"/>
        </w:rPr>
        <w:t xml:space="preserve"> et al., 2011). This is consistent with the tenets of social media marketing theory, which highlights how digital platforms can increase event awareness and encourage participation from the community (Hanna et al., 2011). </w:t>
      </w:r>
      <w:r w:rsidRPr="00A132B0">
        <w:rPr>
          <w:rFonts w:ascii="Arial" w:hAnsi="Arial" w:cs="Arial"/>
          <w:sz w:val="24"/>
          <w:szCs w:val="24"/>
        </w:rPr>
        <w:br/>
      </w:r>
      <w:r w:rsidRPr="00A132B0">
        <w:rPr>
          <w:rFonts w:ascii="Arial" w:hAnsi="Arial" w:cs="Arial"/>
          <w:sz w:val="24"/>
          <w:szCs w:val="24"/>
        </w:rPr>
        <w:br/>
        <w:t>Sixth, speaker evaluations provide insightful commentary on specific talks and sessions, assisting event planners in pinpointing areas of strength and potential development for upcoming events (Allen, 2017). This is in line with the ideas of speaker effectiveness theory, which highlights the value of effective communication and audience participation in making presentations that have an impact (</w:t>
      </w:r>
      <w:proofErr w:type="spellStart"/>
      <w:r w:rsidRPr="00A132B0">
        <w:rPr>
          <w:rFonts w:ascii="Arial" w:hAnsi="Arial" w:cs="Arial"/>
          <w:sz w:val="24"/>
          <w:szCs w:val="24"/>
        </w:rPr>
        <w:t>McCroskey</w:t>
      </w:r>
      <w:proofErr w:type="spellEnd"/>
      <w:r w:rsidRPr="00A132B0">
        <w:rPr>
          <w:rFonts w:ascii="Arial" w:hAnsi="Arial" w:cs="Arial"/>
          <w:sz w:val="24"/>
          <w:szCs w:val="24"/>
        </w:rPr>
        <w:t xml:space="preserve"> &amp; </w:t>
      </w:r>
      <w:proofErr w:type="spellStart"/>
      <w:r w:rsidRPr="00A132B0">
        <w:rPr>
          <w:rFonts w:ascii="Arial" w:hAnsi="Arial" w:cs="Arial"/>
          <w:sz w:val="24"/>
          <w:szCs w:val="24"/>
        </w:rPr>
        <w:t>McCroskey</w:t>
      </w:r>
      <w:proofErr w:type="spellEnd"/>
      <w:r w:rsidRPr="00A132B0">
        <w:rPr>
          <w:rFonts w:ascii="Arial" w:hAnsi="Arial" w:cs="Arial"/>
          <w:sz w:val="24"/>
          <w:szCs w:val="24"/>
        </w:rPr>
        <w:t>, 1988). </w:t>
      </w:r>
    </w:p>
    <w:p w14:paraId="206875F3" w14:textId="77777777" w:rsidR="00815F55" w:rsidRPr="00A132B0" w:rsidRDefault="00815F55" w:rsidP="00805BB3">
      <w:pPr>
        <w:spacing w:line="360" w:lineRule="auto"/>
        <w:jc w:val="both"/>
        <w:rPr>
          <w:rFonts w:ascii="Arial" w:hAnsi="Arial" w:cs="Arial"/>
          <w:sz w:val="24"/>
          <w:szCs w:val="24"/>
        </w:rPr>
      </w:pPr>
    </w:p>
    <w:p w14:paraId="2C28ADD3" w14:textId="77777777" w:rsidR="00580EA2" w:rsidRDefault="00815F55" w:rsidP="00805BB3">
      <w:pPr>
        <w:spacing w:line="360" w:lineRule="auto"/>
        <w:jc w:val="both"/>
        <w:rPr>
          <w:rFonts w:ascii="Arial" w:hAnsi="Arial" w:cs="Arial"/>
          <w:sz w:val="24"/>
          <w:szCs w:val="24"/>
        </w:rPr>
      </w:pPr>
      <w:r w:rsidRPr="00A132B0">
        <w:rPr>
          <w:rFonts w:ascii="Arial" w:hAnsi="Arial" w:cs="Arial"/>
          <w:sz w:val="24"/>
          <w:szCs w:val="24"/>
        </w:rPr>
        <w:t>Seventhly, evaluations of exhibitor satisfaction, which include comments on booth visitation, lead generation, and overall ROI, can be used to determine how well the conference serves sponsors and exhibitors (Raj &amp; Walters, 2010). This is consistent with the tenets of sponsorship effectiveness theory, which highlights how crucial it is for sponsor goals and event results to line up in order to maximise sponsorship value (</w:t>
      </w:r>
      <w:proofErr w:type="spellStart"/>
      <w:r w:rsidRPr="00A132B0">
        <w:rPr>
          <w:rFonts w:ascii="Arial" w:hAnsi="Arial" w:cs="Arial"/>
          <w:sz w:val="24"/>
          <w:szCs w:val="24"/>
        </w:rPr>
        <w:t>Cornwell</w:t>
      </w:r>
      <w:proofErr w:type="spellEnd"/>
      <w:r w:rsidRPr="00A132B0">
        <w:rPr>
          <w:rFonts w:ascii="Arial" w:hAnsi="Arial" w:cs="Arial"/>
          <w:sz w:val="24"/>
          <w:szCs w:val="24"/>
        </w:rPr>
        <w:t xml:space="preserve"> et al., 2006). </w:t>
      </w:r>
    </w:p>
    <w:p w14:paraId="26432F48" w14:textId="57CF0254" w:rsidR="00815F55" w:rsidRDefault="00815F55" w:rsidP="00805BB3">
      <w:pPr>
        <w:spacing w:line="360" w:lineRule="auto"/>
        <w:jc w:val="both"/>
        <w:rPr>
          <w:rFonts w:ascii="Arial" w:hAnsi="Arial" w:cs="Arial"/>
          <w:sz w:val="24"/>
          <w:szCs w:val="24"/>
        </w:rPr>
      </w:pPr>
      <w:r w:rsidRPr="00A132B0">
        <w:rPr>
          <w:rFonts w:ascii="Arial" w:hAnsi="Arial" w:cs="Arial"/>
          <w:sz w:val="24"/>
          <w:szCs w:val="24"/>
        </w:rPr>
        <w:br/>
        <w:t xml:space="preserve">Finally, monitoring post-conference impact indicators provide valuable information about the long-term advantages of the event, such as long-term job outcomes and student involvement in follow-up activities (Miller et al., 2018). This is in line with programme evaluation theory's tenets, which stress the significance of evaluating </w:t>
      </w:r>
      <w:r w:rsidRPr="00A132B0">
        <w:rPr>
          <w:rFonts w:ascii="Arial" w:hAnsi="Arial" w:cs="Arial"/>
          <w:sz w:val="24"/>
          <w:szCs w:val="24"/>
        </w:rPr>
        <w:lastRenderedPageBreak/>
        <w:t>results and impacts to guide planning and decision-making in the future (Fitzpatrick et al., 2016). </w:t>
      </w:r>
    </w:p>
    <w:p w14:paraId="7EBE2DEF" w14:textId="77777777" w:rsidR="00580EA2" w:rsidRPr="00A132B0" w:rsidRDefault="00580EA2" w:rsidP="00805BB3">
      <w:pPr>
        <w:spacing w:line="360" w:lineRule="auto"/>
        <w:jc w:val="both"/>
        <w:rPr>
          <w:rFonts w:ascii="Arial" w:hAnsi="Arial" w:cs="Arial"/>
          <w:sz w:val="24"/>
          <w:szCs w:val="24"/>
        </w:rPr>
      </w:pPr>
    </w:p>
    <w:p w14:paraId="7A799F04" w14:textId="77777777" w:rsidR="00815F55" w:rsidRPr="00A132B0" w:rsidRDefault="00815F55" w:rsidP="00805BB3">
      <w:pPr>
        <w:spacing w:line="360" w:lineRule="auto"/>
        <w:jc w:val="both"/>
        <w:rPr>
          <w:rFonts w:ascii="Arial" w:hAnsi="Arial" w:cs="Arial"/>
          <w:sz w:val="24"/>
          <w:szCs w:val="24"/>
        </w:rPr>
      </w:pPr>
    </w:p>
    <w:p w14:paraId="26D64FB2" w14:textId="77777777" w:rsidR="00815F55" w:rsidRDefault="00815F55" w:rsidP="45A2756A">
      <w:pPr>
        <w:pStyle w:val="Heading2"/>
      </w:pPr>
      <w:bookmarkStart w:id="33" w:name="_Toc1239249429"/>
      <w:bookmarkStart w:id="34" w:name="_Toc442649120"/>
      <w:bookmarkStart w:id="35" w:name="_Toc1594171494"/>
      <w:r w:rsidRPr="45A2756A">
        <w:t>Safety plan</w:t>
      </w:r>
      <w:bookmarkEnd w:id="33"/>
      <w:bookmarkEnd w:id="34"/>
      <w:bookmarkEnd w:id="35"/>
      <w:r w:rsidRPr="45A2756A">
        <w:t xml:space="preserve"> </w:t>
      </w:r>
    </w:p>
    <w:p w14:paraId="24D17CD1" w14:textId="6FDA50BD" w:rsidR="00580EA2" w:rsidRPr="00A132B0" w:rsidRDefault="007F4169" w:rsidP="00805BB3">
      <w:pPr>
        <w:spacing w:line="360" w:lineRule="auto"/>
        <w:jc w:val="both"/>
        <w:rPr>
          <w:rFonts w:ascii="Arial" w:hAnsi="Arial" w:cs="Arial"/>
          <w:sz w:val="24"/>
          <w:szCs w:val="24"/>
        </w:rPr>
      </w:pPr>
      <w:r>
        <w:rPr>
          <w:rFonts w:ascii="Arial" w:hAnsi="Arial" w:cs="Arial"/>
          <w:sz w:val="24"/>
          <w:szCs w:val="24"/>
        </w:rPr>
        <w:t>The following is an in-depth view apron the risk assessment shown in A3</w:t>
      </w:r>
    </w:p>
    <w:p w14:paraId="06BC2115" w14:textId="60F51DE3" w:rsidR="00815F55" w:rsidRDefault="00815F55" w:rsidP="00805BB3">
      <w:pPr>
        <w:spacing w:line="360" w:lineRule="auto"/>
        <w:jc w:val="both"/>
        <w:rPr>
          <w:rFonts w:ascii="Arial" w:hAnsi="Arial" w:cs="Arial"/>
          <w:sz w:val="24"/>
          <w:szCs w:val="24"/>
        </w:rPr>
      </w:pPr>
      <w:r w:rsidRPr="00A132B0">
        <w:rPr>
          <w:rFonts w:ascii="Arial" w:hAnsi="Arial" w:cs="Arial"/>
          <w:sz w:val="24"/>
          <w:szCs w:val="24"/>
        </w:rPr>
        <w:t>Moderate risk of slips, trips, and falls can be effectively reduced by putting in place a number of control measures, like floor signage, prompt spill cleanup, and clear walkways. The behavioural safety theory, which promotes proactive interventions to prevent accidents, is in line with these measures (Clarke, 2006). The concepts of Haddon's Matrix, which addresses injury prevention through environmental alterations, are reflected in the usage of floor signage and quick spill cleaning (</w:t>
      </w:r>
      <w:proofErr w:type="spellStart"/>
      <w:r w:rsidRPr="00A132B0">
        <w:rPr>
          <w:rFonts w:ascii="Arial" w:hAnsi="Arial" w:cs="Arial"/>
          <w:sz w:val="24"/>
          <w:szCs w:val="24"/>
        </w:rPr>
        <w:t>Runyan</w:t>
      </w:r>
      <w:proofErr w:type="spellEnd"/>
      <w:r w:rsidRPr="00A132B0">
        <w:rPr>
          <w:rFonts w:ascii="Arial" w:hAnsi="Arial" w:cs="Arial"/>
          <w:sz w:val="24"/>
          <w:szCs w:val="24"/>
        </w:rPr>
        <w:t xml:space="preserve"> et al., 1998). </w:t>
      </w:r>
    </w:p>
    <w:p w14:paraId="2C0694F4" w14:textId="77777777" w:rsidR="00580EA2" w:rsidRPr="00A132B0" w:rsidRDefault="00580EA2" w:rsidP="00805BB3">
      <w:pPr>
        <w:spacing w:line="360" w:lineRule="auto"/>
        <w:jc w:val="both"/>
        <w:rPr>
          <w:rFonts w:ascii="Arial" w:hAnsi="Arial" w:cs="Arial"/>
          <w:sz w:val="24"/>
          <w:szCs w:val="24"/>
        </w:rPr>
      </w:pPr>
    </w:p>
    <w:p w14:paraId="7A4DC5B1" w14:textId="77777777"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t>Fire (high risk): Keeping aisles clean, making sure walkway distances are sufficient, and instructing speakers and attendees on evacuation protocols are some ways to mitigate the risk of fire. These tactics are in line with the fundamentals of fire safety management, placing a strong emphasis on communication that is clear, emergency readiness, and preventative measures (Cote &amp; Nightingale, 2014). The significance of human aspects in fire safety management is shown in the emphasis placed on training employees and guests on evacuation procedures (</w:t>
      </w:r>
      <w:proofErr w:type="spellStart"/>
      <w:r w:rsidRPr="00A132B0">
        <w:rPr>
          <w:rFonts w:ascii="Arial" w:hAnsi="Arial" w:cs="Arial"/>
          <w:sz w:val="24"/>
          <w:szCs w:val="24"/>
        </w:rPr>
        <w:t>Kuligowski</w:t>
      </w:r>
      <w:proofErr w:type="spellEnd"/>
      <w:r w:rsidRPr="00A132B0">
        <w:rPr>
          <w:rFonts w:ascii="Arial" w:hAnsi="Arial" w:cs="Arial"/>
          <w:sz w:val="24"/>
          <w:szCs w:val="24"/>
        </w:rPr>
        <w:t xml:space="preserve"> &amp; Peacock, 2013). </w:t>
      </w:r>
      <w:r w:rsidRPr="00A132B0">
        <w:rPr>
          <w:rFonts w:ascii="Arial" w:hAnsi="Arial" w:cs="Arial"/>
          <w:sz w:val="24"/>
          <w:szCs w:val="24"/>
        </w:rPr>
        <w:br/>
      </w:r>
    </w:p>
    <w:p w14:paraId="14A617CE" w14:textId="77777777" w:rsidR="00815F55" w:rsidRDefault="00815F55" w:rsidP="00805BB3">
      <w:pPr>
        <w:spacing w:line="360" w:lineRule="auto"/>
        <w:jc w:val="both"/>
        <w:rPr>
          <w:rFonts w:ascii="Arial" w:hAnsi="Arial" w:cs="Arial"/>
          <w:sz w:val="24"/>
          <w:szCs w:val="24"/>
        </w:rPr>
      </w:pPr>
      <w:r w:rsidRPr="00A132B0">
        <w:rPr>
          <w:rFonts w:ascii="Arial" w:hAnsi="Arial" w:cs="Arial"/>
          <w:sz w:val="24"/>
          <w:szCs w:val="24"/>
        </w:rPr>
        <w:t>Manual handling (moderate risk): Techniques include controlling item amounts and refraining from having unduly high expectations for volunteers help to reduce the danger of manual handling injuries. These actions emphasise the value of managing workload and reducing physical strain, which is consistent with ergonomics and biomechanics concepts (Kumar, 2017). Furthermore, the application of two-person carrying techniques is consistent with the manual handling activities' concepts of sharing the burden and teamwork (</w:t>
      </w:r>
      <w:proofErr w:type="spellStart"/>
      <w:r w:rsidRPr="00A132B0">
        <w:rPr>
          <w:rFonts w:ascii="Arial" w:hAnsi="Arial" w:cs="Arial"/>
          <w:sz w:val="24"/>
          <w:szCs w:val="24"/>
        </w:rPr>
        <w:t>Garg</w:t>
      </w:r>
      <w:proofErr w:type="spellEnd"/>
      <w:r w:rsidRPr="00A132B0">
        <w:rPr>
          <w:rFonts w:ascii="Arial" w:hAnsi="Arial" w:cs="Arial"/>
          <w:sz w:val="24"/>
          <w:szCs w:val="24"/>
        </w:rPr>
        <w:t xml:space="preserve"> &amp; </w:t>
      </w:r>
      <w:proofErr w:type="spellStart"/>
      <w:r w:rsidRPr="00A132B0">
        <w:rPr>
          <w:rFonts w:ascii="Arial" w:hAnsi="Arial" w:cs="Arial"/>
          <w:sz w:val="24"/>
          <w:szCs w:val="24"/>
        </w:rPr>
        <w:t>Hegmann</w:t>
      </w:r>
      <w:proofErr w:type="spellEnd"/>
      <w:r w:rsidRPr="00A132B0">
        <w:rPr>
          <w:rFonts w:ascii="Arial" w:hAnsi="Arial" w:cs="Arial"/>
          <w:sz w:val="24"/>
          <w:szCs w:val="24"/>
        </w:rPr>
        <w:t>, 2009).</w:t>
      </w:r>
    </w:p>
    <w:p w14:paraId="2A4875D7" w14:textId="77777777" w:rsidR="00580EA2" w:rsidRPr="00A132B0" w:rsidRDefault="00580EA2" w:rsidP="00805BB3">
      <w:pPr>
        <w:spacing w:line="360" w:lineRule="auto"/>
        <w:jc w:val="both"/>
        <w:rPr>
          <w:rFonts w:ascii="Arial" w:hAnsi="Arial" w:cs="Arial"/>
          <w:sz w:val="24"/>
          <w:szCs w:val="24"/>
        </w:rPr>
      </w:pPr>
    </w:p>
    <w:p w14:paraId="42EC0118" w14:textId="77777777"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t xml:space="preserve">Terrorism (moderate risk): Bag searches, the presence of security officers, and heeding security advice are some of the steps used to combat the threat of terrorism. These tactics are in line with security risk management concepts, which place a strong emphasis on threat assessment, security precautions, and emergency response </w:t>
      </w:r>
      <w:r w:rsidRPr="00A132B0">
        <w:rPr>
          <w:rFonts w:ascii="Arial" w:hAnsi="Arial" w:cs="Arial"/>
          <w:sz w:val="24"/>
          <w:szCs w:val="24"/>
        </w:rPr>
        <w:lastRenderedPageBreak/>
        <w:t>procedures (Cameron &amp; Roberge, 2013). Furthermore, the emphasis on adhering to security advice is consistent with the ideas of crisis communication and public cooperation during emergencies (Reynolds &amp; Seeger, 2005).</w:t>
      </w:r>
    </w:p>
    <w:p w14:paraId="72F2C597" w14:textId="77777777" w:rsidR="00815F55" w:rsidRPr="00A132B0" w:rsidRDefault="00815F55" w:rsidP="00805BB3">
      <w:pPr>
        <w:spacing w:line="360" w:lineRule="auto"/>
        <w:jc w:val="both"/>
        <w:rPr>
          <w:rFonts w:ascii="Arial" w:hAnsi="Arial" w:cs="Arial"/>
          <w:sz w:val="24"/>
          <w:szCs w:val="24"/>
        </w:rPr>
      </w:pPr>
    </w:p>
    <w:p w14:paraId="669323D2" w14:textId="77777777" w:rsidR="00815F55" w:rsidRPr="00A132B0" w:rsidRDefault="00815F55" w:rsidP="00805BB3">
      <w:pPr>
        <w:spacing w:line="360" w:lineRule="auto"/>
        <w:jc w:val="both"/>
        <w:rPr>
          <w:rFonts w:ascii="Arial" w:hAnsi="Arial" w:cs="Arial"/>
          <w:sz w:val="24"/>
          <w:szCs w:val="24"/>
        </w:rPr>
      </w:pPr>
    </w:p>
    <w:p w14:paraId="35D213C5" w14:textId="77777777" w:rsidR="00815F55" w:rsidRPr="00A132B0" w:rsidRDefault="00815F55" w:rsidP="45A2756A">
      <w:pPr>
        <w:pStyle w:val="Heading2"/>
      </w:pPr>
      <w:bookmarkStart w:id="36" w:name="_Toc228915386"/>
      <w:bookmarkStart w:id="37" w:name="_Toc2107906026"/>
      <w:bookmarkStart w:id="38" w:name="_Toc1729518492"/>
      <w:r w:rsidRPr="45A2756A">
        <w:t>Event planning checklist</w:t>
      </w:r>
      <w:bookmarkEnd w:id="36"/>
      <w:bookmarkEnd w:id="37"/>
      <w:bookmarkEnd w:id="38"/>
      <w:r w:rsidRPr="45A2756A">
        <w:t xml:space="preserve"> </w:t>
      </w:r>
    </w:p>
    <w:p w14:paraId="574D364B" w14:textId="77777777"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t>The following is a detailed version of the event planning checklist shown in appendices 2:</w:t>
      </w:r>
    </w:p>
    <w:p w14:paraId="212AE48E" w14:textId="77777777" w:rsidR="007F4169" w:rsidRDefault="00815F55" w:rsidP="00805BB3">
      <w:pPr>
        <w:spacing w:line="360" w:lineRule="auto"/>
        <w:jc w:val="both"/>
        <w:rPr>
          <w:rFonts w:ascii="Arial" w:hAnsi="Arial" w:cs="Arial"/>
          <w:sz w:val="24"/>
          <w:szCs w:val="24"/>
        </w:rPr>
      </w:pPr>
      <w:r w:rsidRPr="00A132B0">
        <w:rPr>
          <w:rFonts w:ascii="Arial" w:hAnsi="Arial" w:cs="Arial"/>
          <w:sz w:val="24"/>
          <w:szCs w:val="24"/>
        </w:rPr>
        <w:t>Define objectives and Scope - Clearly state the conference's aims and objectives while taking into account the intended audience, expected results, and event's size (Allen et al., 2018). This is consistent with the tenets of event management theory, which emphasise the significance of establishing precise goals to direct preparation and implementation (Getz, 2013).</w:t>
      </w:r>
    </w:p>
    <w:p w14:paraId="4828D142" w14:textId="16ADB5FA"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br/>
        <w:t>Identify Key Stakeholders and Partners - To guarantee cooperation and support during the preparation phase, identify and involve pertinent parties such as sponsors, exhibitors, speakers, and industry partners (Getz, 2013). This is consistent with the tenets of the theory of stakeholder engagement, which highlights the need of establishing connections and cultivating alliances to improve the success of events (Allen et al., 2018). </w:t>
      </w:r>
    </w:p>
    <w:p w14:paraId="60F0AE09" w14:textId="77777777" w:rsidR="00815F55" w:rsidRPr="00A132B0" w:rsidRDefault="00815F55" w:rsidP="00805BB3">
      <w:pPr>
        <w:spacing w:line="360" w:lineRule="auto"/>
        <w:jc w:val="both"/>
        <w:rPr>
          <w:rFonts w:ascii="Arial" w:hAnsi="Arial" w:cs="Arial"/>
          <w:sz w:val="24"/>
          <w:szCs w:val="24"/>
        </w:rPr>
      </w:pPr>
    </w:p>
    <w:p w14:paraId="5AA701D6" w14:textId="77777777" w:rsidR="007F4169" w:rsidRDefault="00815F55" w:rsidP="00805BB3">
      <w:pPr>
        <w:spacing w:line="360" w:lineRule="auto"/>
        <w:jc w:val="both"/>
        <w:rPr>
          <w:rFonts w:ascii="Arial" w:hAnsi="Arial" w:cs="Arial"/>
          <w:sz w:val="24"/>
          <w:szCs w:val="24"/>
        </w:rPr>
      </w:pPr>
      <w:r w:rsidRPr="00A132B0">
        <w:rPr>
          <w:rFonts w:ascii="Arial" w:hAnsi="Arial" w:cs="Arial"/>
          <w:sz w:val="24"/>
          <w:szCs w:val="24"/>
        </w:rPr>
        <w:t>Develop program agenda and content - Create a comprehensive programme plan that includes session topics, speaker bios, panel discussions, and networking opportunities. See Smith (2010) for more information. Incorporate pertinent industry insights and academic research to make sure the material is interesting, educational, and in line with attendees' interests (Allen et al., 2018). </w:t>
      </w:r>
    </w:p>
    <w:p w14:paraId="0C51800A" w14:textId="55312D63"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br/>
        <w:t>Secure venue and logistics- Choose and reserve a location that will both meet the needs of logistics and hold the anticipated number of participants (O'Toole et al., 2015). Think about things like location, ease of access, audiovisual equipment, catering, and lodging choices for attendees who are travelling from out of town (Getz, 2013). </w:t>
      </w:r>
    </w:p>
    <w:p w14:paraId="2DA9C145" w14:textId="77777777" w:rsidR="00815F55" w:rsidRPr="00A132B0" w:rsidRDefault="00815F55" w:rsidP="00805BB3">
      <w:pPr>
        <w:spacing w:line="360" w:lineRule="auto"/>
        <w:jc w:val="both"/>
        <w:rPr>
          <w:rFonts w:ascii="Arial" w:hAnsi="Arial" w:cs="Arial"/>
          <w:sz w:val="24"/>
          <w:szCs w:val="24"/>
        </w:rPr>
      </w:pPr>
    </w:p>
    <w:p w14:paraId="516234C4" w14:textId="77777777" w:rsidR="007F4169" w:rsidRDefault="00815F55" w:rsidP="00805BB3">
      <w:pPr>
        <w:spacing w:line="360" w:lineRule="auto"/>
        <w:jc w:val="both"/>
        <w:rPr>
          <w:rFonts w:ascii="Arial" w:hAnsi="Arial" w:cs="Arial"/>
          <w:sz w:val="24"/>
          <w:szCs w:val="24"/>
        </w:rPr>
      </w:pPr>
      <w:r w:rsidRPr="00A132B0">
        <w:rPr>
          <w:rFonts w:ascii="Arial" w:hAnsi="Arial" w:cs="Arial"/>
          <w:sz w:val="24"/>
          <w:szCs w:val="24"/>
        </w:rPr>
        <w:lastRenderedPageBreak/>
        <w:t>Promote and Market the Conference - Create a thorough marketing and promotional plan to increase target audience knowledge of and interest in the conference (</w:t>
      </w:r>
      <w:proofErr w:type="spellStart"/>
      <w:r w:rsidRPr="00A132B0">
        <w:rPr>
          <w:rFonts w:ascii="Arial" w:hAnsi="Arial" w:cs="Arial"/>
          <w:sz w:val="24"/>
          <w:szCs w:val="24"/>
        </w:rPr>
        <w:t>Gursoy</w:t>
      </w:r>
      <w:proofErr w:type="spellEnd"/>
      <w:r w:rsidRPr="00A132B0">
        <w:rPr>
          <w:rFonts w:ascii="Arial" w:hAnsi="Arial" w:cs="Arial"/>
          <w:sz w:val="24"/>
          <w:szCs w:val="24"/>
        </w:rPr>
        <w:t xml:space="preserve"> et al., 2015). To increase reach and engagement, make use of a variety of platforms, including social media, email campaigns, news releases, and collaborations with trade groups (Hanna et al., 2011). </w:t>
      </w:r>
    </w:p>
    <w:p w14:paraId="64685266" w14:textId="5C9814C8"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br/>
        <w:t>Manage Registration and Attendee Communication - To help with ticketing, information sharing, and attendee registration, put in place an effective registration procedure and communication strategy (Allen, 2017). Throughout the pre-event period, provide guests with updates, FAQs, and clear instructions to keep them informed and involved (Miller et al., 2018). </w:t>
      </w:r>
    </w:p>
    <w:p w14:paraId="112E0732" w14:textId="77777777" w:rsidR="00815F55" w:rsidRPr="00A132B0" w:rsidRDefault="00815F55" w:rsidP="00805BB3">
      <w:pPr>
        <w:spacing w:line="360" w:lineRule="auto"/>
        <w:jc w:val="both"/>
        <w:rPr>
          <w:rFonts w:ascii="Arial" w:hAnsi="Arial" w:cs="Arial"/>
          <w:sz w:val="24"/>
          <w:szCs w:val="24"/>
        </w:rPr>
      </w:pPr>
    </w:p>
    <w:p w14:paraId="41C67600" w14:textId="77777777" w:rsidR="007F4169" w:rsidRDefault="00815F55" w:rsidP="00805BB3">
      <w:pPr>
        <w:spacing w:line="360" w:lineRule="auto"/>
        <w:jc w:val="both"/>
        <w:rPr>
          <w:rFonts w:ascii="Arial" w:hAnsi="Arial" w:cs="Arial"/>
          <w:sz w:val="24"/>
          <w:szCs w:val="24"/>
        </w:rPr>
      </w:pPr>
      <w:r w:rsidRPr="00A132B0">
        <w:rPr>
          <w:rFonts w:ascii="Arial" w:hAnsi="Arial" w:cs="Arial"/>
          <w:sz w:val="24"/>
          <w:szCs w:val="24"/>
        </w:rPr>
        <w:t>Coordinate Speakers and Presenters - Verify speakers' and presenters' participation, give them the required instructions and logistical support, and arrange for the scheduling of sessions and presentation forms (</w:t>
      </w:r>
      <w:proofErr w:type="spellStart"/>
      <w:r w:rsidRPr="00A132B0">
        <w:rPr>
          <w:rFonts w:ascii="Arial" w:hAnsi="Arial" w:cs="Arial"/>
          <w:sz w:val="24"/>
          <w:szCs w:val="24"/>
        </w:rPr>
        <w:t>McCroskey</w:t>
      </w:r>
      <w:proofErr w:type="spellEnd"/>
      <w:r w:rsidRPr="00A132B0">
        <w:rPr>
          <w:rFonts w:ascii="Arial" w:hAnsi="Arial" w:cs="Arial"/>
          <w:sz w:val="24"/>
          <w:szCs w:val="24"/>
        </w:rPr>
        <w:t xml:space="preserve"> &amp; </w:t>
      </w:r>
      <w:proofErr w:type="spellStart"/>
      <w:r w:rsidRPr="00A132B0">
        <w:rPr>
          <w:rFonts w:ascii="Arial" w:hAnsi="Arial" w:cs="Arial"/>
          <w:sz w:val="24"/>
          <w:szCs w:val="24"/>
        </w:rPr>
        <w:t>McCroskey</w:t>
      </w:r>
      <w:proofErr w:type="spellEnd"/>
      <w:r w:rsidRPr="00A132B0">
        <w:rPr>
          <w:rFonts w:ascii="Arial" w:hAnsi="Arial" w:cs="Arial"/>
          <w:sz w:val="24"/>
          <w:szCs w:val="24"/>
        </w:rPr>
        <w:t>, 1988). Encourage cooperation and communication to guarantee efficient operation and conformity with programme goals (Allen et al., 2018). </w:t>
      </w:r>
    </w:p>
    <w:p w14:paraId="2DD6D179" w14:textId="7154156A" w:rsidR="00815F55" w:rsidRPr="00A132B0" w:rsidRDefault="00815F55" w:rsidP="00805BB3">
      <w:pPr>
        <w:spacing w:line="360" w:lineRule="auto"/>
        <w:jc w:val="both"/>
        <w:rPr>
          <w:rFonts w:ascii="Arial" w:hAnsi="Arial" w:cs="Arial"/>
          <w:sz w:val="24"/>
          <w:szCs w:val="24"/>
        </w:rPr>
      </w:pPr>
      <w:r w:rsidRPr="00A132B0">
        <w:rPr>
          <w:rFonts w:ascii="Arial" w:hAnsi="Arial" w:cs="Arial"/>
          <w:sz w:val="24"/>
          <w:szCs w:val="24"/>
        </w:rPr>
        <w:br/>
        <w:t>Manage On-Site Operations and Logistics - According to O'Toole et al. (2015), oversee on-site operations and logistics related to registration check-in, room setup, audiovisual support, catering, and attendance assistance. To guarantee a flawless event experience, assign tasks to employees and volunteers, hold rehearsals, and deal with any last-minute problems (Getz, 2013). </w:t>
      </w:r>
    </w:p>
    <w:p w14:paraId="252ECD4D" w14:textId="77777777" w:rsidR="00815F55" w:rsidRPr="00A132B0" w:rsidRDefault="00815F55" w:rsidP="00805BB3">
      <w:pPr>
        <w:spacing w:line="360" w:lineRule="auto"/>
        <w:jc w:val="both"/>
        <w:rPr>
          <w:rFonts w:ascii="Arial" w:hAnsi="Arial" w:cs="Arial"/>
          <w:sz w:val="24"/>
          <w:szCs w:val="24"/>
        </w:rPr>
      </w:pPr>
    </w:p>
    <w:p w14:paraId="0F86BB3F" w14:textId="7A35B0D2" w:rsidR="00815F55" w:rsidRDefault="00815F55" w:rsidP="00805BB3">
      <w:pPr>
        <w:spacing w:line="360" w:lineRule="auto"/>
        <w:jc w:val="both"/>
        <w:rPr>
          <w:rFonts w:ascii="Arial" w:hAnsi="Arial" w:cs="Arial"/>
          <w:sz w:val="24"/>
          <w:szCs w:val="24"/>
        </w:rPr>
      </w:pPr>
      <w:r w:rsidRPr="00A132B0">
        <w:rPr>
          <w:rFonts w:ascii="Arial" w:hAnsi="Arial" w:cs="Arial"/>
          <w:sz w:val="24"/>
          <w:szCs w:val="24"/>
        </w:rPr>
        <w:t>Evaluate and follow up- Assess attendee satisfaction, compare results to goals, and get input for future enhancements by conducting post-event assessments (Allen et al., 2018). Communicate thanks, highlight important lessons learned, and get feedback for upcoming events by following up with participants, sponsors, and partners (Miller et al., 2018). </w:t>
      </w:r>
    </w:p>
    <w:p w14:paraId="78CD5F32" w14:textId="77777777" w:rsidR="00815F55" w:rsidRDefault="00815F55">
      <w:pPr>
        <w:rPr>
          <w:rFonts w:ascii="Arial" w:hAnsi="Arial" w:cs="Arial"/>
          <w:sz w:val="24"/>
          <w:szCs w:val="24"/>
        </w:rPr>
      </w:pPr>
      <w:r>
        <w:rPr>
          <w:rFonts w:ascii="Arial" w:hAnsi="Arial" w:cs="Arial"/>
          <w:sz w:val="24"/>
          <w:szCs w:val="24"/>
        </w:rPr>
        <w:br w:type="page"/>
      </w:r>
    </w:p>
    <w:p w14:paraId="5D62CA8C" w14:textId="77777777" w:rsidR="00D03D88" w:rsidRPr="00EB5FFC" w:rsidRDefault="00D03D88" w:rsidP="45A2756A">
      <w:pPr>
        <w:pStyle w:val="Heading1"/>
        <w:rPr>
          <w:rFonts w:ascii="Arial" w:eastAsia="Arial" w:hAnsi="Arial" w:cs="Arial"/>
          <w:color w:val="auto"/>
          <w:sz w:val="24"/>
          <w:szCs w:val="24"/>
        </w:rPr>
      </w:pPr>
      <w:bookmarkStart w:id="39" w:name="_Toc654018365"/>
      <w:bookmarkStart w:id="40" w:name="_Toc1126849426"/>
      <w:bookmarkStart w:id="41" w:name="_Toc635333692"/>
      <w:r w:rsidRPr="45A2756A">
        <w:rPr>
          <w:rFonts w:ascii="Arial" w:eastAsia="Arial" w:hAnsi="Arial" w:cs="Arial"/>
          <w:color w:val="auto"/>
          <w:sz w:val="24"/>
          <w:szCs w:val="24"/>
        </w:rPr>
        <w:lastRenderedPageBreak/>
        <w:t>Ip case study</w:t>
      </w:r>
      <w:bookmarkEnd w:id="39"/>
      <w:bookmarkEnd w:id="40"/>
      <w:bookmarkEnd w:id="41"/>
    </w:p>
    <w:p w14:paraId="2B4A7B5F" w14:textId="77777777" w:rsidR="00D03D88" w:rsidRPr="00EB5FFC" w:rsidRDefault="00D03D88" w:rsidP="00805BB3">
      <w:pPr>
        <w:spacing w:line="360" w:lineRule="auto"/>
        <w:jc w:val="both"/>
        <w:rPr>
          <w:rFonts w:ascii="Arial" w:hAnsi="Arial" w:cs="Arial"/>
          <w:sz w:val="24"/>
          <w:szCs w:val="24"/>
        </w:rPr>
      </w:pPr>
    </w:p>
    <w:p w14:paraId="636BAF9F" w14:textId="77777777" w:rsidR="00D03D88" w:rsidRPr="00EB5FFC" w:rsidRDefault="00D03D88" w:rsidP="45A2756A">
      <w:pPr>
        <w:pStyle w:val="Heading2"/>
      </w:pPr>
      <w:bookmarkStart w:id="42" w:name="_Toc1358730372"/>
      <w:bookmarkStart w:id="43" w:name="_Toc994421814"/>
      <w:bookmarkStart w:id="44" w:name="_Toc685167391"/>
      <w:r w:rsidRPr="45A2756A">
        <w:t>Methodology</w:t>
      </w:r>
      <w:bookmarkEnd w:id="42"/>
      <w:bookmarkEnd w:id="43"/>
      <w:bookmarkEnd w:id="44"/>
      <w:r w:rsidRPr="45A2756A">
        <w:t xml:space="preserve"> </w:t>
      </w:r>
    </w:p>
    <w:p w14:paraId="353D44DF" w14:textId="4A718A50" w:rsidR="00D03D88" w:rsidRDefault="00D03D88" w:rsidP="00805BB3">
      <w:pPr>
        <w:pStyle w:val="p2"/>
        <w:spacing w:line="360" w:lineRule="auto"/>
        <w:jc w:val="both"/>
        <w:rPr>
          <w:rFonts w:ascii="Arial" w:eastAsia="Times New Roman" w:hAnsi="Arial" w:cs="Arial"/>
          <w:color w:val="000000"/>
          <w:sz w:val="24"/>
          <w:szCs w:val="24"/>
        </w:rPr>
      </w:pPr>
      <w:r w:rsidRPr="45A2756A">
        <w:rPr>
          <w:rFonts w:ascii="Arial" w:eastAsia="Times New Roman" w:hAnsi="Arial" w:cs="Arial"/>
          <w:color w:val="000000" w:themeColor="text1"/>
          <w:sz w:val="24"/>
          <w:szCs w:val="24"/>
        </w:rPr>
        <w:t xml:space="preserve">In order to conduct a thorough assessment of the ITT Future You Conference 2024, a methodical methodology that takes into account all aspects of the event </w:t>
      </w:r>
      <w:r w:rsidR="6F5ADD55" w:rsidRPr="45A2756A">
        <w:rPr>
          <w:rFonts w:ascii="Arial" w:eastAsia="Times New Roman" w:hAnsi="Arial" w:cs="Arial"/>
          <w:color w:val="000000" w:themeColor="text1"/>
          <w:sz w:val="24"/>
          <w:szCs w:val="24"/>
        </w:rPr>
        <w:t>are</w:t>
      </w:r>
      <w:r w:rsidRPr="45A2756A">
        <w:rPr>
          <w:rFonts w:ascii="Arial" w:eastAsia="Times New Roman" w:hAnsi="Arial" w:cs="Arial"/>
          <w:color w:val="000000" w:themeColor="text1"/>
          <w:sz w:val="24"/>
          <w:szCs w:val="24"/>
        </w:rPr>
        <w:t xml:space="preserve"> required. First and foremost, it is critical to assess how well the conference's goals and programme line up. This means closely examining how effectively the subjects addressed at the event align with its declared goals of empowering students and promoting expansion in the travel and tourism sector. The degree to which the conference addressed important topics of interest and importance to attendees will be revealed by a careful examination of session themes, such as organisational profiles, talent acquisition, and operational issues (Smith, 2007; Witt &amp; Moutinho, 1994).</w:t>
      </w:r>
    </w:p>
    <w:p w14:paraId="0A87FE40" w14:textId="77777777" w:rsidR="00D03D88" w:rsidRPr="00EB5FFC" w:rsidRDefault="00D03D88" w:rsidP="00805BB3">
      <w:pPr>
        <w:pStyle w:val="p2"/>
        <w:spacing w:line="360" w:lineRule="auto"/>
        <w:jc w:val="both"/>
        <w:rPr>
          <w:rFonts w:ascii="Arial" w:hAnsi="Arial" w:cs="Arial"/>
          <w:sz w:val="24"/>
          <w:szCs w:val="24"/>
        </w:rPr>
      </w:pPr>
    </w:p>
    <w:p w14:paraId="1E318B8F" w14:textId="77777777" w:rsidR="00D03D88" w:rsidRDefault="00D03D88" w:rsidP="00805BB3">
      <w:pPr>
        <w:pStyle w:val="p2"/>
        <w:spacing w:line="360" w:lineRule="auto"/>
        <w:jc w:val="both"/>
        <w:rPr>
          <w:rFonts w:ascii="Arial" w:eastAsia="Times New Roman" w:hAnsi="Arial" w:cs="Arial"/>
          <w:color w:val="000000"/>
          <w:sz w:val="24"/>
          <w:szCs w:val="24"/>
        </w:rPr>
      </w:pPr>
      <w:r w:rsidRPr="00EB5FFC">
        <w:rPr>
          <w:rFonts w:ascii="Arial" w:eastAsia="Times New Roman" w:hAnsi="Arial" w:cs="Arial"/>
          <w:color w:val="000000"/>
          <w:sz w:val="24"/>
          <w:szCs w:val="24"/>
        </w:rPr>
        <w:t>Second, evaluating stakeholder participation is essential to comprehending the scope and profundity of the conference's influence. The success of the event in promoting cooperation and communication amongst industry participants can be determined by organisers by assessing sessions that highlight the contributions and areas of interest of different stakeholders in the travel and tourism sector. To achieve a thorough knowledge of the conference's reach and influence, stakeholders including employees, consumers, owners, and industry partners should be included in this evaluation (Freeman, 1984; Morrison, 2012).</w:t>
      </w:r>
    </w:p>
    <w:p w14:paraId="6DC3AA2A" w14:textId="77777777" w:rsidR="00D03D88" w:rsidRPr="00EB5FFC" w:rsidRDefault="00D03D88" w:rsidP="00805BB3">
      <w:pPr>
        <w:pStyle w:val="p2"/>
        <w:spacing w:line="360" w:lineRule="auto"/>
        <w:jc w:val="both"/>
        <w:rPr>
          <w:rFonts w:ascii="Arial" w:hAnsi="Arial" w:cs="Arial"/>
          <w:sz w:val="24"/>
          <w:szCs w:val="24"/>
        </w:rPr>
      </w:pPr>
    </w:p>
    <w:p w14:paraId="0663F676" w14:textId="77777777" w:rsidR="00D03D88" w:rsidRDefault="00D03D88" w:rsidP="00805BB3">
      <w:pPr>
        <w:pStyle w:val="p2"/>
        <w:spacing w:line="360" w:lineRule="auto"/>
        <w:jc w:val="both"/>
        <w:rPr>
          <w:rFonts w:ascii="Arial" w:eastAsia="Times New Roman" w:hAnsi="Arial" w:cs="Arial"/>
          <w:color w:val="000000"/>
          <w:sz w:val="24"/>
          <w:szCs w:val="24"/>
        </w:rPr>
      </w:pPr>
      <w:r w:rsidRPr="00EB5FFC">
        <w:rPr>
          <w:rFonts w:ascii="Arial" w:eastAsia="Times New Roman" w:hAnsi="Arial" w:cs="Arial"/>
          <w:color w:val="000000"/>
          <w:sz w:val="24"/>
          <w:szCs w:val="24"/>
        </w:rPr>
        <w:t xml:space="preserve">In addition, assessing the conference's efficacy and efficiency requires a careful examination of operational performance and resource utilisation. Presentations that focus on operational best practices, human resource strategies, and organisational skills offer insightful information on how businesses use their resources to overcome obstacles in their sector and obtain a competitive edge. Organisers can pinpoint areas of strength and areas for improvement within the conference framework by evaluating elements like transaction costs, customer satisfaction levels, and operational efficiency (Barney, 1991; </w:t>
      </w:r>
      <w:proofErr w:type="spellStart"/>
      <w:r w:rsidRPr="00EB5FFC">
        <w:rPr>
          <w:rFonts w:ascii="Arial" w:eastAsia="Times New Roman" w:hAnsi="Arial" w:cs="Arial"/>
          <w:color w:val="000000"/>
          <w:sz w:val="24"/>
          <w:szCs w:val="24"/>
        </w:rPr>
        <w:t>Fesenmaier</w:t>
      </w:r>
      <w:proofErr w:type="spellEnd"/>
      <w:r w:rsidRPr="00EB5FFC">
        <w:rPr>
          <w:rFonts w:ascii="Arial" w:eastAsia="Times New Roman" w:hAnsi="Arial" w:cs="Arial"/>
          <w:color w:val="000000"/>
          <w:sz w:val="24"/>
          <w:szCs w:val="24"/>
        </w:rPr>
        <w:t xml:space="preserve"> et al., 2014).</w:t>
      </w:r>
    </w:p>
    <w:p w14:paraId="43F2C13E" w14:textId="77777777" w:rsidR="00D03D88" w:rsidRPr="00EB5FFC" w:rsidRDefault="00D03D88" w:rsidP="00805BB3">
      <w:pPr>
        <w:pStyle w:val="p2"/>
        <w:spacing w:line="360" w:lineRule="auto"/>
        <w:jc w:val="both"/>
        <w:rPr>
          <w:rFonts w:ascii="Arial" w:hAnsi="Arial" w:cs="Arial"/>
          <w:sz w:val="24"/>
          <w:szCs w:val="24"/>
        </w:rPr>
      </w:pPr>
    </w:p>
    <w:p w14:paraId="52EC4016"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r w:rsidRPr="008B5F77">
        <w:rPr>
          <w:rFonts w:ascii="Arial" w:eastAsia="Times New Roman" w:hAnsi="Arial" w:cs="Arial"/>
          <w:color w:val="000000"/>
          <w:kern w:val="0"/>
          <w:sz w:val="24"/>
          <w:szCs w:val="24"/>
          <w14:ligatures w14:val="none"/>
        </w:rPr>
        <w:t xml:space="preserve">Furthermore, it is critical to assess the calibre and significance of knowledge exchanged in panel discussions and collaborative sessions. These meetings provide a forum for industry stakeholders to exchange ideas, best practices, and insights, </w:t>
      </w:r>
      <w:r w:rsidRPr="008B5F77">
        <w:rPr>
          <w:rFonts w:ascii="Arial" w:eastAsia="Times New Roman" w:hAnsi="Arial" w:cs="Arial"/>
          <w:color w:val="000000"/>
          <w:kern w:val="0"/>
          <w:sz w:val="24"/>
          <w:szCs w:val="24"/>
          <w14:ligatures w14:val="none"/>
        </w:rPr>
        <w:lastRenderedPageBreak/>
        <w:t>fostering industry progress and collective learning. The efficacy of the conference in promoting information exchange and industrial collaboration can be evaluated by the organisers based on evaluations of participant involvement, topic relevancy, and depth of conversation (</w:t>
      </w:r>
      <w:proofErr w:type="spellStart"/>
      <w:r w:rsidRPr="008B5F77">
        <w:rPr>
          <w:rFonts w:ascii="Arial" w:eastAsia="Times New Roman" w:hAnsi="Arial" w:cs="Arial"/>
          <w:color w:val="000000"/>
          <w:kern w:val="0"/>
          <w:sz w:val="24"/>
          <w:szCs w:val="24"/>
          <w14:ligatures w14:val="none"/>
        </w:rPr>
        <w:t>Nonaka</w:t>
      </w:r>
      <w:proofErr w:type="spellEnd"/>
      <w:r w:rsidRPr="008B5F77">
        <w:rPr>
          <w:rFonts w:ascii="Arial" w:eastAsia="Times New Roman" w:hAnsi="Arial" w:cs="Arial"/>
          <w:color w:val="000000"/>
          <w:kern w:val="0"/>
          <w:sz w:val="24"/>
          <w:szCs w:val="24"/>
          <w14:ligatures w14:val="none"/>
        </w:rPr>
        <w:t xml:space="preserve"> &amp; Takeuchi, 1995). </w:t>
      </w:r>
    </w:p>
    <w:p w14:paraId="4C6380A8" w14:textId="77777777" w:rsidR="00D03D88" w:rsidRPr="008B5F77" w:rsidRDefault="00D03D88" w:rsidP="00805BB3">
      <w:pPr>
        <w:spacing w:line="360" w:lineRule="auto"/>
        <w:jc w:val="both"/>
        <w:rPr>
          <w:rFonts w:ascii="Arial" w:eastAsia="Times New Roman" w:hAnsi="Arial" w:cs="Arial"/>
          <w:kern w:val="0"/>
          <w:sz w:val="24"/>
          <w:szCs w:val="24"/>
          <w14:ligatures w14:val="none"/>
        </w:rPr>
      </w:pPr>
    </w:p>
    <w:p w14:paraId="204B7FC1"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r w:rsidRPr="00EB5FFC">
        <w:rPr>
          <w:rFonts w:ascii="Arial" w:eastAsia="Times New Roman" w:hAnsi="Arial" w:cs="Arial"/>
          <w:color w:val="000000"/>
          <w:kern w:val="0"/>
          <w:sz w:val="24"/>
          <w:szCs w:val="24"/>
          <w14:ligatures w14:val="none"/>
        </w:rPr>
        <w:t>Additionally</w:t>
      </w:r>
      <w:r w:rsidRPr="00C33EED">
        <w:rPr>
          <w:rFonts w:ascii="Arial" w:eastAsia="Times New Roman" w:hAnsi="Arial" w:cs="Arial"/>
          <w:color w:val="000000"/>
          <w:kern w:val="0"/>
          <w:sz w:val="24"/>
          <w:szCs w:val="24"/>
          <w14:ligatures w14:val="none"/>
        </w:rPr>
        <w:t>, it is critical to assess the calibre and significance of knowledge exchanged in panel discussions and collaborative sessions. These meetings provide a forum for industry stakeholders to exchange ideas, best practices, and insights, fostering industry progress and collective learning. The efficacy of the conference in promoting information exchange and industrial collaboration can be evaluated by the organisers based on evaluations of participant involvement, topic relevancy, and depth of conversation (</w:t>
      </w:r>
      <w:proofErr w:type="spellStart"/>
      <w:r w:rsidRPr="00C33EED">
        <w:rPr>
          <w:rFonts w:ascii="Arial" w:eastAsia="Times New Roman" w:hAnsi="Arial" w:cs="Arial"/>
          <w:color w:val="000000"/>
          <w:kern w:val="0"/>
          <w:sz w:val="24"/>
          <w:szCs w:val="24"/>
          <w14:ligatures w14:val="none"/>
        </w:rPr>
        <w:t>Nonaka</w:t>
      </w:r>
      <w:proofErr w:type="spellEnd"/>
      <w:r w:rsidRPr="00C33EED">
        <w:rPr>
          <w:rFonts w:ascii="Arial" w:eastAsia="Times New Roman" w:hAnsi="Arial" w:cs="Arial"/>
          <w:color w:val="000000"/>
          <w:kern w:val="0"/>
          <w:sz w:val="24"/>
          <w:szCs w:val="24"/>
          <w14:ligatures w14:val="none"/>
        </w:rPr>
        <w:t xml:space="preserve"> &amp; Takeuchi, 1995). </w:t>
      </w:r>
    </w:p>
    <w:p w14:paraId="0B70D6F9" w14:textId="77777777" w:rsidR="00D03D88" w:rsidRPr="00C33EED" w:rsidRDefault="00D03D88" w:rsidP="00805BB3">
      <w:pPr>
        <w:spacing w:line="360" w:lineRule="auto"/>
        <w:jc w:val="both"/>
        <w:rPr>
          <w:rFonts w:ascii="Arial" w:eastAsia="Times New Roman" w:hAnsi="Arial" w:cs="Arial"/>
          <w:kern w:val="0"/>
          <w:sz w:val="24"/>
          <w:szCs w:val="24"/>
          <w14:ligatures w14:val="none"/>
        </w:rPr>
      </w:pPr>
    </w:p>
    <w:p w14:paraId="02F3C95B" w14:textId="77777777" w:rsidR="00D03D88" w:rsidRPr="00EB5FFC" w:rsidRDefault="00D03D88" w:rsidP="00805BB3">
      <w:pPr>
        <w:pStyle w:val="p2"/>
        <w:spacing w:line="360" w:lineRule="auto"/>
        <w:jc w:val="both"/>
        <w:rPr>
          <w:rFonts w:ascii="Arial" w:hAnsi="Arial" w:cs="Arial"/>
          <w:sz w:val="24"/>
          <w:szCs w:val="24"/>
        </w:rPr>
      </w:pPr>
      <w:r w:rsidRPr="00EB5FFC">
        <w:rPr>
          <w:rFonts w:ascii="Arial" w:eastAsia="Times New Roman" w:hAnsi="Arial" w:cs="Arial"/>
          <w:color w:val="000000"/>
          <w:sz w:val="24"/>
          <w:szCs w:val="24"/>
        </w:rPr>
        <w:t>Moreover, to comprehend the conference's capacity to provide value and sustain participation, an analysis of its flexibility and forbearance in the face of unforeseen events is required. Through evaluating the conference's response to issues like not having a keynote speaker, planners can learn more about the event's adaptability and ability to get over roadblocks without compromising attendees' experiences.</w:t>
      </w:r>
    </w:p>
    <w:p w14:paraId="5D8052B1"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r w:rsidRPr="00DB5D2E">
        <w:rPr>
          <w:rFonts w:ascii="Arial" w:eastAsia="Times New Roman" w:hAnsi="Arial" w:cs="Arial"/>
          <w:color w:val="000000"/>
          <w:kern w:val="0"/>
          <w:sz w:val="24"/>
          <w:szCs w:val="24"/>
          <w14:ligatures w14:val="none"/>
        </w:rPr>
        <w:t>Lastly, obtaining conference attendees' opinions via questionnaires, interviews, and qualitative analysis is crucial to determining the event's overall performance. The feedback that is provided has to cover the attendees' contentment levels, their assessments of the conference's significance and influence, and recommendations for enhancement. Through the integration of participant feedback into the assessment procedure, conference organisers can acquire significant understanding of the conference's advantages and disadvantages, as well as pinpoint opportunities for further improvement and advancement. </w:t>
      </w:r>
    </w:p>
    <w:p w14:paraId="53411508" w14:textId="63124C84" w:rsidR="45A2756A" w:rsidRDefault="45A2756A" w:rsidP="45A2756A">
      <w:pPr>
        <w:spacing w:line="360" w:lineRule="auto"/>
        <w:jc w:val="both"/>
        <w:rPr>
          <w:rFonts w:ascii="Arial" w:hAnsi="Arial" w:cs="Arial"/>
          <w:sz w:val="24"/>
          <w:szCs w:val="24"/>
        </w:rPr>
      </w:pPr>
    </w:p>
    <w:p w14:paraId="365A2557" w14:textId="5D484782" w:rsidR="45A2756A" w:rsidRDefault="45A2756A" w:rsidP="45A2756A">
      <w:pPr>
        <w:spacing w:line="360" w:lineRule="auto"/>
        <w:jc w:val="both"/>
        <w:rPr>
          <w:rFonts w:ascii="Arial" w:hAnsi="Arial" w:cs="Arial"/>
          <w:sz w:val="24"/>
          <w:szCs w:val="24"/>
        </w:rPr>
      </w:pPr>
    </w:p>
    <w:p w14:paraId="45E8A620" w14:textId="28647A27" w:rsidR="00D03D88" w:rsidRPr="00EB5FFC" w:rsidRDefault="00D03D88" w:rsidP="45A2756A">
      <w:pPr>
        <w:pStyle w:val="Heading2"/>
      </w:pPr>
      <w:bookmarkStart w:id="45" w:name="_Toc77236808"/>
      <w:bookmarkStart w:id="46" w:name="_Toc1298419038"/>
      <w:bookmarkStart w:id="47" w:name="_Toc316358569"/>
      <w:r w:rsidRPr="45A2756A">
        <w:t>Accessibility and Location</w:t>
      </w:r>
      <w:bookmarkEnd w:id="45"/>
      <w:bookmarkEnd w:id="46"/>
      <w:bookmarkEnd w:id="47"/>
    </w:p>
    <w:p w14:paraId="0939FCAF"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r w:rsidRPr="008144D9">
        <w:rPr>
          <w:rFonts w:ascii="Arial" w:eastAsia="Times New Roman" w:hAnsi="Arial" w:cs="Arial"/>
          <w:color w:val="000000"/>
          <w:kern w:val="0"/>
          <w:sz w:val="24"/>
          <w:szCs w:val="24"/>
          <w14:ligatures w14:val="none"/>
        </w:rPr>
        <w:t xml:space="preserve">Visibility and accessibility are guaranteed by Swansea Arena's strategic location throughout the city (Swansea Arena, 2023). Its central location in Swansea makes it conveniently accessible via bus routes and train terminals, among other forms of transportation. This tactical placement makes it easier for attendees from outside the </w:t>
      </w:r>
      <w:r w:rsidRPr="008144D9">
        <w:rPr>
          <w:rFonts w:ascii="Arial" w:eastAsia="Times New Roman" w:hAnsi="Arial" w:cs="Arial"/>
          <w:color w:val="000000"/>
          <w:kern w:val="0"/>
          <w:sz w:val="24"/>
          <w:szCs w:val="24"/>
          <w14:ligatures w14:val="none"/>
        </w:rPr>
        <w:lastRenderedPageBreak/>
        <w:t>area to come as well, which expands the event's audience and increases participation rates (Locations Direct, 2023).</w:t>
      </w:r>
    </w:p>
    <w:p w14:paraId="109F7E00" w14:textId="77777777" w:rsidR="00D03D88" w:rsidRPr="008144D9" w:rsidRDefault="00D03D88" w:rsidP="00805BB3">
      <w:pPr>
        <w:spacing w:line="360" w:lineRule="auto"/>
        <w:jc w:val="both"/>
        <w:rPr>
          <w:rFonts w:ascii="Arial" w:eastAsia="Times New Roman" w:hAnsi="Arial" w:cs="Arial"/>
          <w:kern w:val="0"/>
          <w:sz w:val="24"/>
          <w:szCs w:val="24"/>
          <w14:ligatures w14:val="none"/>
        </w:rPr>
      </w:pPr>
      <w:r w:rsidRPr="008144D9">
        <w:rPr>
          <w:rFonts w:ascii="Arial" w:eastAsia="Times New Roman" w:hAnsi="Arial" w:cs="Arial"/>
          <w:color w:val="000000"/>
          <w:kern w:val="0"/>
          <w:sz w:val="24"/>
          <w:szCs w:val="24"/>
          <w14:ligatures w14:val="none"/>
        </w:rPr>
        <w:br/>
        <w:t>Despite early plans for the Dylan Thomas Centre, the transport arrangements went smoothly, with buses even finishing drop-offs in the arena. This shows that the venue can handle large-scale events effectively. These smooth logistics lower possible barriers to participation and raise satisfaction levels, all of which add to the guests' overall positive experience (</w:t>
      </w:r>
      <w:proofErr w:type="spellStart"/>
      <w:r w:rsidRPr="008144D9">
        <w:rPr>
          <w:rFonts w:ascii="Arial" w:eastAsia="Times New Roman" w:hAnsi="Arial" w:cs="Arial"/>
          <w:color w:val="000000"/>
          <w:kern w:val="0"/>
          <w:sz w:val="24"/>
          <w:szCs w:val="24"/>
          <w14:ligatures w14:val="none"/>
        </w:rPr>
        <w:t>Mazzei</w:t>
      </w:r>
      <w:proofErr w:type="spellEnd"/>
      <w:r w:rsidRPr="008144D9">
        <w:rPr>
          <w:rFonts w:ascii="Arial" w:eastAsia="Times New Roman" w:hAnsi="Arial" w:cs="Arial"/>
          <w:color w:val="000000"/>
          <w:kern w:val="0"/>
          <w:sz w:val="24"/>
          <w:szCs w:val="24"/>
          <w14:ligatures w14:val="none"/>
        </w:rPr>
        <w:t xml:space="preserve"> &amp; </w:t>
      </w:r>
      <w:proofErr w:type="spellStart"/>
      <w:r w:rsidRPr="008144D9">
        <w:rPr>
          <w:rFonts w:ascii="Arial" w:eastAsia="Times New Roman" w:hAnsi="Arial" w:cs="Arial"/>
          <w:color w:val="000000"/>
          <w:kern w:val="0"/>
          <w:sz w:val="24"/>
          <w:szCs w:val="24"/>
          <w14:ligatures w14:val="none"/>
        </w:rPr>
        <w:t>Tzortzaki</w:t>
      </w:r>
      <w:proofErr w:type="spellEnd"/>
      <w:r w:rsidRPr="008144D9">
        <w:rPr>
          <w:rFonts w:ascii="Arial" w:eastAsia="Times New Roman" w:hAnsi="Arial" w:cs="Arial"/>
          <w:color w:val="000000"/>
          <w:kern w:val="0"/>
          <w:sz w:val="24"/>
          <w:szCs w:val="24"/>
          <w14:ligatures w14:val="none"/>
        </w:rPr>
        <w:t>, 2019). </w:t>
      </w:r>
    </w:p>
    <w:p w14:paraId="51B170DC" w14:textId="77777777" w:rsidR="00D03D88" w:rsidRPr="00EB5FFC" w:rsidRDefault="00D03D88" w:rsidP="00805BB3">
      <w:pPr>
        <w:spacing w:line="360" w:lineRule="auto"/>
        <w:jc w:val="both"/>
        <w:rPr>
          <w:rFonts w:ascii="Arial" w:hAnsi="Arial" w:cs="Arial"/>
          <w:sz w:val="24"/>
          <w:szCs w:val="24"/>
        </w:rPr>
      </w:pPr>
    </w:p>
    <w:p w14:paraId="7B406E3C" w14:textId="5CF268C0" w:rsidR="00D03D88" w:rsidRPr="00EB5FFC" w:rsidRDefault="00D03D88" w:rsidP="45A2756A">
      <w:pPr>
        <w:pStyle w:val="Heading3"/>
      </w:pPr>
      <w:bookmarkStart w:id="48" w:name="_Toc1611286924"/>
      <w:bookmarkStart w:id="49" w:name="_Toc653075154"/>
      <w:bookmarkStart w:id="50" w:name="_Toc202521832"/>
      <w:r>
        <w:t>Spatial Design and Facilities</w:t>
      </w:r>
      <w:bookmarkEnd w:id="48"/>
      <w:bookmarkEnd w:id="49"/>
      <w:bookmarkEnd w:id="50"/>
    </w:p>
    <w:p w14:paraId="71D1E3A9" w14:textId="77777777" w:rsidR="00D03D88" w:rsidRPr="00EB5FFC" w:rsidRDefault="00D03D88" w:rsidP="00805BB3">
      <w:pPr>
        <w:spacing w:line="360" w:lineRule="auto"/>
        <w:jc w:val="both"/>
        <w:rPr>
          <w:rStyle w:val="apple-converted-space"/>
          <w:rFonts w:ascii="Arial" w:eastAsia="Times New Roman" w:hAnsi="Arial" w:cs="Arial"/>
          <w:color w:val="000000"/>
          <w:sz w:val="24"/>
          <w:szCs w:val="24"/>
        </w:rPr>
      </w:pPr>
      <w:r w:rsidRPr="00EB5FFC">
        <w:rPr>
          <w:rFonts w:ascii="Arial" w:eastAsia="Times New Roman" w:hAnsi="Arial" w:cs="Arial"/>
          <w:color w:val="000000"/>
          <w:sz w:val="24"/>
          <w:szCs w:val="24"/>
        </w:rPr>
        <w:t>Swansea Arena's layout makes the most of its use for exhibitions and conferences. Seventy percent of the arena is in use, with breakout rooms for speakers and vendors as well as the upper and lower auditoriums for various uses. This flexible layout allows the stadium to accommodate a wide range of event needs (Swansea Arena, 2023). This flexibility creates a lively and engaging environment by enabling smooth transitions between sessions and networking opportunities (Lee &amp; Kim, 2019).</w:t>
      </w:r>
    </w:p>
    <w:p w14:paraId="5133FD28" w14:textId="6F1B5EB5" w:rsidR="00D03D88" w:rsidRPr="00EB5FFC" w:rsidRDefault="00D03D88" w:rsidP="00805BB3">
      <w:pPr>
        <w:spacing w:line="360" w:lineRule="auto"/>
        <w:jc w:val="both"/>
        <w:rPr>
          <w:rFonts w:ascii="Arial" w:eastAsia="Times New Roman" w:hAnsi="Arial" w:cs="Arial"/>
          <w:color w:val="000000"/>
          <w:sz w:val="24"/>
          <w:szCs w:val="24"/>
        </w:rPr>
      </w:pPr>
      <w:r w:rsidRPr="00EB5FFC">
        <w:rPr>
          <w:rFonts w:ascii="Arial" w:eastAsia="Times New Roman" w:hAnsi="Arial" w:cs="Arial"/>
          <w:color w:val="000000"/>
          <w:sz w:val="24"/>
          <w:szCs w:val="24"/>
        </w:rPr>
        <w:br/>
        <w:t>In addition, the notion of environmental psychology, specifically the theory of place attachment, posits that people form sentimental connections with environments in which they have favourable experiences (</w:t>
      </w:r>
      <w:proofErr w:type="spellStart"/>
      <w:r w:rsidRPr="00EB5FFC">
        <w:rPr>
          <w:rFonts w:ascii="Arial" w:eastAsia="Times New Roman" w:hAnsi="Arial" w:cs="Arial"/>
          <w:color w:val="000000"/>
          <w:sz w:val="24"/>
          <w:szCs w:val="24"/>
        </w:rPr>
        <w:t>Lewicka</w:t>
      </w:r>
      <w:proofErr w:type="spellEnd"/>
      <w:r w:rsidRPr="00EB5FFC">
        <w:rPr>
          <w:rFonts w:ascii="Arial" w:eastAsia="Times New Roman" w:hAnsi="Arial" w:cs="Arial"/>
          <w:color w:val="000000"/>
          <w:sz w:val="24"/>
          <w:szCs w:val="24"/>
        </w:rPr>
        <w:t>, 2011). Swansea Arena's thoughtfully planned areas and state-of-the-art amenities help spectators feel at ease and familiar, which raises their level of pleasure and likelihood of returning for future events.</w:t>
      </w:r>
    </w:p>
    <w:p w14:paraId="5283D659" w14:textId="77777777" w:rsidR="00D03D88" w:rsidRDefault="00D03D88" w:rsidP="00805BB3">
      <w:pPr>
        <w:spacing w:line="360" w:lineRule="auto"/>
        <w:jc w:val="both"/>
        <w:rPr>
          <w:rFonts w:ascii="Arial" w:hAnsi="Arial" w:cs="Arial"/>
          <w:sz w:val="24"/>
          <w:szCs w:val="24"/>
        </w:rPr>
      </w:pPr>
    </w:p>
    <w:p w14:paraId="7F58C426" w14:textId="77777777" w:rsidR="006C682E" w:rsidRPr="00EB5FFC" w:rsidRDefault="006C682E" w:rsidP="00805BB3">
      <w:pPr>
        <w:spacing w:line="360" w:lineRule="auto"/>
        <w:jc w:val="both"/>
        <w:rPr>
          <w:rFonts w:ascii="Arial" w:hAnsi="Arial" w:cs="Arial"/>
          <w:sz w:val="24"/>
          <w:szCs w:val="24"/>
        </w:rPr>
      </w:pPr>
    </w:p>
    <w:p w14:paraId="26C306F9" w14:textId="77777777" w:rsidR="00D03D88" w:rsidRPr="00EB5FFC" w:rsidRDefault="00D03D88" w:rsidP="45A2756A">
      <w:pPr>
        <w:pStyle w:val="Heading3"/>
      </w:pPr>
      <w:bookmarkStart w:id="51" w:name="_Toc2121680420"/>
      <w:bookmarkStart w:id="52" w:name="_Toc1410993448"/>
      <w:bookmarkStart w:id="53" w:name="_Toc738237166"/>
      <w:r>
        <w:t>Atmosphere and Experience</w:t>
      </w:r>
      <w:bookmarkEnd w:id="51"/>
      <w:bookmarkEnd w:id="52"/>
      <w:bookmarkEnd w:id="53"/>
    </w:p>
    <w:p w14:paraId="5296F33B" w14:textId="4F05A800" w:rsidR="00D03D88" w:rsidRPr="00EB5FFC" w:rsidRDefault="00D03D88" w:rsidP="00805BB3">
      <w:pPr>
        <w:spacing w:line="360" w:lineRule="auto"/>
        <w:jc w:val="both"/>
        <w:rPr>
          <w:rStyle w:val="apple-converted-space"/>
          <w:rFonts w:ascii="Arial" w:eastAsia="Times New Roman" w:hAnsi="Arial" w:cs="Arial"/>
          <w:color w:val="000000"/>
          <w:sz w:val="24"/>
          <w:szCs w:val="24"/>
        </w:rPr>
      </w:pPr>
      <w:r w:rsidRPr="45A2756A">
        <w:rPr>
          <w:rFonts w:ascii="Arial" w:eastAsia="Times New Roman" w:hAnsi="Arial" w:cs="Arial"/>
          <w:color w:val="000000" w:themeColor="text1"/>
          <w:sz w:val="24"/>
          <w:szCs w:val="24"/>
        </w:rPr>
        <w:t>Swansea Arena has a lively environment that is a result of its modern facilities, flexible spatial design, and easy accessibility. A modern and welcoming setting greeted participants, encouraging participation and excitement right away (Lee &amp; Kim, 2019). The ability of the venue to accommodate events of different sizes and forms guarantees that the meeting was well-</w:t>
      </w:r>
      <w:r w:rsidR="47975111" w:rsidRPr="45A2756A">
        <w:rPr>
          <w:rFonts w:ascii="Arial" w:eastAsia="Times New Roman" w:hAnsi="Arial" w:cs="Arial"/>
          <w:color w:val="000000" w:themeColor="text1"/>
          <w:sz w:val="24"/>
          <w:szCs w:val="24"/>
        </w:rPr>
        <w:t>attended,</w:t>
      </w:r>
      <w:r w:rsidRPr="45A2756A">
        <w:rPr>
          <w:rFonts w:ascii="Arial" w:eastAsia="Times New Roman" w:hAnsi="Arial" w:cs="Arial"/>
          <w:color w:val="000000" w:themeColor="text1"/>
          <w:sz w:val="24"/>
          <w:szCs w:val="24"/>
        </w:rPr>
        <w:t xml:space="preserve"> and that participants' needs are met.</w:t>
      </w:r>
    </w:p>
    <w:p w14:paraId="03FDF594" w14:textId="77777777" w:rsidR="00D03D88" w:rsidRPr="00EB5FFC" w:rsidRDefault="00D03D88" w:rsidP="00805BB3">
      <w:pPr>
        <w:spacing w:line="360" w:lineRule="auto"/>
        <w:jc w:val="both"/>
        <w:rPr>
          <w:rFonts w:ascii="Arial" w:eastAsia="Times New Roman" w:hAnsi="Arial" w:cs="Arial"/>
          <w:color w:val="000000"/>
          <w:sz w:val="24"/>
          <w:szCs w:val="24"/>
        </w:rPr>
      </w:pPr>
      <w:r w:rsidRPr="00EB5FFC">
        <w:rPr>
          <w:rFonts w:ascii="Arial" w:eastAsia="Times New Roman" w:hAnsi="Arial" w:cs="Arial"/>
          <w:color w:val="000000"/>
          <w:sz w:val="24"/>
          <w:szCs w:val="24"/>
        </w:rPr>
        <w:br/>
        <w:t xml:space="preserve">In addition, the venue's close accessibility to nearby facilities and sights improves attendees' entire experience by offering chances for networking and leisure pursuits </w:t>
      </w:r>
      <w:r w:rsidRPr="00EB5FFC">
        <w:rPr>
          <w:rFonts w:ascii="Arial" w:eastAsia="Times New Roman" w:hAnsi="Arial" w:cs="Arial"/>
          <w:color w:val="000000"/>
          <w:sz w:val="24"/>
          <w:szCs w:val="24"/>
        </w:rPr>
        <w:lastRenderedPageBreak/>
        <w:t>outside of the event (</w:t>
      </w:r>
      <w:proofErr w:type="spellStart"/>
      <w:r w:rsidRPr="00EB5FFC">
        <w:rPr>
          <w:rFonts w:ascii="Arial" w:eastAsia="Times New Roman" w:hAnsi="Arial" w:cs="Arial"/>
          <w:color w:val="000000"/>
          <w:sz w:val="24"/>
          <w:szCs w:val="24"/>
        </w:rPr>
        <w:t>Mazzei</w:t>
      </w:r>
      <w:proofErr w:type="spellEnd"/>
      <w:r w:rsidRPr="00EB5FFC">
        <w:rPr>
          <w:rFonts w:ascii="Arial" w:eastAsia="Times New Roman" w:hAnsi="Arial" w:cs="Arial"/>
          <w:color w:val="000000"/>
          <w:sz w:val="24"/>
          <w:szCs w:val="24"/>
        </w:rPr>
        <w:t xml:space="preserve"> &amp; </w:t>
      </w:r>
      <w:proofErr w:type="spellStart"/>
      <w:r w:rsidRPr="00EB5FFC">
        <w:rPr>
          <w:rFonts w:ascii="Arial" w:eastAsia="Times New Roman" w:hAnsi="Arial" w:cs="Arial"/>
          <w:color w:val="000000"/>
          <w:sz w:val="24"/>
          <w:szCs w:val="24"/>
        </w:rPr>
        <w:t>Tzortzaki</w:t>
      </w:r>
      <w:proofErr w:type="spellEnd"/>
      <w:r w:rsidRPr="00EB5FFC">
        <w:rPr>
          <w:rFonts w:ascii="Arial" w:eastAsia="Times New Roman" w:hAnsi="Arial" w:cs="Arial"/>
          <w:color w:val="000000"/>
          <w:sz w:val="24"/>
          <w:szCs w:val="24"/>
        </w:rPr>
        <w:t>, 2019). This all-encompassing method of event preparation takes into account not just the venue's operational features but also the surrounding area, which helps to contribute to a memorable and fulfilling experience for all involved.</w:t>
      </w:r>
    </w:p>
    <w:p w14:paraId="40C2EBC2" w14:textId="77777777" w:rsidR="00D03D88" w:rsidRPr="00EB5FFC" w:rsidRDefault="00D03D88" w:rsidP="00805BB3">
      <w:pPr>
        <w:spacing w:line="360" w:lineRule="auto"/>
        <w:jc w:val="both"/>
        <w:rPr>
          <w:rFonts w:ascii="Arial" w:hAnsi="Arial" w:cs="Arial"/>
          <w:sz w:val="24"/>
          <w:szCs w:val="24"/>
        </w:rPr>
      </w:pPr>
    </w:p>
    <w:p w14:paraId="47107DAB" w14:textId="5AA98868" w:rsidR="00D03D88" w:rsidRPr="00EB5FFC" w:rsidRDefault="00D03D88" w:rsidP="45A2756A">
      <w:pPr>
        <w:pStyle w:val="Heading3"/>
      </w:pPr>
      <w:bookmarkStart w:id="54" w:name="_Toc119101636"/>
      <w:bookmarkStart w:id="55" w:name="_Toc1485191385"/>
      <w:bookmarkStart w:id="56" w:name="_Toc772740963"/>
      <w:r>
        <w:t>Community Engagement and Social Impact</w:t>
      </w:r>
      <w:bookmarkEnd w:id="54"/>
      <w:bookmarkEnd w:id="55"/>
      <w:bookmarkEnd w:id="56"/>
    </w:p>
    <w:p w14:paraId="5EB1E090" w14:textId="77777777" w:rsidR="00D03D88" w:rsidRPr="00EB5FFC" w:rsidRDefault="00D03D88" w:rsidP="00805BB3">
      <w:pPr>
        <w:spacing w:line="360" w:lineRule="auto"/>
        <w:jc w:val="both"/>
        <w:rPr>
          <w:rStyle w:val="apple-converted-space"/>
          <w:rFonts w:ascii="Arial" w:eastAsia="Times New Roman" w:hAnsi="Arial" w:cs="Arial"/>
          <w:color w:val="000000"/>
          <w:sz w:val="24"/>
          <w:szCs w:val="24"/>
        </w:rPr>
      </w:pPr>
      <w:r w:rsidRPr="00EB5FFC">
        <w:rPr>
          <w:rFonts w:ascii="Arial" w:eastAsia="Times New Roman" w:hAnsi="Arial" w:cs="Arial"/>
          <w:color w:val="000000"/>
          <w:sz w:val="24"/>
          <w:szCs w:val="24"/>
        </w:rPr>
        <w:t xml:space="preserve">Swansea Arena is not just a physical landmark; it also has a big social influence and community involvement. The location promotes social cohesion and civic pride by acting as a centre for cultural and recreational events and acting as a centre of interest for both locals and tourists (Duffy &amp; </w:t>
      </w:r>
      <w:proofErr w:type="spellStart"/>
      <w:r w:rsidRPr="00EB5FFC">
        <w:rPr>
          <w:rFonts w:ascii="Arial" w:eastAsia="Times New Roman" w:hAnsi="Arial" w:cs="Arial"/>
          <w:color w:val="000000"/>
          <w:sz w:val="24"/>
          <w:szCs w:val="24"/>
        </w:rPr>
        <w:t>Vergolini</w:t>
      </w:r>
      <w:proofErr w:type="spellEnd"/>
      <w:r w:rsidRPr="00EB5FFC">
        <w:rPr>
          <w:rFonts w:ascii="Arial" w:eastAsia="Times New Roman" w:hAnsi="Arial" w:cs="Arial"/>
          <w:color w:val="000000"/>
          <w:sz w:val="24"/>
          <w:szCs w:val="24"/>
        </w:rPr>
        <w:t>, 2018). Swansea Arena draws people and makes money for nearby businesses by holding events like the ITT Future You Conference, which advances the intellectual and economic growth of the area.</w:t>
      </w:r>
    </w:p>
    <w:p w14:paraId="6900CD2D" w14:textId="77777777" w:rsidR="00D03D88" w:rsidRPr="00EB5FFC" w:rsidRDefault="00D03D88" w:rsidP="00805BB3">
      <w:pPr>
        <w:spacing w:line="360" w:lineRule="auto"/>
        <w:jc w:val="both"/>
        <w:rPr>
          <w:rFonts w:ascii="Arial" w:eastAsia="Times New Roman" w:hAnsi="Arial" w:cs="Arial"/>
          <w:color w:val="000000"/>
          <w:sz w:val="24"/>
          <w:szCs w:val="24"/>
        </w:rPr>
      </w:pPr>
      <w:r w:rsidRPr="00EB5FFC">
        <w:rPr>
          <w:rFonts w:ascii="Arial" w:eastAsia="Times New Roman" w:hAnsi="Arial" w:cs="Arial"/>
          <w:color w:val="000000"/>
          <w:sz w:val="24"/>
          <w:szCs w:val="24"/>
        </w:rPr>
        <w:br/>
        <w:t>Furthermore, the idea of social capital highlights the value of connections and networks in accomplishing group objectives (Putnam, 2000). By assembling a variety of stakeholders, such as attendees, organisers, vendors, and sponsors, Swansea Arena acts as a catalyst for the development of social capital and promotes knowledge exchange and collaboration (Coleman, 1988). The connections forged during events held at the venue have the potential to yield long-term benefits for individuals and organisations, enhancing their capacity to address common challenges and pursue shared objectives.</w:t>
      </w:r>
    </w:p>
    <w:p w14:paraId="5ECC2185" w14:textId="77777777" w:rsidR="00D03D88" w:rsidRPr="00EB5FFC" w:rsidRDefault="00D03D88" w:rsidP="00805BB3">
      <w:pPr>
        <w:spacing w:line="360" w:lineRule="auto"/>
        <w:jc w:val="both"/>
        <w:rPr>
          <w:rFonts w:ascii="Arial" w:hAnsi="Arial" w:cs="Arial"/>
          <w:sz w:val="24"/>
          <w:szCs w:val="24"/>
        </w:rPr>
      </w:pPr>
    </w:p>
    <w:p w14:paraId="1784A7BB" w14:textId="34E2E4E2" w:rsidR="00D03D88" w:rsidRPr="00EB5FFC" w:rsidRDefault="00D03D88" w:rsidP="45A2756A">
      <w:pPr>
        <w:pStyle w:val="Heading3"/>
      </w:pPr>
      <w:bookmarkStart w:id="57" w:name="_Toc125741027"/>
      <w:bookmarkStart w:id="58" w:name="_Toc229207066"/>
      <w:bookmarkStart w:id="59" w:name="_Toc1534556949"/>
      <w:r>
        <w:t>Sustainability and Environmental Responsibility</w:t>
      </w:r>
      <w:bookmarkEnd w:id="57"/>
      <w:bookmarkEnd w:id="58"/>
      <w:bookmarkEnd w:id="59"/>
    </w:p>
    <w:p w14:paraId="57235DBD"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r w:rsidRPr="0092058F">
        <w:rPr>
          <w:rFonts w:ascii="Arial" w:eastAsia="Times New Roman" w:hAnsi="Arial" w:cs="Arial"/>
          <w:color w:val="000000"/>
          <w:kern w:val="0"/>
          <w:sz w:val="24"/>
          <w:szCs w:val="24"/>
          <w14:ligatures w14:val="none"/>
        </w:rPr>
        <w:t>Venues like Swansea Arena have an obligation to reduce their environmental impact and encourage eco-friendly practices as the world community comes to understand the significance of sustainability (Jones &amp; Comfort, 2020). The venue can show its dedication to environmental stewardship and encourage others to follow suit by implementing programmes like trash reduction, energy efficiency, and carbon offsetting (UNEP, 2019).</w:t>
      </w:r>
    </w:p>
    <w:p w14:paraId="02D00D55" w14:textId="77777777" w:rsidR="00D03D88" w:rsidRPr="0092058F" w:rsidRDefault="00D03D88" w:rsidP="00805BB3">
      <w:pPr>
        <w:spacing w:line="360" w:lineRule="auto"/>
        <w:jc w:val="both"/>
        <w:rPr>
          <w:rFonts w:ascii="Arial" w:eastAsia="Times New Roman" w:hAnsi="Arial" w:cs="Arial"/>
          <w:kern w:val="0"/>
          <w:sz w:val="24"/>
          <w:szCs w:val="24"/>
          <w14:ligatures w14:val="none"/>
        </w:rPr>
      </w:pPr>
      <w:r w:rsidRPr="0092058F">
        <w:rPr>
          <w:rFonts w:ascii="Arial" w:eastAsia="Times New Roman" w:hAnsi="Arial" w:cs="Arial"/>
          <w:color w:val="000000"/>
          <w:kern w:val="0"/>
          <w:sz w:val="24"/>
          <w:szCs w:val="24"/>
          <w14:ligatures w14:val="none"/>
        </w:rPr>
        <w:br/>
        <w:t xml:space="preserve">Furthermore, the idea of sustainable event management places a strong emphasis on incorporating social, cultural, and economic factors into every step of organising and carrying out an event (Van </w:t>
      </w:r>
      <w:proofErr w:type="spellStart"/>
      <w:r w:rsidRPr="0092058F">
        <w:rPr>
          <w:rFonts w:ascii="Arial" w:eastAsia="Times New Roman" w:hAnsi="Arial" w:cs="Arial"/>
          <w:color w:val="000000"/>
          <w:kern w:val="0"/>
          <w:sz w:val="24"/>
          <w:szCs w:val="24"/>
          <w14:ligatures w14:val="none"/>
        </w:rPr>
        <w:t>der</w:t>
      </w:r>
      <w:proofErr w:type="spellEnd"/>
      <w:r w:rsidRPr="0092058F">
        <w:rPr>
          <w:rFonts w:ascii="Arial" w:eastAsia="Times New Roman" w:hAnsi="Arial" w:cs="Arial"/>
          <w:color w:val="000000"/>
          <w:kern w:val="0"/>
          <w:sz w:val="24"/>
          <w:szCs w:val="24"/>
          <w14:ligatures w14:val="none"/>
        </w:rPr>
        <w:t xml:space="preserve"> Borg &amp; Costa, 2021). </w:t>
      </w:r>
    </w:p>
    <w:p w14:paraId="029C180D" w14:textId="77777777" w:rsidR="00D03D88" w:rsidRPr="00EB5FFC" w:rsidRDefault="00D03D88" w:rsidP="00805BB3">
      <w:pPr>
        <w:spacing w:line="360" w:lineRule="auto"/>
        <w:jc w:val="both"/>
        <w:rPr>
          <w:rStyle w:val="apple-converted-space"/>
          <w:rFonts w:ascii="Arial" w:eastAsia="Times New Roman" w:hAnsi="Arial" w:cs="Arial"/>
          <w:color w:val="000000"/>
          <w:sz w:val="24"/>
          <w:szCs w:val="24"/>
        </w:rPr>
      </w:pPr>
      <w:r w:rsidRPr="00EB5FFC">
        <w:rPr>
          <w:rFonts w:ascii="Arial" w:eastAsia="Times New Roman" w:hAnsi="Arial" w:cs="Arial"/>
          <w:color w:val="000000"/>
          <w:sz w:val="24"/>
          <w:szCs w:val="24"/>
        </w:rPr>
        <w:lastRenderedPageBreak/>
        <w:t>Swansea Arena can attract environmentally concerned clients and attendees and improve its reputation as a responsible venue by implementing sustainable practices. Additionally, the venue may aid in the larger shift towards a more resilient and sustainable society by collaborating with regional vendors and endorsing eco-friendly programmes.</w:t>
      </w:r>
    </w:p>
    <w:p w14:paraId="3953579C" w14:textId="77777777" w:rsidR="00D03D88" w:rsidRPr="00EB5FFC" w:rsidRDefault="00D03D88" w:rsidP="00805BB3">
      <w:pPr>
        <w:spacing w:line="360" w:lineRule="auto"/>
        <w:jc w:val="both"/>
        <w:rPr>
          <w:rFonts w:ascii="Arial" w:hAnsi="Arial" w:cs="Arial"/>
          <w:sz w:val="24"/>
          <w:szCs w:val="24"/>
        </w:rPr>
      </w:pPr>
      <w:r w:rsidRPr="00EB5FFC">
        <w:rPr>
          <w:rFonts w:ascii="Arial" w:eastAsia="Times New Roman" w:hAnsi="Arial" w:cs="Arial"/>
          <w:color w:val="000000"/>
          <w:sz w:val="24"/>
          <w:szCs w:val="24"/>
        </w:rPr>
        <w:br/>
        <w:t>In summary, Swansea Arena is a model location for conferences and exhibitions because of its convenient location, adaptable layout, and contemporary facilities. The venue makes a substantial contribution to the success and effect of events conducted on its property by offering frictionless accessibility, encouraging meaningful interactions, and fostering a lively atmosphere. Swansea Arena also acts as a catalyst for social effect, environmental responsibility, and community involvement, highlighting its dedication to promoting change and supporting the well-being of society as a whole.</w:t>
      </w:r>
    </w:p>
    <w:p w14:paraId="47200DD4" w14:textId="77777777" w:rsidR="00D03D88" w:rsidRPr="00EB5FFC" w:rsidRDefault="00D03D88" w:rsidP="00805BB3">
      <w:pPr>
        <w:spacing w:line="360" w:lineRule="auto"/>
        <w:jc w:val="both"/>
        <w:rPr>
          <w:rFonts w:ascii="Arial" w:hAnsi="Arial" w:cs="Arial"/>
          <w:sz w:val="24"/>
          <w:szCs w:val="24"/>
        </w:rPr>
      </w:pPr>
    </w:p>
    <w:p w14:paraId="33BF6498" w14:textId="77777777" w:rsidR="00D03D88" w:rsidRPr="00EB5FFC" w:rsidRDefault="00D03D88" w:rsidP="00805BB3">
      <w:pPr>
        <w:spacing w:line="360" w:lineRule="auto"/>
        <w:jc w:val="both"/>
        <w:rPr>
          <w:rFonts w:ascii="Arial" w:hAnsi="Arial" w:cs="Arial"/>
          <w:sz w:val="24"/>
          <w:szCs w:val="24"/>
        </w:rPr>
      </w:pPr>
    </w:p>
    <w:p w14:paraId="5082E83F" w14:textId="77777777" w:rsidR="00D03D88" w:rsidRPr="00EB5FFC" w:rsidRDefault="00D03D88" w:rsidP="45A2756A">
      <w:pPr>
        <w:pStyle w:val="Heading2"/>
      </w:pPr>
      <w:bookmarkStart w:id="60" w:name="_Toc1407665011"/>
      <w:bookmarkStart w:id="61" w:name="_Toc192108737"/>
      <w:bookmarkStart w:id="62" w:name="_Toc917707353"/>
      <w:r>
        <w:t>Purpose</w:t>
      </w:r>
      <w:bookmarkEnd w:id="60"/>
      <w:bookmarkEnd w:id="61"/>
      <w:bookmarkEnd w:id="62"/>
    </w:p>
    <w:p w14:paraId="4914883C" w14:textId="77777777" w:rsidR="00D03D88" w:rsidRPr="00EB5FFC" w:rsidRDefault="00D03D88" w:rsidP="00805BB3">
      <w:pPr>
        <w:spacing w:line="360" w:lineRule="auto"/>
        <w:jc w:val="both"/>
        <w:rPr>
          <w:rFonts w:ascii="Arial" w:hAnsi="Arial" w:cs="Arial"/>
          <w:sz w:val="24"/>
          <w:szCs w:val="24"/>
        </w:rPr>
      </w:pPr>
    </w:p>
    <w:p w14:paraId="33932A39" w14:textId="5DF84554" w:rsidR="00D03D88" w:rsidRPr="00EB5FFC" w:rsidRDefault="00D03D88" w:rsidP="45A2756A">
      <w:pPr>
        <w:pStyle w:val="Heading3"/>
      </w:pPr>
      <w:bookmarkStart w:id="63" w:name="_Toc1336574568"/>
      <w:bookmarkStart w:id="64" w:name="_Toc533829961"/>
      <w:bookmarkStart w:id="65" w:name="_Toc1911054012"/>
      <w:r>
        <w:t>Exploring Career Development Theories</w:t>
      </w:r>
      <w:bookmarkEnd w:id="63"/>
      <w:bookmarkEnd w:id="64"/>
      <w:bookmarkEnd w:id="65"/>
    </w:p>
    <w:p w14:paraId="2FC78CD9" w14:textId="77777777" w:rsidR="00D03D88" w:rsidRPr="00EB5FFC" w:rsidRDefault="00D03D88" w:rsidP="00805BB3">
      <w:pPr>
        <w:spacing w:line="360" w:lineRule="auto"/>
        <w:jc w:val="both"/>
        <w:rPr>
          <w:rStyle w:val="apple-converted-space"/>
          <w:rFonts w:ascii="Arial" w:eastAsia="Times New Roman" w:hAnsi="Arial" w:cs="Arial"/>
          <w:color w:val="000000"/>
          <w:sz w:val="24"/>
          <w:szCs w:val="24"/>
        </w:rPr>
      </w:pPr>
      <w:r w:rsidRPr="00EB5FFC">
        <w:rPr>
          <w:rFonts w:ascii="Arial" w:eastAsia="Times New Roman" w:hAnsi="Arial" w:cs="Arial"/>
          <w:color w:val="000000"/>
          <w:sz w:val="24"/>
          <w:szCs w:val="24"/>
        </w:rPr>
        <w:t>The conference's primary goal was to assist students in developing their careers. The Career Development Theory of Donald Super offers a framework for comprehending how people manage their careers. According to Super, developing one's profession is a continuous process that is influenced by a range of elements, such as one's own interests, abilities, and outside possibilities (Super, 1957). Super's theory was well supported by the ITT Future You Conference, which exposed students to a variety of career options and prospects within the travel and tourism industry.</w:t>
      </w:r>
    </w:p>
    <w:p w14:paraId="157326E5" w14:textId="77777777" w:rsidR="00D03D88" w:rsidRPr="00EB5FFC" w:rsidRDefault="00D03D88" w:rsidP="00805BB3">
      <w:pPr>
        <w:spacing w:line="360" w:lineRule="auto"/>
        <w:jc w:val="both"/>
        <w:rPr>
          <w:rFonts w:ascii="Arial" w:eastAsia="Times New Roman" w:hAnsi="Arial" w:cs="Arial"/>
          <w:color w:val="000000"/>
          <w:sz w:val="24"/>
          <w:szCs w:val="24"/>
        </w:rPr>
      </w:pPr>
      <w:r w:rsidRPr="00EB5FFC">
        <w:rPr>
          <w:rFonts w:ascii="Arial" w:eastAsia="Times New Roman" w:hAnsi="Arial" w:cs="Arial"/>
          <w:color w:val="000000"/>
          <w:sz w:val="24"/>
          <w:szCs w:val="24"/>
        </w:rPr>
        <w:br/>
        <w:t>Furthermore, the significance of congruence between an individual's chosen job route and personality is underscored by Holland's Theory of Vocational Choice (Holland, 1997). The conference provided insights into many industry sectors, such as ecotourism and hospitality management, enabling students to evaluate their own interests and aptitudes, thereby facilitating better career decision-making.</w:t>
      </w:r>
    </w:p>
    <w:p w14:paraId="7DA7CC4B" w14:textId="77777777" w:rsidR="00D03D88" w:rsidRPr="00EB5FFC" w:rsidRDefault="00D03D88" w:rsidP="00805BB3">
      <w:pPr>
        <w:spacing w:line="360" w:lineRule="auto"/>
        <w:jc w:val="both"/>
        <w:rPr>
          <w:rFonts w:ascii="Arial" w:eastAsia="Times New Roman" w:hAnsi="Arial" w:cs="Arial"/>
          <w:color w:val="000000"/>
          <w:sz w:val="24"/>
          <w:szCs w:val="24"/>
        </w:rPr>
      </w:pPr>
    </w:p>
    <w:p w14:paraId="4C550B81" w14:textId="18889C08" w:rsidR="00D03D88" w:rsidRPr="00EB5FFC" w:rsidRDefault="00D03D88" w:rsidP="45A2756A">
      <w:pPr>
        <w:pStyle w:val="Heading3"/>
      </w:pPr>
      <w:bookmarkStart w:id="66" w:name="_Toc197693860"/>
      <w:bookmarkStart w:id="67" w:name="_Toc1719788974"/>
      <w:bookmarkStart w:id="68" w:name="_Toc461361871"/>
      <w:r>
        <w:lastRenderedPageBreak/>
        <w:t>Networking and Social Capital</w:t>
      </w:r>
      <w:bookmarkEnd w:id="66"/>
      <w:bookmarkEnd w:id="67"/>
      <w:bookmarkEnd w:id="68"/>
    </w:p>
    <w:p w14:paraId="75A72F93" w14:textId="77777777" w:rsidR="00D03D88" w:rsidRDefault="00D03D88" w:rsidP="00805BB3">
      <w:pPr>
        <w:spacing w:line="360" w:lineRule="auto"/>
        <w:jc w:val="both"/>
        <w:rPr>
          <w:rStyle w:val="apple-converted-space"/>
          <w:rFonts w:ascii="Arial" w:eastAsia="Times New Roman" w:hAnsi="Arial" w:cs="Arial"/>
          <w:color w:val="000000"/>
          <w:sz w:val="24"/>
          <w:szCs w:val="24"/>
        </w:rPr>
      </w:pPr>
      <w:r w:rsidRPr="00EB5FFC">
        <w:rPr>
          <w:rFonts w:ascii="Arial" w:eastAsia="Times New Roman" w:hAnsi="Arial" w:cs="Arial"/>
          <w:color w:val="000000"/>
          <w:sz w:val="24"/>
          <w:szCs w:val="24"/>
        </w:rPr>
        <w:t>The ITT Future You Conference's chance for students to network with business leaders was one of its main attractions. According to Bourdieu (1986), the Social Capital Theory posits that the connections and relationships people establish within social networks can result in significant possibilities and resources. Students that attended the conference had access to a professional network that may present them with future job prospects, guidance, and mentoring.</w:t>
      </w:r>
    </w:p>
    <w:p w14:paraId="29D900D5" w14:textId="77777777" w:rsidR="00D03D88" w:rsidRPr="00EB5FFC" w:rsidRDefault="00D03D88" w:rsidP="00805BB3">
      <w:pPr>
        <w:spacing w:line="360" w:lineRule="auto"/>
        <w:jc w:val="both"/>
        <w:rPr>
          <w:rFonts w:ascii="Arial" w:eastAsia="Times New Roman" w:hAnsi="Arial" w:cs="Arial"/>
          <w:color w:val="000000"/>
          <w:sz w:val="24"/>
          <w:szCs w:val="24"/>
        </w:rPr>
      </w:pPr>
      <w:r w:rsidRPr="00EB5FFC">
        <w:rPr>
          <w:rFonts w:ascii="Arial" w:eastAsia="Times New Roman" w:hAnsi="Arial" w:cs="Arial"/>
          <w:color w:val="000000"/>
          <w:sz w:val="24"/>
          <w:szCs w:val="24"/>
        </w:rPr>
        <w:br/>
        <w:t xml:space="preserve">Furthermore, people gain from weak relationships with acquaintances in diverse social circles as well as from strong ties with close contacts, according to </w:t>
      </w:r>
      <w:proofErr w:type="spellStart"/>
      <w:r w:rsidRPr="00EB5FFC">
        <w:rPr>
          <w:rFonts w:ascii="Arial" w:eastAsia="Times New Roman" w:hAnsi="Arial" w:cs="Arial"/>
          <w:color w:val="000000"/>
          <w:sz w:val="24"/>
          <w:szCs w:val="24"/>
        </w:rPr>
        <w:t>Granovetter's</w:t>
      </w:r>
      <w:proofErr w:type="spellEnd"/>
      <w:r w:rsidRPr="00EB5FFC">
        <w:rPr>
          <w:rFonts w:ascii="Arial" w:eastAsia="Times New Roman" w:hAnsi="Arial" w:cs="Arial"/>
          <w:color w:val="000000"/>
          <w:sz w:val="24"/>
          <w:szCs w:val="24"/>
        </w:rPr>
        <w:t xml:space="preserve"> Strength of Weak relationships theory (</w:t>
      </w:r>
      <w:proofErr w:type="spellStart"/>
      <w:r w:rsidRPr="00EB5FFC">
        <w:rPr>
          <w:rFonts w:ascii="Arial" w:eastAsia="Times New Roman" w:hAnsi="Arial" w:cs="Arial"/>
          <w:color w:val="000000"/>
          <w:sz w:val="24"/>
          <w:szCs w:val="24"/>
        </w:rPr>
        <w:t>Granovetter</w:t>
      </w:r>
      <w:proofErr w:type="spellEnd"/>
      <w:r w:rsidRPr="00EB5FFC">
        <w:rPr>
          <w:rFonts w:ascii="Arial" w:eastAsia="Times New Roman" w:hAnsi="Arial" w:cs="Arial"/>
          <w:color w:val="000000"/>
          <w:sz w:val="24"/>
          <w:szCs w:val="24"/>
        </w:rPr>
        <w:t>, 1973). Students were able to build both strong and weak connections inside the sector through the conference, which could be advantageous in their future careers.</w:t>
      </w:r>
    </w:p>
    <w:p w14:paraId="0501AA8C" w14:textId="77777777" w:rsidR="00D03D88" w:rsidRPr="00EB5FFC" w:rsidRDefault="00D03D88" w:rsidP="00805BB3">
      <w:pPr>
        <w:spacing w:line="360" w:lineRule="auto"/>
        <w:jc w:val="both"/>
        <w:rPr>
          <w:rFonts w:ascii="Arial" w:hAnsi="Arial" w:cs="Arial"/>
          <w:sz w:val="24"/>
          <w:szCs w:val="24"/>
        </w:rPr>
      </w:pPr>
    </w:p>
    <w:p w14:paraId="75AF7CC3" w14:textId="4BD6A3B1" w:rsidR="00D03D88" w:rsidRPr="00EB5FFC" w:rsidRDefault="00D03D88" w:rsidP="45A2756A">
      <w:pPr>
        <w:pStyle w:val="Heading3"/>
      </w:pPr>
      <w:bookmarkStart w:id="69" w:name="_Toc562326140"/>
      <w:bookmarkStart w:id="70" w:name="_Toc1335820060"/>
      <w:bookmarkStart w:id="71" w:name="_Toc257119267"/>
      <w:r>
        <w:t>Community and Economic Development</w:t>
      </w:r>
      <w:bookmarkEnd w:id="69"/>
      <w:bookmarkEnd w:id="70"/>
      <w:bookmarkEnd w:id="71"/>
    </w:p>
    <w:p w14:paraId="68524D82"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r w:rsidRPr="00E173F3">
        <w:rPr>
          <w:rFonts w:ascii="Arial" w:eastAsia="Times New Roman" w:hAnsi="Arial" w:cs="Arial"/>
          <w:color w:val="000000"/>
          <w:kern w:val="0"/>
          <w:sz w:val="24"/>
          <w:szCs w:val="24"/>
          <w14:ligatures w14:val="none"/>
        </w:rPr>
        <w:t xml:space="preserve">Beyond helping people advance their careers, the ITT Future You Conference was very important in fostering Swansea's community and economy. Systems theory holds that organisations are part of their surroundings, and both have the ability to influence and be influenced by them (von </w:t>
      </w:r>
      <w:proofErr w:type="spellStart"/>
      <w:r w:rsidRPr="00E173F3">
        <w:rPr>
          <w:rFonts w:ascii="Arial" w:eastAsia="Times New Roman" w:hAnsi="Arial" w:cs="Arial"/>
          <w:color w:val="000000"/>
          <w:kern w:val="0"/>
          <w:sz w:val="24"/>
          <w:szCs w:val="24"/>
          <w14:ligatures w14:val="none"/>
        </w:rPr>
        <w:t>Bertalanffy</w:t>
      </w:r>
      <w:proofErr w:type="spellEnd"/>
      <w:r w:rsidRPr="00E173F3">
        <w:rPr>
          <w:rFonts w:ascii="Arial" w:eastAsia="Times New Roman" w:hAnsi="Arial" w:cs="Arial"/>
          <w:color w:val="000000"/>
          <w:kern w:val="0"/>
          <w:sz w:val="24"/>
          <w:szCs w:val="24"/>
          <w14:ligatures w14:val="none"/>
        </w:rPr>
        <w:t>, 1968). The interconnectivity between the tourism sector and the local community was fostered by the conference's partnership with enterprises, educational institutions, and governmental organisations. </w:t>
      </w:r>
      <w:r w:rsidRPr="00E173F3">
        <w:rPr>
          <w:rFonts w:ascii="Arial" w:eastAsia="Times New Roman" w:hAnsi="Arial" w:cs="Arial"/>
          <w:color w:val="000000"/>
          <w:kern w:val="0"/>
          <w:sz w:val="24"/>
          <w:szCs w:val="24"/>
          <w14:ligatures w14:val="none"/>
        </w:rPr>
        <w:br/>
      </w:r>
      <w:r w:rsidRPr="00E173F3">
        <w:rPr>
          <w:rFonts w:ascii="Arial" w:eastAsia="Times New Roman" w:hAnsi="Arial" w:cs="Arial"/>
          <w:color w:val="000000"/>
          <w:kern w:val="0"/>
          <w:sz w:val="24"/>
          <w:szCs w:val="24"/>
          <w14:ligatures w14:val="none"/>
        </w:rPr>
        <w:br/>
        <w:t>In addition, the occasion enhanced the city's reputation as a vibrant centre for jobs and education pertaining to tourism. According to Place Branding Theory, communities can strategically position themselves by utilising their special qualities and offerings to draw in talent, investment, and tourists (</w:t>
      </w:r>
      <w:proofErr w:type="spellStart"/>
      <w:r w:rsidRPr="00E173F3">
        <w:rPr>
          <w:rFonts w:ascii="Arial" w:eastAsia="Times New Roman" w:hAnsi="Arial" w:cs="Arial"/>
          <w:color w:val="000000"/>
          <w:kern w:val="0"/>
          <w:sz w:val="24"/>
          <w:szCs w:val="24"/>
          <w14:ligatures w14:val="none"/>
        </w:rPr>
        <w:t>Anholt</w:t>
      </w:r>
      <w:proofErr w:type="spellEnd"/>
      <w:r w:rsidRPr="00E173F3">
        <w:rPr>
          <w:rFonts w:ascii="Arial" w:eastAsia="Times New Roman" w:hAnsi="Arial" w:cs="Arial"/>
          <w:color w:val="000000"/>
          <w:kern w:val="0"/>
          <w:sz w:val="24"/>
          <w:szCs w:val="24"/>
          <w14:ligatures w14:val="none"/>
        </w:rPr>
        <w:t>, 2007). </w:t>
      </w:r>
      <w:r w:rsidRPr="00EB5FFC">
        <w:rPr>
          <w:rFonts w:ascii="Arial" w:eastAsia="Times New Roman" w:hAnsi="Arial" w:cs="Arial"/>
          <w:color w:val="000000"/>
          <w:kern w:val="0"/>
          <w:sz w:val="24"/>
          <w:szCs w:val="24"/>
          <w14:ligatures w14:val="none"/>
        </w:rPr>
        <w:t>The conference improved Swansea's reputation and ultimately led to its economic prosperity by highlighting the city's capabilities in tourism education and industry collaboration. </w:t>
      </w:r>
      <w:r w:rsidRPr="00EB5FFC">
        <w:rPr>
          <w:rFonts w:ascii="Arial" w:eastAsia="Times New Roman" w:hAnsi="Arial" w:cs="Arial"/>
          <w:color w:val="000000"/>
          <w:kern w:val="0"/>
          <w:sz w:val="24"/>
          <w:szCs w:val="24"/>
          <w14:ligatures w14:val="none"/>
        </w:rPr>
        <w:br/>
      </w:r>
      <w:r w:rsidRPr="00EB5FFC">
        <w:rPr>
          <w:rFonts w:ascii="Arial" w:eastAsia="Times New Roman" w:hAnsi="Arial" w:cs="Arial"/>
          <w:color w:val="000000"/>
          <w:kern w:val="0"/>
          <w:sz w:val="24"/>
          <w:szCs w:val="24"/>
          <w14:ligatures w14:val="none"/>
        </w:rPr>
        <w:br/>
        <w:t xml:space="preserve">To sum up, the ITT Future You Conference exceeded all expectations in realising its goal of enabling students and promoting expansion in the travel and tourism sector. Through the integration of academic ideas including Place Branding Theory, Social Capital Theory, and Career Development Theory, this evaluation has emphasised how </w:t>
      </w:r>
      <w:r w:rsidRPr="00EB5FFC">
        <w:rPr>
          <w:rFonts w:ascii="Arial" w:eastAsia="Times New Roman" w:hAnsi="Arial" w:cs="Arial"/>
          <w:color w:val="000000"/>
          <w:kern w:val="0"/>
          <w:sz w:val="24"/>
          <w:szCs w:val="24"/>
          <w14:ligatures w14:val="none"/>
        </w:rPr>
        <w:lastRenderedPageBreak/>
        <w:t>well the event served to give students insightful information, facilitate networking, and support Swansea's economic growth. </w:t>
      </w:r>
    </w:p>
    <w:p w14:paraId="01252A61" w14:textId="4DA415A9" w:rsidR="00D03D88" w:rsidRPr="00EB5FFC" w:rsidRDefault="00D03D88" w:rsidP="45A2756A">
      <w:pPr>
        <w:spacing w:line="360" w:lineRule="auto"/>
        <w:jc w:val="both"/>
        <w:rPr>
          <w:rFonts w:ascii="Arial" w:eastAsia="Times New Roman" w:hAnsi="Arial" w:cs="Arial"/>
          <w:sz w:val="24"/>
          <w:szCs w:val="24"/>
        </w:rPr>
      </w:pPr>
    </w:p>
    <w:p w14:paraId="6DC81892" w14:textId="30B0806B" w:rsidR="45A2756A" w:rsidRDefault="45A2756A" w:rsidP="45A2756A">
      <w:pPr>
        <w:spacing w:line="360" w:lineRule="auto"/>
        <w:jc w:val="both"/>
        <w:rPr>
          <w:rFonts w:ascii="Arial" w:eastAsia="Times New Roman" w:hAnsi="Arial" w:cs="Arial"/>
          <w:sz w:val="24"/>
          <w:szCs w:val="24"/>
        </w:rPr>
      </w:pPr>
    </w:p>
    <w:p w14:paraId="2AD487C7" w14:textId="04528D67" w:rsidR="00D03D88" w:rsidRPr="00EB5FFC" w:rsidRDefault="00D03D88" w:rsidP="45A2756A">
      <w:pPr>
        <w:pStyle w:val="Heading2"/>
      </w:pPr>
      <w:bookmarkStart w:id="72" w:name="_Toc605242811"/>
      <w:bookmarkStart w:id="73" w:name="_Toc1511396878"/>
      <w:bookmarkStart w:id="74" w:name="_Toc1779336404"/>
      <w:r>
        <w:t>Need</w:t>
      </w:r>
      <w:bookmarkEnd w:id="72"/>
      <w:bookmarkEnd w:id="73"/>
      <w:bookmarkEnd w:id="74"/>
      <w:r>
        <w:t xml:space="preserve"> </w:t>
      </w:r>
    </w:p>
    <w:p w14:paraId="36699C1F"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r w:rsidRPr="00882F49">
        <w:rPr>
          <w:rFonts w:ascii="Arial" w:eastAsia="Times New Roman" w:hAnsi="Arial" w:cs="Arial"/>
          <w:color w:val="000000"/>
          <w:kern w:val="0"/>
          <w:sz w:val="24"/>
          <w:szCs w:val="24"/>
          <w14:ligatures w14:val="none"/>
        </w:rPr>
        <w:t>The travel and tourism sector and academic institutions work hand in hand to create a collaborative atmosphere that empowers individuals and spurs industry innovation, as demonstrated by the ITT Future You Conference. In order to meet the changing requirements and goals of both professionals and students, the conference adopted a multifaceted strategy, building upon the theoretical frameworks and prior research. </w:t>
      </w:r>
      <w:r w:rsidRPr="00882F49">
        <w:rPr>
          <w:rFonts w:ascii="Arial" w:eastAsia="Times New Roman" w:hAnsi="Arial" w:cs="Arial"/>
          <w:color w:val="000000"/>
          <w:kern w:val="0"/>
          <w:sz w:val="24"/>
          <w:szCs w:val="24"/>
          <w14:ligatures w14:val="none"/>
        </w:rPr>
        <w:br/>
      </w:r>
      <w:r w:rsidRPr="00882F49">
        <w:rPr>
          <w:rFonts w:ascii="Arial" w:eastAsia="Times New Roman" w:hAnsi="Arial" w:cs="Arial"/>
          <w:color w:val="000000"/>
          <w:kern w:val="0"/>
          <w:sz w:val="24"/>
          <w:szCs w:val="24"/>
          <w14:ligatures w14:val="none"/>
        </w:rPr>
        <w:br/>
        <w:t xml:space="preserve">The Theory of Planned Behaviour (TPB), put out by </w:t>
      </w:r>
      <w:proofErr w:type="spellStart"/>
      <w:r w:rsidRPr="00882F49">
        <w:rPr>
          <w:rFonts w:ascii="Arial" w:eastAsia="Times New Roman" w:hAnsi="Arial" w:cs="Arial"/>
          <w:color w:val="000000"/>
          <w:kern w:val="0"/>
          <w:sz w:val="24"/>
          <w:szCs w:val="24"/>
          <w14:ligatures w14:val="none"/>
        </w:rPr>
        <w:t>Ajzen</w:t>
      </w:r>
      <w:proofErr w:type="spellEnd"/>
      <w:r w:rsidRPr="00882F49">
        <w:rPr>
          <w:rFonts w:ascii="Arial" w:eastAsia="Times New Roman" w:hAnsi="Arial" w:cs="Arial"/>
          <w:color w:val="000000"/>
          <w:kern w:val="0"/>
          <w:sz w:val="24"/>
          <w:szCs w:val="24"/>
          <w14:ligatures w14:val="none"/>
        </w:rPr>
        <w:t xml:space="preserve"> (1991), is one of the main hypotheses supporting the success of the conference. </w:t>
      </w:r>
      <w:r w:rsidRPr="00EB5FFC">
        <w:rPr>
          <w:rFonts w:ascii="Arial" w:eastAsia="Times New Roman" w:hAnsi="Arial" w:cs="Arial"/>
          <w:color w:val="000000"/>
          <w:kern w:val="0"/>
          <w:sz w:val="24"/>
          <w:szCs w:val="24"/>
          <w14:ligatures w14:val="none"/>
        </w:rPr>
        <w:t>Subjective norms</w:t>
      </w:r>
      <w:r w:rsidRPr="00882F49">
        <w:rPr>
          <w:rFonts w:ascii="Arial" w:eastAsia="Times New Roman" w:hAnsi="Arial" w:cs="Arial"/>
          <w:color w:val="000000"/>
          <w:kern w:val="0"/>
          <w:sz w:val="24"/>
          <w:szCs w:val="24"/>
          <w14:ligatures w14:val="none"/>
        </w:rPr>
        <w:t xml:space="preserve"> perceived behavioural control, and an individual's attitude towards the behaviour all have an impact on an individual's behaviour, according to TPB.</w:t>
      </w:r>
      <w:r w:rsidRPr="00EB5FFC">
        <w:rPr>
          <w:rFonts w:ascii="Arial" w:eastAsia="Times New Roman" w:hAnsi="Arial" w:cs="Arial"/>
          <w:color w:val="000000"/>
          <w:kern w:val="0"/>
          <w:sz w:val="24"/>
          <w:szCs w:val="24"/>
          <w14:ligatures w14:val="none"/>
        </w:rPr>
        <w:t xml:space="preserve"> The conference planners were able to create sessions and workshops that affected attendees' attitudes and beliefs about pursuing a career in travel and tourism in addition to providing information about job options by incorporating this theory into the conference framework.</w:t>
      </w:r>
    </w:p>
    <w:p w14:paraId="0C9723A6" w14:textId="77777777" w:rsidR="00D03D88" w:rsidRPr="00EB5FFC" w:rsidRDefault="00D03D88" w:rsidP="00805BB3">
      <w:pPr>
        <w:spacing w:line="360" w:lineRule="auto"/>
        <w:jc w:val="both"/>
        <w:rPr>
          <w:rFonts w:ascii="Arial" w:eastAsia="Times New Roman" w:hAnsi="Arial" w:cs="Arial"/>
          <w:kern w:val="0"/>
          <w:sz w:val="24"/>
          <w:szCs w:val="24"/>
          <w14:ligatures w14:val="none"/>
        </w:rPr>
      </w:pPr>
      <w:r w:rsidRPr="00EB5FFC">
        <w:rPr>
          <w:rFonts w:ascii="Arial" w:eastAsia="Times New Roman" w:hAnsi="Arial" w:cs="Arial"/>
          <w:color w:val="000000"/>
          <w:kern w:val="0"/>
          <w:sz w:val="24"/>
          <w:szCs w:val="24"/>
          <w14:ligatures w14:val="none"/>
        </w:rPr>
        <w:br/>
        <w:t>Furthermore, the Social Cognitive Theory (</w:t>
      </w:r>
      <w:proofErr w:type="spellStart"/>
      <w:r w:rsidRPr="00EB5FFC">
        <w:rPr>
          <w:rFonts w:ascii="Arial" w:eastAsia="Times New Roman" w:hAnsi="Arial" w:cs="Arial"/>
          <w:color w:val="000000"/>
          <w:kern w:val="0"/>
          <w:sz w:val="24"/>
          <w:szCs w:val="24"/>
          <w14:ligatures w14:val="none"/>
        </w:rPr>
        <w:t>Bandura</w:t>
      </w:r>
      <w:proofErr w:type="spellEnd"/>
      <w:r w:rsidRPr="00EB5FFC">
        <w:rPr>
          <w:rFonts w:ascii="Arial" w:eastAsia="Times New Roman" w:hAnsi="Arial" w:cs="Arial"/>
          <w:color w:val="000000"/>
          <w:kern w:val="0"/>
          <w:sz w:val="24"/>
          <w:szCs w:val="24"/>
          <w14:ligatures w14:val="none"/>
        </w:rPr>
        <w:t xml:space="preserve">, 1986) offered insightful information about how people pick up new abilities through modelling, imitation, and observation. Through the presentation of industry experts' success stories and best practices, the conference provided a forum for aspiring professionals to witness and model behaviours linked to successful careers in the travel and tourism business. According to </w:t>
      </w:r>
      <w:proofErr w:type="spellStart"/>
      <w:r w:rsidRPr="00EB5FFC">
        <w:rPr>
          <w:rFonts w:ascii="Arial" w:eastAsia="Times New Roman" w:hAnsi="Arial" w:cs="Arial"/>
          <w:color w:val="000000"/>
          <w:kern w:val="0"/>
          <w:sz w:val="24"/>
          <w:szCs w:val="24"/>
          <w14:ligatures w14:val="none"/>
        </w:rPr>
        <w:t>Bandura</w:t>
      </w:r>
      <w:proofErr w:type="spellEnd"/>
      <w:r w:rsidRPr="00EB5FFC">
        <w:rPr>
          <w:rFonts w:ascii="Arial" w:eastAsia="Times New Roman" w:hAnsi="Arial" w:cs="Arial"/>
          <w:color w:val="000000"/>
          <w:kern w:val="0"/>
          <w:sz w:val="24"/>
          <w:szCs w:val="24"/>
          <w14:ligatures w14:val="none"/>
        </w:rPr>
        <w:t>, the attendants' self-efficacy views and professional objectives were significantly shaped by this vicarious learning experience. </w:t>
      </w:r>
    </w:p>
    <w:p w14:paraId="1D3F5306" w14:textId="77777777" w:rsidR="00D03D88" w:rsidRPr="00882F49" w:rsidRDefault="00D03D88" w:rsidP="00805BB3">
      <w:pPr>
        <w:spacing w:line="360" w:lineRule="auto"/>
        <w:jc w:val="both"/>
        <w:rPr>
          <w:rFonts w:ascii="Arial" w:eastAsia="Times New Roman" w:hAnsi="Arial" w:cs="Arial"/>
          <w:kern w:val="0"/>
          <w:sz w:val="24"/>
          <w:szCs w:val="24"/>
          <w14:ligatures w14:val="none"/>
        </w:rPr>
      </w:pPr>
      <w:r w:rsidRPr="00882F49">
        <w:rPr>
          <w:rFonts w:ascii="Arial" w:eastAsia="Times New Roman" w:hAnsi="Arial" w:cs="Arial"/>
          <w:color w:val="000000"/>
          <w:kern w:val="0"/>
          <w:sz w:val="24"/>
          <w:szCs w:val="24"/>
          <w14:ligatures w14:val="none"/>
        </w:rPr>
        <w:t> </w:t>
      </w:r>
    </w:p>
    <w:p w14:paraId="2160DE1B" w14:textId="77777777" w:rsidR="00D03D88" w:rsidRPr="00EB5FFC" w:rsidRDefault="00D03D88" w:rsidP="00805BB3">
      <w:pPr>
        <w:spacing w:line="360" w:lineRule="auto"/>
        <w:jc w:val="both"/>
        <w:rPr>
          <w:rFonts w:ascii="Arial" w:hAnsi="Arial" w:cs="Arial"/>
          <w:sz w:val="24"/>
          <w:szCs w:val="24"/>
        </w:rPr>
      </w:pPr>
    </w:p>
    <w:p w14:paraId="1C356BE1"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r w:rsidRPr="00704507">
        <w:rPr>
          <w:rFonts w:ascii="Arial" w:eastAsia="Times New Roman" w:hAnsi="Arial" w:cs="Arial"/>
          <w:color w:val="000000"/>
          <w:kern w:val="0"/>
          <w:sz w:val="24"/>
          <w:szCs w:val="24"/>
          <w14:ligatures w14:val="none"/>
        </w:rPr>
        <w:t xml:space="preserve">In addition, the Self-Determination Theory (Deci &amp; Ryan, 1985) provided a framework for comprehending the innate incentives propelling people to choose professions in travel and tourism. This theory holds that the basic psychological requirements for relatedness, competence, and autonomy drive human behaviour. The conference's organisers were able to foster an environment that was both supportive and </w:t>
      </w:r>
      <w:r w:rsidRPr="00704507">
        <w:rPr>
          <w:rFonts w:ascii="Arial" w:eastAsia="Times New Roman" w:hAnsi="Arial" w:cs="Arial"/>
          <w:color w:val="000000"/>
          <w:kern w:val="0"/>
          <w:sz w:val="24"/>
          <w:szCs w:val="24"/>
          <w14:ligatures w14:val="none"/>
        </w:rPr>
        <w:lastRenderedPageBreak/>
        <w:t>empowering, allowing participants to freely explore their passions and objectives by coordinating the programme with these intrinsic motivators. </w:t>
      </w:r>
    </w:p>
    <w:p w14:paraId="487867CF" w14:textId="77777777" w:rsidR="00D03D88" w:rsidRPr="00704507" w:rsidRDefault="00D03D88" w:rsidP="00805BB3">
      <w:pPr>
        <w:spacing w:line="360" w:lineRule="auto"/>
        <w:jc w:val="both"/>
        <w:rPr>
          <w:rFonts w:ascii="Arial" w:eastAsia="Times New Roman" w:hAnsi="Arial" w:cs="Arial"/>
          <w:kern w:val="0"/>
          <w:sz w:val="24"/>
          <w:szCs w:val="24"/>
          <w14:ligatures w14:val="none"/>
        </w:rPr>
      </w:pPr>
    </w:p>
    <w:p w14:paraId="4E335E91" w14:textId="209B9D53" w:rsidR="00D03D88" w:rsidRDefault="00D03D88" w:rsidP="00805BB3">
      <w:pPr>
        <w:spacing w:line="360" w:lineRule="auto"/>
        <w:jc w:val="both"/>
        <w:rPr>
          <w:rFonts w:ascii="Arial" w:eastAsia="Times New Roman" w:hAnsi="Arial" w:cs="Arial"/>
          <w:color w:val="000000"/>
          <w:kern w:val="0"/>
          <w:sz w:val="24"/>
          <w:szCs w:val="24"/>
          <w14:ligatures w14:val="none"/>
        </w:rPr>
      </w:pPr>
      <w:r w:rsidRPr="00EB5FFC">
        <w:rPr>
          <w:rFonts w:ascii="Arial" w:eastAsia="Times New Roman" w:hAnsi="Arial" w:cs="Arial"/>
          <w:color w:val="000000"/>
          <w:sz w:val="24"/>
          <w:szCs w:val="24"/>
        </w:rPr>
        <w:t xml:space="preserve">Apart from utilising psychological theories, the conference also considered sociological viewpoints to discuss the wider societal consequences of professions chosen in the travel and </w:t>
      </w:r>
      <w:r w:rsidR="01931ED0" w:rsidRPr="00EB5FFC">
        <w:rPr>
          <w:rFonts w:ascii="Arial" w:eastAsia="Times New Roman" w:hAnsi="Arial" w:cs="Arial"/>
          <w:color w:val="000000"/>
          <w:sz w:val="24"/>
          <w:szCs w:val="24"/>
        </w:rPr>
        <w:t>tourism</w:t>
      </w:r>
      <w:r w:rsidRPr="00EB5FFC">
        <w:rPr>
          <w:rFonts w:ascii="Arial" w:eastAsia="Times New Roman" w:hAnsi="Arial" w:cs="Arial"/>
          <w:color w:val="000000"/>
          <w:sz w:val="24"/>
          <w:szCs w:val="24"/>
        </w:rPr>
        <w:t xml:space="preserve"> sector. Durkheim (1893) developed the Structural Functionalism hypothesis, which emphasises the interconnectedness of social institutions and the roles they play in society. Within the framework of the conference, the travel and tourism sector can be seen as an essential social institution that promotes global understanding and cultural interaction in addition to offering economic opportunities.</w:t>
      </w:r>
      <w:r w:rsidRPr="00EB5FFC">
        <w:rPr>
          <w:rStyle w:val="apple-converted-space"/>
          <w:rFonts w:ascii="Arial" w:eastAsia="Times New Roman" w:hAnsi="Arial" w:cs="Arial"/>
          <w:color w:val="000000"/>
          <w:sz w:val="24"/>
          <w:szCs w:val="24"/>
        </w:rPr>
        <w:t> </w:t>
      </w:r>
      <w:r w:rsidRPr="00EB5FFC">
        <w:rPr>
          <w:rFonts w:ascii="Arial" w:eastAsia="Times New Roman" w:hAnsi="Arial" w:cs="Arial"/>
          <w:color w:val="000000"/>
          <w:kern w:val="0"/>
          <w:sz w:val="24"/>
          <w:szCs w:val="24"/>
          <w14:ligatures w14:val="none"/>
        </w:rPr>
        <w:t>The conference enhanced the functional stability and cohesion of society at large by boosting professions in this field.</w:t>
      </w:r>
    </w:p>
    <w:p w14:paraId="23BFCFDF" w14:textId="04D37672" w:rsidR="00D03D88" w:rsidRPr="00EB5FFC" w:rsidRDefault="00D03D88" w:rsidP="00805BB3">
      <w:pPr>
        <w:spacing w:line="360" w:lineRule="auto"/>
        <w:jc w:val="both"/>
        <w:rPr>
          <w:rFonts w:ascii="Arial" w:eastAsia="Times New Roman" w:hAnsi="Arial" w:cs="Arial"/>
          <w:kern w:val="0"/>
          <w:sz w:val="24"/>
          <w:szCs w:val="24"/>
          <w14:ligatures w14:val="none"/>
        </w:rPr>
      </w:pPr>
      <w:r w:rsidRPr="00EB5FFC">
        <w:rPr>
          <w:rFonts w:ascii="Arial" w:eastAsia="Times New Roman" w:hAnsi="Arial" w:cs="Arial"/>
          <w:color w:val="000000"/>
          <w:kern w:val="0"/>
          <w:sz w:val="24"/>
          <w:szCs w:val="24"/>
          <w14:ligatures w14:val="none"/>
        </w:rPr>
        <w:br/>
        <w:t xml:space="preserve">Furthermore, Marx (1867) promoted the Conflict Theory, which provided important insights into the power dynamics present in the travel and </w:t>
      </w:r>
      <w:r w:rsidR="081D5305" w:rsidRPr="00EB5FFC">
        <w:rPr>
          <w:rFonts w:ascii="Arial" w:eastAsia="Times New Roman" w:hAnsi="Arial" w:cs="Arial"/>
          <w:color w:val="000000"/>
          <w:kern w:val="0"/>
          <w:sz w:val="24"/>
          <w:szCs w:val="24"/>
          <w14:ligatures w14:val="none"/>
        </w:rPr>
        <w:t>tourism</w:t>
      </w:r>
      <w:r w:rsidRPr="00EB5FFC">
        <w:rPr>
          <w:rFonts w:ascii="Arial" w:eastAsia="Times New Roman" w:hAnsi="Arial" w:cs="Arial"/>
          <w:color w:val="000000"/>
          <w:kern w:val="0"/>
          <w:sz w:val="24"/>
          <w:szCs w:val="24"/>
          <w14:ligatures w14:val="none"/>
        </w:rPr>
        <w:t xml:space="preserve"> sector. This theory holds that disparities in society are caused by the unequal distribution of opportunities and resources, which is sustained by dominant groups in order to preserve their privilege. In order to challenge established power structures and encourage social mobility, the conference sought to address these discrepancies by giving people from a variety of backgrounds access to industry insights and networking opportunities. </w:t>
      </w:r>
    </w:p>
    <w:p w14:paraId="109666C5" w14:textId="77777777" w:rsidR="00D03D88" w:rsidRPr="00EB5FFC" w:rsidRDefault="00D03D88" w:rsidP="00805BB3">
      <w:pPr>
        <w:spacing w:line="360" w:lineRule="auto"/>
        <w:jc w:val="both"/>
        <w:rPr>
          <w:rFonts w:ascii="Arial" w:hAnsi="Arial" w:cs="Arial"/>
          <w:sz w:val="24"/>
          <w:szCs w:val="24"/>
        </w:rPr>
      </w:pPr>
    </w:p>
    <w:p w14:paraId="74F1555A"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r w:rsidRPr="004C7BAA">
        <w:rPr>
          <w:rFonts w:ascii="Arial" w:eastAsia="Times New Roman" w:hAnsi="Arial" w:cs="Arial"/>
          <w:color w:val="000000"/>
          <w:kern w:val="0"/>
          <w:sz w:val="24"/>
          <w:szCs w:val="24"/>
          <w14:ligatures w14:val="none"/>
        </w:rPr>
        <w:t>Furthermore, the occasion accepted the tenets of sustainable development theory, acknowledging the mutual dependence of social justice, environmental conservation, and economic prosperity (WCED, 1987). The conference underscored the significance of sustainable business models and responsible tourism practices in light of the difficulties facing the travel and tourism sector, including climate change and over tourism. The conference emphasised the industry's dedication to preserving natural resources and helping local communities for future generations by promoting sustainable development concepts. </w:t>
      </w:r>
    </w:p>
    <w:p w14:paraId="696449F7" w14:textId="77777777" w:rsidR="00D03D88" w:rsidRPr="004C7BAA" w:rsidRDefault="00D03D88" w:rsidP="00805BB3">
      <w:pPr>
        <w:spacing w:line="360" w:lineRule="auto"/>
        <w:jc w:val="both"/>
        <w:rPr>
          <w:rFonts w:ascii="Arial" w:eastAsia="Times New Roman" w:hAnsi="Arial" w:cs="Arial"/>
          <w:kern w:val="0"/>
          <w:sz w:val="24"/>
          <w:szCs w:val="24"/>
          <w14:ligatures w14:val="none"/>
        </w:rPr>
      </w:pPr>
    </w:p>
    <w:p w14:paraId="477674B4" w14:textId="77777777" w:rsidR="00D03D88" w:rsidRPr="00EB5FFC" w:rsidRDefault="00D03D88" w:rsidP="00805BB3">
      <w:pPr>
        <w:spacing w:line="360" w:lineRule="auto"/>
        <w:jc w:val="both"/>
        <w:rPr>
          <w:rFonts w:ascii="Arial" w:eastAsia="Times New Roman" w:hAnsi="Arial" w:cs="Arial"/>
          <w:color w:val="000000"/>
          <w:sz w:val="24"/>
          <w:szCs w:val="24"/>
        </w:rPr>
      </w:pPr>
      <w:r w:rsidRPr="00EB5FFC">
        <w:rPr>
          <w:rFonts w:ascii="Arial" w:eastAsia="Times New Roman" w:hAnsi="Arial" w:cs="Arial"/>
          <w:color w:val="000000"/>
          <w:sz w:val="24"/>
          <w:szCs w:val="24"/>
        </w:rPr>
        <w:t xml:space="preserve">In summary, the ITT Future You Conference in Swansea adopted a holistic approach that incorporated psychological, sociological, and environmental ideas to serve the many requirements of delegates and the industry at large, surpassing its position as a simple networking event. Through the promotion of sustainability, innovation, and </w:t>
      </w:r>
      <w:r w:rsidRPr="00EB5FFC">
        <w:rPr>
          <w:rFonts w:ascii="Arial" w:eastAsia="Times New Roman" w:hAnsi="Arial" w:cs="Arial"/>
          <w:color w:val="000000"/>
          <w:sz w:val="24"/>
          <w:szCs w:val="24"/>
        </w:rPr>
        <w:lastRenderedPageBreak/>
        <w:t>collaboration, the conference demonstrated the transformative power of education and group action in influencing the direction of travel and tourism.</w:t>
      </w:r>
    </w:p>
    <w:p w14:paraId="2667ED6A" w14:textId="77777777" w:rsidR="00D03D88" w:rsidRDefault="00D03D88" w:rsidP="00805BB3">
      <w:pPr>
        <w:spacing w:line="360" w:lineRule="auto"/>
        <w:jc w:val="both"/>
        <w:rPr>
          <w:rFonts w:ascii="Arial" w:hAnsi="Arial" w:cs="Arial"/>
          <w:sz w:val="24"/>
          <w:szCs w:val="24"/>
        </w:rPr>
      </w:pPr>
    </w:p>
    <w:p w14:paraId="2C5D065B" w14:textId="77777777" w:rsidR="006B2624" w:rsidRPr="00EB5FFC" w:rsidRDefault="006B2624" w:rsidP="00805BB3">
      <w:pPr>
        <w:spacing w:line="360" w:lineRule="auto"/>
        <w:jc w:val="both"/>
        <w:rPr>
          <w:rFonts w:ascii="Arial" w:hAnsi="Arial" w:cs="Arial"/>
          <w:sz w:val="24"/>
          <w:szCs w:val="24"/>
        </w:rPr>
      </w:pPr>
    </w:p>
    <w:p w14:paraId="7C0BD50B" w14:textId="77777777" w:rsidR="00D03D88" w:rsidRPr="00EB5FFC" w:rsidRDefault="00D03D88" w:rsidP="45A2756A">
      <w:pPr>
        <w:pStyle w:val="Heading2"/>
      </w:pPr>
      <w:bookmarkStart w:id="75" w:name="_Toc493017604"/>
      <w:bookmarkStart w:id="76" w:name="_Toc112250608"/>
      <w:bookmarkStart w:id="77" w:name="_Toc947363307"/>
      <w:r>
        <w:t>Audience</w:t>
      </w:r>
      <w:bookmarkEnd w:id="75"/>
      <w:bookmarkEnd w:id="76"/>
      <w:bookmarkEnd w:id="77"/>
    </w:p>
    <w:p w14:paraId="6CF90985"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r w:rsidRPr="00BD4DEB">
        <w:rPr>
          <w:rFonts w:ascii="Arial" w:eastAsia="Times New Roman" w:hAnsi="Arial" w:cs="Arial"/>
          <w:color w:val="000000"/>
          <w:kern w:val="0"/>
          <w:sz w:val="24"/>
          <w:szCs w:val="24"/>
          <w14:ligatures w14:val="none"/>
        </w:rPr>
        <w:t>Exceeding all expectations, the 2024 ITT Future You Conference brought together over 400 participants from other nearby universities. The audience's wide range of interests, as expected, reflected the complexity of the travel and tourism sector. </w:t>
      </w:r>
      <w:r w:rsidRPr="00BD4DEB">
        <w:rPr>
          <w:rFonts w:ascii="Arial" w:eastAsia="Times New Roman" w:hAnsi="Arial" w:cs="Arial"/>
          <w:color w:val="000000"/>
          <w:kern w:val="0"/>
          <w:sz w:val="24"/>
          <w:szCs w:val="24"/>
          <w14:ligatures w14:val="none"/>
        </w:rPr>
        <w:br/>
      </w:r>
      <w:r w:rsidRPr="00BD4DEB">
        <w:rPr>
          <w:rFonts w:ascii="Arial" w:eastAsia="Times New Roman" w:hAnsi="Arial" w:cs="Arial"/>
          <w:color w:val="000000"/>
          <w:kern w:val="0"/>
          <w:sz w:val="24"/>
          <w:szCs w:val="24"/>
          <w14:ligatures w14:val="none"/>
        </w:rPr>
        <w:br/>
        <w:t>Constructed as an occasion "for students, by students," the conference provided presentations and seminars addressing a wide range of subjects to appeal to the highly concentrated audience. These included destination management; environmentally conscious tourism practices; hospitality trends; digital marketing strategies; adventure travel; and emerging technology such as virtual reality and artificial intelligence.</w:t>
      </w:r>
    </w:p>
    <w:p w14:paraId="28EF1D31" w14:textId="77777777" w:rsidR="00D03D88" w:rsidRPr="00BD4DEB" w:rsidRDefault="00D03D88" w:rsidP="00805BB3">
      <w:pPr>
        <w:spacing w:line="360" w:lineRule="auto"/>
        <w:jc w:val="both"/>
        <w:rPr>
          <w:rFonts w:ascii="Arial" w:eastAsia="Times New Roman" w:hAnsi="Arial" w:cs="Arial"/>
          <w:kern w:val="0"/>
          <w:sz w:val="24"/>
          <w:szCs w:val="24"/>
          <w14:ligatures w14:val="none"/>
        </w:rPr>
      </w:pPr>
      <w:r w:rsidRPr="00BD4DEB">
        <w:rPr>
          <w:rFonts w:ascii="Arial" w:eastAsia="Times New Roman" w:hAnsi="Arial" w:cs="Arial"/>
          <w:color w:val="000000"/>
          <w:kern w:val="0"/>
          <w:sz w:val="24"/>
          <w:szCs w:val="24"/>
          <w14:ligatures w14:val="none"/>
        </w:rPr>
        <w:br/>
        <w:t>The topics chosen were in line with the audience segmentation theory (Katz, 1959), which acknowledged that participants have different needs, interests, and preferences. Through the implementation of tailored communication strategies, the conference successfully involved attendees from many areas of interest. </w:t>
      </w:r>
    </w:p>
    <w:p w14:paraId="783FAD99" w14:textId="77777777" w:rsidR="00D03D88" w:rsidRPr="00EB5FFC" w:rsidRDefault="00D03D88" w:rsidP="00805BB3">
      <w:pPr>
        <w:spacing w:line="360" w:lineRule="auto"/>
        <w:jc w:val="both"/>
        <w:rPr>
          <w:rFonts w:ascii="Arial" w:hAnsi="Arial" w:cs="Arial"/>
          <w:sz w:val="24"/>
          <w:szCs w:val="24"/>
        </w:rPr>
      </w:pPr>
    </w:p>
    <w:p w14:paraId="3DF3CDC1"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r w:rsidRPr="00FB64ED">
        <w:rPr>
          <w:rFonts w:ascii="Arial" w:eastAsia="Times New Roman" w:hAnsi="Arial" w:cs="Arial"/>
          <w:color w:val="000000"/>
          <w:kern w:val="0"/>
          <w:sz w:val="24"/>
          <w:szCs w:val="24"/>
          <w14:ligatures w14:val="none"/>
        </w:rPr>
        <w:t>Attendees had high expectations and looked for experiences that added value to make their time and money worthwhile. This is consistent with Expectancy Theory (Vroom, 1964), which postulates that people are driven to act in ways that result in the outcomes they want. The conference promoted audience satisfaction and retention by living up to these expectations through thought-provoking panel discussions, interactive workshops, and networking opportunities</w:t>
      </w:r>
      <w:r>
        <w:rPr>
          <w:rFonts w:ascii="Arial" w:eastAsia="Times New Roman" w:hAnsi="Arial" w:cs="Arial"/>
          <w:color w:val="000000"/>
          <w:kern w:val="0"/>
          <w:sz w:val="24"/>
          <w:szCs w:val="24"/>
          <w14:ligatures w14:val="none"/>
        </w:rPr>
        <w:t>.</w:t>
      </w:r>
    </w:p>
    <w:p w14:paraId="4D2932AA"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r w:rsidRPr="00FB64ED">
        <w:rPr>
          <w:rFonts w:ascii="Arial" w:eastAsia="Times New Roman" w:hAnsi="Arial" w:cs="Arial"/>
          <w:color w:val="000000"/>
          <w:kern w:val="0"/>
          <w:sz w:val="24"/>
          <w:szCs w:val="24"/>
          <w14:ligatures w14:val="none"/>
        </w:rPr>
        <w:br/>
        <w:t>The conference's distinctive selling proposition, which was underlined by Social Exchange Theory (</w:t>
      </w:r>
      <w:proofErr w:type="spellStart"/>
      <w:r w:rsidRPr="00FB64ED">
        <w:rPr>
          <w:rFonts w:ascii="Arial" w:eastAsia="Times New Roman" w:hAnsi="Arial" w:cs="Arial"/>
          <w:color w:val="000000"/>
          <w:kern w:val="0"/>
          <w:sz w:val="24"/>
          <w:szCs w:val="24"/>
          <w14:ligatures w14:val="none"/>
        </w:rPr>
        <w:t>Granovetter</w:t>
      </w:r>
      <w:proofErr w:type="spellEnd"/>
      <w:r w:rsidRPr="00FB64ED">
        <w:rPr>
          <w:rFonts w:ascii="Arial" w:eastAsia="Times New Roman" w:hAnsi="Arial" w:cs="Arial"/>
          <w:color w:val="000000"/>
          <w:kern w:val="0"/>
          <w:sz w:val="24"/>
          <w:szCs w:val="24"/>
          <w14:ligatures w14:val="none"/>
        </w:rPr>
        <w:t>, 1973; Burt, 1992), was its role in linking academia and industry. Opportunities to network with business leaders gave rise to priceless insights about market trends, career paths, and professional growth.</w:t>
      </w:r>
    </w:p>
    <w:p w14:paraId="40897D86" w14:textId="77777777" w:rsidR="00D03D88" w:rsidRPr="00FB64ED" w:rsidRDefault="00D03D88" w:rsidP="00805BB3">
      <w:pPr>
        <w:spacing w:line="360" w:lineRule="auto"/>
        <w:jc w:val="both"/>
        <w:rPr>
          <w:rFonts w:ascii="Arial" w:eastAsia="Times New Roman" w:hAnsi="Arial" w:cs="Arial"/>
          <w:kern w:val="0"/>
          <w:sz w:val="24"/>
          <w:szCs w:val="24"/>
          <w14:ligatures w14:val="none"/>
        </w:rPr>
      </w:pPr>
    </w:p>
    <w:p w14:paraId="75A14861"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r w:rsidRPr="007C3A65">
        <w:rPr>
          <w:rFonts w:ascii="Arial" w:eastAsia="Times New Roman" w:hAnsi="Arial" w:cs="Arial"/>
          <w:color w:val="000000"/>
          <w:kern w:val="0"/>
          <w:sz w:val="24"/>
          <w:szCs w:val="24"/>
          <w14:ligatures w14:val="none"/>
        </w:rPr>
        <w:lastRenderedPageBreak/>
        <w:t>Additionally, by providing case studies and practical insights, the conference enhanced students' understanding of real-world issues and business solutions through experiential learning. This method supports the Experiential Learning Theory (</w:t>
      </w:r>
      <w:proofErr w:type="spellStart"/>
      <w:r w:rsidRPr="007C3A65">
        <w:rPr>
          <w:rFonts w:ascii="Arial" w:eastAsia="Times New Roman" w:hAnsi="Arial" w:cs="Arial"/>
          <w:color w:val="000000"/>
          <w:kern w:val="0"/>
          <w:sz w:val="24"/>
          <w:szCs w:val="24"/>
          <w14:ligatures w14:val="none"/>
        </w:rPr>
        <w:t>Kolb</w:t>
      </w:r>
      <w:proofErr w:type="spellEnd"/>
      <w:r w:rsidRPr="007C3A65">
        <w:rPr>
          <w:rFonts w:ascii="Arial" w:eastAsia="Times New Roman" w:hAnsi="Arial" w:cs="Arial"/>
          <w:color w:val="000000"/>
          <w:kern w:val="0"/>
          <w:sz w:val="24"/>
          <w:szCs w:val="24"/>
          <w14:ligatures w14:val="none"/>
        </w:rPr>
        <w:t>, 1984) by encouraging the application of theoretical ideas to real-world situations, which develops critical thinking skills.</w:t>
      </w:r>
    </w:p>
    <w:p w14:paraId="4762B51D" w14:textId="77777777" w:rsidR="00D03D88" w:rsidRPr="007C3A65" w:rsidRDefault="00D03D88" w:rsidP="00805BB3">
      <w:pPr>
        <w:spacing w:line="360" w:lineRule="auto"/>
        <w:jc w:val="both"/>
        <w:rPr>
          <w:rFonts w:ascii="Arial" w:eastAsia="Times New Roman" w:hAnsi="Arial" w:cs="Arial"/>
          <w:kern w:val="0"/>
          <w:sz w:val="24"/>
          <w:szCs w:val="24"/>
          <w14:ligatures w14:val="none"/>
        </w:rPr>
      </w:pPr>
      <w:r w:rsidRPr="007C3A65">
        <w:rPr>
          <w:rFonts w:ascii="Arial" w:eastAsia="Times New Roman" w:hAnsi="Arial" w:cs="Arial"/>
          <w:color w:val="000000"/>
          <w:kern w:val="0"/>
          <w:sz w:val="24"/>
          <w:szCs w:val="24"/>
          <w14:ligatures w14:val="none"/>
        </w:rPr>
        <w:br/>
        <w:t>Students were further engaged through interactive workshops and panel discussions, which encouraged information retention and conversation about opportunities and issues facing the sector. Constructivism placed a strong focus on the value of varied viewpoints in enhancing educational opportunities (</w:t>
      </w:r>
      <w:proofErr w:type="spellStart"/>
      <w:r w:rsidRPr="007C3A65">
        <w:rPr>
          <w:rFonts w:ascii="Arial" w:eastAsia="Times New Roman" w:hAnsi="Arial" w:cs="Arial"/>
          <w:color w:val="000000"/>
          <w:kern w:val="0"/>
          <w:sz w:val="24"/>
          <w:szCs w:val="24"/>
          <w14:ligatures w14:val="none"/>
        </w:rPr>
        <w:t>Vygotsky</w:t>
      </w:r>
      <w:proofErr w:type="spellEnd"/>
      <w:r w:rsidRPr="007C3A65">
        <w:rPr>
          <w:rFonts w:ascii="Arial" w:eastAsia="Times New Roman" w:hAnsi="Arial" w:cs="Arial"/>
          <w:color w:val="000000"/>
          <w:kern w:val="0"/>
          <w:sz w:val="24"/>
          <w:szCs w:val="24"/>
          <w14:ligatures w14:val="none"/>
        </w:rPr>
        <w:t xml:space="preserve">, 1978; </w:t>
      </w:r>
      <w:proofErr w:type="spellStart"/>
      <w:r w:rsidRPr="007C3A65">
        <w:rPr>
          <w:rFonts w:ascii="Arial" w:eastAsia="Times New Roman" w:hAnsi="Arial" w:cs="Arial"/>
          <w:color w:val="000000"/>
          <w:kern w:val="0"/>
          <w:sz w:val="24"/>
          <w:szCs w:val="24"/>
          <w14:ligatures w14:val="none"/>
        </w:rPr>
        <w:t>Rogoff</w:t>
      </w:r>
      <w:proofErr w:type="spellEnd"/>
      <w:r w:rsidRPr="007C3A65">
        <w:rPr>
          <w:rFonts w:ascii="Arial" w:eastAsia="Times New Roman" w:hAnsi="Arial" w:cs="Arial"/>
          <w:color w:val="000000"/>
          <w:kern w:val="0"/>
          <w:sz w:val="24"/>
          <w:szCs w:val="24"/>
          <w14:ligatures w14:val="none"/>
        </w:rPr>
        <w:t>, 1990). </w:t>
      </w:r>
      <w:r w:rsidRPr="007C3A65">
        <w:rPr>
          <w:rFonts w:ascii="Arial" w:eastAsia="Times New Roman" w:hAnsi="Arial" w:cs="Arial"/>
          <w:color w:val="000000"/>
          <w:kern w:val="0"/>
          <w:sz w:val="24"/>
          <w:szCs w:val="24"/>
          <w14:ligatures w14:val="none"/>
        </w:rPr>
        <w:br/>
      </w:r>
      <w:r w:rsidRPr="007C3A65">
        <w:rPr>
          <w:rFonts w:ascii="Arial" w:eastAsia="Times New Roman" w:hAnsi="Arial" w:cs="Arial"/>
          <w:color w:val="000000"/>
          <w:kern w:val="0"/>
          <w:sz w:val="24"/>
          <w:szCs w:val="24"/>
          <w14:ligatures w14:val="none"/>
        </w:rPr>
        <w:br/>
        <w:t>In keeping with views on how cultural experiences can influence travellers' opinions, the conference also provided a forum for destination marketing and cultural immersion (Gartner, 1993). Students' comprehension of a variety of travel experiences and destination offerings was enhanced by events like culinary demonstrations, local tours, and cultural performances. </w:t>
      </w:r>
    </w:p>
    <w:p w14:paraId="30CAE763" w14:textId="77777777" w:rsidR="00D03D88" w:rsidRPr="00EB5FFC" w:rsidRDefault="00D03D88" w:rsidP="00805BB3">
      <w:pPr>
        <w:spacing w:line="360" w:lineRule="auto"/>
        <w:jc w:val="both"/>
        <w:rPr>
          <w:rFonts w:ascii="Arial" w:hAnsi="Arial" w:cs="Arial"/>
          <w:sz w:val="24"/>
          <w:szCs w:val="24"/>
        </w:rPr>
      </w:pPr>
    </w:p>
    <w:p w14:paraId="731B903C" w14:textId="77777777" w:rsidR="00D03D88" w:rsidRPr="00EB5FFC" w:rsidRDefault="00D03D88" w:rsidP="00805BB3">
      <w:pPr>
        <w:spacing w:line="360" w:lineRule="auto"/>
        <w:jc w:val="both"/>
        <w:rPr>
          <w:rFonts w:ascii="Arial" w:eastAsia="Times New Roman" w:hAnsi="Arial" w:cs="Arial"/>
          <w:color w:val="000000"/>
          <w:sz w:val="24"/>
          <w:szCs w:val="24"/>
        </w:rPr>
      </w:pPr>
      <w:r w:rsidRPr="00EB5FFC">
        <w:rPr>
          <w:rFonts w:ascii="Arial" w:eastAsia="Times New Roman" w:hAnsi="Arial" w:cs="Arial"/>
          <w:color w:val="000000"/>
          <w:sz w:val="24"/>
          <w:szCs w:val="24"/>
        </w:rPr>
        <w:t>To sum up, the ITT Future You Conference demonstrated the transforming ability of theoretical frameworks to influence practical applications. Through the conference, students were able to acquire priceless knowledge, abilities, and contacts that will help shape the future of the travel and tourism sector.</w:t>
      </w:r>
    </w:p>
    <w:p w14:paraId="037954BF" w14:textId="77777777" w:rsidR="00D03D88" w:rsidRDefault="00D03D88" w:rsidP="00805BB3">
      <w:pPr>
        <w:spacing w:line="360" w:lineRule="auto"/>
        <w:jc w:val="both"/>
        <w:rPr>
          <w:rFonts w:ascii="Arial" w:hAnsi="Arial" w:cs="Arial"/>
          <w:sz w:val="24"/>
          <w:szCs w:val="24"/>
        </w:rPr>
      </w:pPr>
    </w:p>
    <w:p w14:paraId="0DA0C164" w14:textId="77777777" w:rsidR="006B2624" w:rsidRPr="00EB5FFC" w:rsidRDefault="006B2624" w:rsidP="00805BB3">
      <w:pPr>
        <w:spacing w:line="360" w:lineRule="auto"/>
        <w:jc w:val="both"/>
        <w:rPr>
          <w:rFonts w:ascii="Arial" w:hAnsi="Arial" w:cs="Arial"/>
          <w:sz w:val="24"/>
          <w:szCs w:val="24"/>
        </w:rPr>
      </w:pPr>
    </w:p>
    <w:p w14:paraId="6FE83A39" w14:textId="5A924175" w:rsidR="45A2756A" w:rsidRDefault="45A2756A" w:rsidP="45A2756A">
      <w:pPr>
        <w:spacing w:line="360" w:lineRule="auto"/>
        <w:jc w:val="both"/>
        <w:rPr>
          <w:rFonts w:ascii="Arial" w:hAnsi="Arial" w:cs="Arial"/>
          <w:sz w:val="24"/>
          <w:szCs w:val="24"/>
        </w:rPr>
      </w:pPr>
    </w:p>
    <w:p w14:paraId="3B5595E2" w14:textId="71A3AB59" w:rsidR="45A2756A" w:rsidRDefault="45A2756A" w:rsidP="45A2756A">
      <w:pPr>
        <w:spacing w:line="360" w:lineRule="auto"/>
        <w:jc w:val="both"/>
        <w:rPr>
          <w:rFonts w:ascii="Arial" w:hAnsi="Arial" w:cs="Arial"/>
          <w:sz w:val="24"/>
          <w:szCs w:val="24"/>
        </w:rPr>
      </w:pPr>
    </w:p>
    <w:p w14:paraId="156CE4E8" w14:textId="07C99506" w:rsidR="00D03D88" w:rsidRPr="00EB5FFC" w:rsidRDefault="00D03D88" w:rsidP="45A2756A">
      <w:pPr>
        <w:pStyle w:val="Heading2"/>
      </w:pPr>
      <w:bookmarkStart w:id="78" w:name="_Toc1232345530"/>
      <w:bookmarkStart w:id="79" w:name="_Toc171514927"/>
      <w:bookmarkStart w:id="80" w:name="_Toc522093691"/>
      <w:r>
        <w:t>USP</w:t>
      </w:r>
      <w:bookmarkEnd w:id="78"/>
      <w:bookmarkEnd w:id="79"/>
      <w:bookmarkEnd w:id="80"/>
    </w:p>
    <w:p w14:paraId="0D965DBE" w14:textId="4FE118D6" w:rsidR="00D03D88" w:rsidRDefault="00D03D88" w:rsidP="00805BB3">
      <w:pPr>
        <w:spacing w:line="360" w:lineRule="auto"/>
        <w:jc w:val="both"/>
        <w:rPr>
          <w:rFonts w:ascii="Arial" w:eastAsia="Times New Roman" w:hAnsi="Arial" w:cs="Arial"/>
          <w:color w:val="000000"/>
          <w:kern w:val="0"/>
          <w:sz w:val="24"/>
          <w:szCs w:val="24"/>
          <w14:ligatures w14:val="none"/>
        </w:rPr>
      </w:pPr>
      <w:r w:rsidRPr="004F5764">
        <w:rPr>
          <w:rFonts w:ascii="Arial" w:eastAsia="Times New Roman" w:hAnsi="Arial" w:cs="Arial"/>
          <w:color w:val="000000"/>
          <w:kern w:val="0"/>
          <w:sz w:val="24"/>
          <w:szCs w:val="24"/>
          <w14:ligatures w14:val="none"/>
        </w:rPr>
        <w:t>The ITT Future You Conference 2024's emphasis on sustainability in the travel and tourism sector is another factor contributing to its success. The industry is becoming more and more concerned about sustainability as the effects on the environment, society, and economy become more apparent. Through specialised talks and workshops on eco-friendly tourist practices, cultural heritage protection, and responsible destination management, the conference addressed these issues. </w:t>
      </w:r>
      <w:r w:rsidRPr="004F5764">
        <w:rPr>
          <w:rFonts w:ascii="Arial" w:eastAsia="Times New Roman" w:hAnsi="Arial" w:cs="Arial"/>
          <w:color w:val="000000"/>
          <w:kern w:val="0"/>
          <w:sz w:val="24"/>
          <w:szCs w:val="24"/>
          <w14:ligatures w14:val="none"/>
        </w:rPr>
        <w:br/>
      </w:r>
      <w:r w:rsidRPr="004F5764">
        <w:rPr>
          <w:rFonts w:ascii="Arial" w:eastAsia="Times New Roman" w:hAnsi="Arial" w:cs="Arial"/>
          <w:color w:val="000000"/>
          <w:kern w:val="0"/>
          <w:sz w:val="24"/>
          <w:szCs w:val="24"/>
          <w14:ligatures w14:val="none"/>
        </w:rPr>
        <w:br/>
        <w:t xml:space="preserve">The incorporation of sustainability principles is a reflection of the increased influence </w:t>
      </w:r>
      <w:r w:rsidRPr="004F5764">
        <w:rPr>
          <w:rFonts w:ascii="Arial" w:eastAsia="Times New Roman" w:hAnsi="Arial" w:cs="Arial"/>
          <w:color w:val="000000"/>
          <w:kern w:val="0"/>
          <w:sz w:val="24"/>
          <w:szCs w:val="24"/>
          <w14:ligatures w14:val="none"/>
        </w:rPr>
        <w:lastRenderedPageBreak/>
        <w:t xml:space="preserve">that eco-friendly tourism practices have on consumer preferences and industry standards. The conference's focus on sustainability is </w:t>
      </w:r>
      <w:r w:rsidR="5C069B37" w:rsidRPr="004F5764">
        <w:rPr>
          <w:rFonts w:ascii="Arial" w:eastAsia="Times New Roman" w:hAnsi="Arial" w:cs="Arial"/>
          <w:color w:val="000000"/>
          <w:kern w:val="0"/>
          <w:sz w:val="24"/>
          <w:szCs w:val="24"/>
          <w14:ligatures w14:val="none"/>
        </w:rPr>
        <w:t>on</w:t>
      </w:r>
      <w:r w:rsidRPr="004F5764">
        <w:rPr>
          <w:rFonts w:ascii="Arial" w:eastAsia="Times New Roman" w:hAnsi="Arial" w:cs="Arial"/>
          <w:color w:val="000000"/>
          <w:kern w:val="0"/>
          <w:sz w:val="24"/>
          <w:szCs w:val="24"/>
          <w14:ligatures w14:val="none"/>
        </w:rPr>
        <w:t xml:space="preserve"> line with environmental psychology ideas, which emphasise how human conduct and the environment interact (Gifford, 2007). </w:t>
      </w:r>
      <w:r w:rsidRPr="00EC6DCB">
        <w:rPr>
          <w:rFonts w:ascii="Arial" w:eastAsia="Times New Roman" w:hAnsi="Arial" w:cs="Arial"/>
          <w:color w:val="000000"/>
          <w:kern w:val="0"/>
          <w:sz w:val="24"/>
          <w:szCs w:val="24"/>
          <w14:ligatures w14:val="none"/>
        </w:rPr>
        <w:t>The conference helped to increase knowledge and cultivate good attitudes towards responsible tourism among attendees by endorsing sustainable activities and emphasising their significance.</w:t>
      </w:r>
    </w:p>
    <w:p w14:paraId="5C97041C"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r w:rsidRPr="00EC6DCB">
        <w:rPr>
          <w:rFonts w:ascii="Arial" w:eastAsia="Times New Roman" w:hAnsi="Arial" w:cs="Arial"/>
          <w:color w:val="000000"/>
          <w:kern w:val="0"/>
          <w:sz w:val="24"/>
          <w:szCs w:val="24"/>
          <w14:ligatures w14:val="none"/>
        </w:rPr>
        <w:br/>
        <w:t>The conference's dedication to diversity and inclusivity in the travel and tourism industry was one of its most noteworthy features. The tourist industry has identified inclusive tourism as a critical area of concentration, with the goal of meeting the requirements of all travellers, regardless of their age, gender, ability, or background. The conference included talks and workshops on inclusive marketing techniques, cultural sensitivity in hospitality, and accessible travel. The conference gave priority to initiatives aimed at promoting diversity and amplifying the perspectives of disadvantaged groups, acknowledging the significance of diversity and inclusivity in the travel and tourism industry (Henderson, 2019). </w:t>
      </w:r>
      <w:r w:rsidRPr="00EB5FFC">
        <w:rPr>
          <w:rFonts w:ascii="Arial" w:eastAsia="Times New Roman" w:hAnsi="Arial" w:cs="Arial"/>
          <w:color w:val="000000"/>
          <w:kern w:val="0"/>
          <w:sz w:val="24"/>
          <w:szCs w:val="24"/>
          <w14:ligatures w14:val="none"/>
        </w:rPr>
        <w:t>This included having seminars on issues like accessibility and cultural sensitivity in tourism, as well as speakers with a range of experiences and viewpoints. The conference promoted diversity and inclusion efforts, which not only mirrored current business practices but also created a more equal and welcoming atmosphere for all participants.</w:t>
      </w:r>
    </w:p>
    <w:p w14:paraId="288587F4" w14:textId="1E5D79F6" w:rsidR="00D03D88" w:rsidRPr="00EB5FFC" w:rsidRDefault="00D03D88" w:rsidP="00805BB3">
      <w:pPr>
        <w:spacing w:line="360" w:lineRule="auto"/>
        <w:jc w:val="both"/>
        <w:rPr>
          <w:rFonts w:ascii="Arial" w:eastAsia="Times New Roman" w:hAnsi="Arial" w:cs="Arial"/>
          <w:kern w:val="0"/>
          <w:sz w:val="24"/>
          <w:szCs w:val="24"/>
          <w14:ligatures w14:val="none"/>
        </w:rPr>
      </w:pPr>
      <w:r w:rsidRPr="00EB5FFC">
        <w:rPr>
          <w:rFonts w:ascii="Arial" w:eastAsia="Times New Roman" w:hAnsi="Arial" w:cs="Arial"/>
          <w:color w:val="000000"/>
          <w:kern w:val="0"/>
          <w:sz w:val="24"/>
          <w:szCs w:val="24"/>
          <w14:ligatures w14:val="none"/>
        </w:rPr>
        <w:br/>
        <w:t>The emphasis on inclusivity is consistent with theories of intergroup relations and social identity, which highlight the significance of appreciating and respecting a range of identities (</w:t>
      </w:r>
      <w:proofErr w:type="spellStart"/>
      <w:r w:rsidRPr="00EB5FFC">
        <w:rPr>
          <w:rFonts w:ascii="Arial" w:eastAsia="Times New Roman" w:hAnsi="Arial" w:cs="Arial"/>
          <w:color w:val="000000"/>
          <w:kern w:val="0"/>
          <w:sz w:val="24"/>
          <w:szCs w:val="24"/>
          <w14:ligatures w14:val="none"/>
        </w:rPr>
        <w:t>Tajfel</w:t>
      </w:r>
      <w:proofErr w:type="spellEnd"/>
      <w:r w:rsidRPr="00EB5FFC">
        <w:rPr>
          <w:rFonts w:ascii="Arial" w:eastAsia="Times New Roman" w:hAnsi="Arial" w:cs="Arial"/>
          <w:color w:val="000000"/>
          <w:kern w:val="0"/>
          <w:sz w:val="24"/>
          <w:szCs w:val="24"/>
          <w14:ligatures w14:val="none"/>
        </w:rPr>
        <w:t xml:space="preserve"> &amp; Turner, 1986). The conference created a friendly and encouraging </w:t>
      </w:r>
      <w:r w:rsidR="400CF3D7" w:rsidRPr="00EB5FFC">
        <w:rPr>
          <w:rFonts w:ascii="Arial" w:eastAsia="Times New Roman" w:hAnsi="Arial" w:cs="Arial"/>
          <w:color w:val="000000"/>
          <w:kern w:val="0"/>
          <w:sz w:val="24"/>
          <w:szCs w:val="24"/>
          <w14:ligatures w14:val="none"/>
        </w:rPr>
        <w:t>atmospheres</w:t>
      </w:r>
      <w:r w:rsidRPr="00EB5FFC">
        <w:rPr>
          <w:rFonts w:ascii="Arial" w:eastAsia="Times New Roman" w:hAnsi="Arial" w:cs="Arial"/>
          <w:color w:val="000000"/>
          <w:kern w:val="0"/>
          <w:sz w:val="24"/>
          <w:szCs w:val="24"/>
          <w14:ligatures w14:val="none"/>
        </w:rPr>
        <w:t xml:space="preserve"> for all participants, irrespective of their identity or origin, by advocating for inclusivity and diversity. </w:t>
      </w:r>
    </w:p>
    <w:p w14:paraId="708D1EA3" w14:textId="71169459" w:rsidR="00D03D88" w:rsidRPr="00EB5FFC" w:rsidRDefault="00D03D88" w:rsidP="45A2756A">
      <w:pPr>
        <w:spacing w:line="360" w:lineRule="auto"/>
        <w:jc w:val="both"/>
        <w:rPr>
          <w:rFonts w:ascii="Arial" w:eastAsia="Times New Roman" w:hAnsi="Arial" w:cs="Arial"/>
          <w:sz w:val="24"/>
          <w:szCs w:val="24"/>
        </w:rPr>
      </w:pPr>
    </w:p>
    <w:p w14:paraId="70DD4926"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r w:rsidRPr="00EB5FFC">
        <w:rPr>
          <w:rFonts w:ascii="Arial" w:eastAsia="Times New Roman" w:hAnsi="Arial" w:cs="Arial"/>
          <w:color w:val="000000"/>
          <w:sz w:val="24"/>
          <w:szCs w:val="24"/>
        </w:rPr>
        <w:t>The conference also demonstrated how technology would influence travel and tourism in the future. The industry was shown how technology may revolutionise its sector through sessions on artificial intelligence applications, virtual reality experiences, and digital marketing strategies. The incorporation of technology is consistent with theories of innovation dissemination and adoption, which highlight the significance of early adopters and innovators in propelling change within an industry (Rogers, 2003).</w:t>
      </w:r>
      <w:r w:rsidRPr="00EB5FFC">
        <w:rPr>
          <w:rStyle w:val="apple-converted-space"/>
          <w:rFonts w:ascii="Arial" w:eastAsia="Times New Roman" w:hAnsi="Arial" w:cs="Arial"/>
          <w:color w:val="000000"/>
          <w:sz w:val="24"/>
          <w:szCs w:val="24"/>
        </w:rPr>
        <w:t> </w:t>
      </w:r>
      <w:r w:rsidRPr="00EB5FFC">
        <w:rPr>
          <w:rFonts w:ascii="Arial" w:eastAsia="Times New Roman" w:hAnsi="Arial" w:cs="Arial"/>
          <w:color w:val="000000"/>
          <w:sz w:val="24"/>
          <w:szCs w:val="24"/>
        </w:rPr>
        <w:br/>
      </w:r>
      <w:r w:rsidRPr="00EB5FFC">
        <w:rPr>
          <w:rFonts w:ascii="Arial" w:eastAsia="Times New Roman" w:hAnsi="Arial" w:cs="Arial"/>
          <w:color w:val="000000"/>
          <w:sz w:val="24"/>
          <w:szCs w:val="24"/>
        </w:rPr>
        <w:br/>
      </w:r>
      <w:r w:rsidRPr="00EB5FFC">
        <w:rPr>
          <w:rFonts w:ascii="Arial" w:eastAsia="Times New Roman" w:hAnsi="Arial" w:cs="Arial"/>
          <w:color w:val="000000"/>
          <w:sz w:val="24"/>
          <w:szCs w:val="24"/>
        </w:rPr>
        <w:lastRenderedPageBreak/>
        <w:t>The conference's new technology exhibit, which gave attendees a chance to see cutting-edge ideas influencing the travel and tourism sector's future, was one of its highlights (</w:t>
      </w:r>
      <w:proofErr w:type="spellStart"/>
      <w:r w:rsidRPr="00EB5FFC">
        <w:rPr>
          <w:rFonts w:ascii="Arial" w:eastAsia="Times New Roman" w:hAnsi="Arial" w:cs="Arial"/>
          <w:color w:val="000000"/>
          <w:sz w:val="24"/>
          <w:szCs w:val="24"/>
        </w:rPr>
        <w:t>Buhalis</w:t>
      </w:r>
      <w:proofErr w:type="spellEnd"/>
      <w:r w:rsidRPr="00EB5FFC">
        <w:rPr>
          <w:rFonts w:ascii="Arial" w:eastAsia="Times New Roman" w:hAnsi="Arial" w:cs="Arial"/>
          <w:color w:val="000000"/>
          <w:sz w:val="24"/>
          <w:szCs w:val="24"/>
        </w:rPr>
        <w:t xml:space="preserve"> &amp; Law, 2008). From blockchain-based ticketing and reservation systems to virtual reality experiences, the showcase offered a glimpse at the revolutionary possibilities of technology in improving the traveller experience and driving industry innovation.</w:t>
      </w:r>
      <w:r w:rsidRPr="00EB5FFC">
        <w:rPr>
          <w:rFonts w:ascii="Arial" w:eastAsia="Times New Roman" w:hAnsi="Arial" w:cs="Arial"/>
          <w:color w:val="000000"/>
          <w:kern w:val="0"/>
          <w:sz w:val="24"/>
          <w:szCs w:val="24"/>
          <w14:ligatures w14:val="none"/>
        </w:rPr>
        <w:t xml:space="preserve"> Through the facilitation of interactions with these technologies, the conference enabled participants to remain up to date with industry developments and investigate novel prospects for expansion and cooperation. Through the demonstration of state-of-the-art technology and their uses in the travel and tourism industry, the conference encouraged participants to embrace innovation and adjust to changing market trends. The conference's emphasis on technology also mirrors broader trends in society towards </w:t>
      </w:r>
      <w:r>
        <w:rPr>
          <w:rFonts w:ascii="Arial" w:eastAsia="Times New Roman" w:hAnsi="Arial" w:cs="Arial"/>
          <w:color w:val="000000"/>
          <w:kern w:val="0"/>
          <w:sz w:val="24"/>
          <w:szCs w:val="24"/>
          <w14:ligatures w14:val="none"/>
        </w:rPr>
        <w:t>digitalisation</w:t>
      </w:r>
      <w:r w:rsidRPr="00EB5FFC">
        <w:rPr>
          <w:rFonts w:ascii="Arial" w:eastAsia="Times New Roman" w:hAnsi="Arial" w:cs="Arial"/>
          <w:color w:val="000000"/>
          <w:kern w:val="0"/>
          <w:sz w:val="24"/>
          <w:szCs w:val="24"/>
          <w14:ligatures w14:val="none"/>
        </w:rPr>
        <w:t xml:space="preserve"> and the growing role that technology plays in influencing customer experiences in a variety of businesses. </w:t>
      </w:r>
      <w:r w:rsidRPr="00EB5FFC">
        <w:rPr>
          <w:rFonts w:ascii="Arial" w:eastAsia="Times New Roman" w:hAnsi="Arial" w:cs="Arial"/>
          <w:color w:val="000000"/>
          <w:kern w:val="0"/>
          <w:sz w:val="24"/>
          <w:szCs w:val="24"/>
          <w14:ligatures w14:val="none"/>
        </w:rPr>
        <w:br/>
        <w:t xml:space="preserve">The conference provided delegates with opportunity for practical skill development and hands-on learning through a series of interactive sessions delivered by industry professionals (Smith, 2007). </w:t>
      </w:r>
    </w:p>
    <w:p w14:paraId="744C3342" w14:textId="77777777" w:rsidR="00D03D88" w:rsidRDefault="00D03D88" w:rsidP="00805BB3">
      <w:pPr>
        <w:spacing w:line="360" w:lineRule="auto"/>
        <w:jc w:val="both"/>
        <w:rPr>
          <w:rFonts w:ascii="Arial" w:eastAsia="Times New Roman" w:hAnsi="Arial" w:cs="Arial"/>
          <w:color w:val="000000"/>
          <w:kern w:val="0"/>
          <w:sz w:val="24"/>
          <w:szCs w:val="24"/>
          <w14:ligatures w14:val="none"/>
        </w:rPr>
      </w:pPr>
    </w:p>
    <w:p w14:paraId="2A575FF1" w14:textId="77777777" w:rsidR="00D03D88" w:rsidRPr="00EB5FFC" w:rsidRDefault="00D03D88" w:rsidP="00805BB3">
      <w:pPr>
        <w:spacing w:line="360" w:lineRule="auto"/>
        <w:jc w:val="both"/>
        <w:rPr>
          <w:rFonts w:ascii="Arial" w:hAnsi="Arial" w:cs="Arial"/>
          <w:sz w:val="24"/>
          <w:szCs w:val="24"/>
        </w:rPr>
      </w:pPr>
      <w:r w:rsidRPr="00EB5FFC">
        <w:rPr>
          <w:rFonts w:ascii="Arial" w:eastAsia="Times New Roman" w:hAnsi="Arial" w:cs="Arial"/>
          <w:color w:val="000000"/>
          <w:kern w:val="0"/>
          <w:sz w:val="24"/>
          <w:szCs w:val="24"/>
          <w14:ligatures w14:val="none"/>
        </w:rPr>
        <w:t>In order to meet the varied interests and needs of the participants, these workshops addressed a wide range of topics, from sustainable tourist practices to digital marketing tactics.</w:t>
      </w:r>
      <w:r w:rsidRPr="00EB5FFC">
        <w:rPr>
          <w:rFonts w:ascii="Arial" w:hAnsi="Arial" w:cs="Arial"/>
          <w:sz w:val="24"/>
          <w:szCs w:val="24"/>
        </w:rPr>
        <w:t xml:space="preserve"> By actively engaging in these workshops, attendees gained valuable insights into industry best practices and emerging trends, enhancing their professional development and networking opportunities. In addition to formal presentations and workshops, the conference offered extensive networking opportunities for participants to connect with industry professionals, peers, and potential employers (Page &amp; Connell, 2014). From structured networking sessions to informal social events, attendees had the chance to build meaningful relationships and exchange insights with key stakeholders in the travel and tourism ecosystem. These networking opportunities not only facilitated knowledge sharing and collaboration but also served as valuable platforms for career development and advancement. </w:t>
      </w:r>
    </w:p>
    <w:p w14:paraId="750868DB" w14:textId="77777777" w:rsidR="00D03D88" w:rsidRPr="00EB5FFC" w:rsidRDefault="00D03D88" w:rsidP="00805BB3">
      <w:pPr>
        <w:spacing w:line="360" w:lineRule="auto"/>
        <w:jc w:val="both"/>
        <w:rPr>
          <w:rFonts w:ascii="Arial" w:eastAsia="Times New Roman" w:hAnsi="Arial" w:cs="Arial"/>
          <w:kern w:val="0"/>
          <w:sz w:val="24"/>
          <w:szCs w:val="24"/>
          <w14:ligatures w14:val="none"/>
        </w:rPr>
      </w:pPr>
      <w:r w:rsidRPr="00EB5FFC">
        <w:rPr>
          <w:rFonts w:ascii="Arial" w:eastAsia="Times New Roman" w:hAnsi="Arial" w:cs="Arial"/>
          <w:color w:val="000000"/>
          <w:kern w:val="0"/>
          <w:sz w:val="24"/>
          <w:szCs w:val="24"/>
          <w14:ligatures w14:val="none"/>
        </w:rPr>
        <w:t> </w:t>
      </w:r>
    </w:p>
    <w:p w14:paraId="5EAB7E43" w14:textId="77777777" w:rsidR="00D03D88" w:rsidRPr="00F53AC8" w:rsidRDefault="00D03D88" w:rsidP="00805BB3">
      <w:pPr>
        <w:spacing w:line="360" w:lineRule="auto"/>
        <w:jc w:val="both"/>
        <w:rPr>
          <w:rFonts w:ascii="Arial" w:eastAsia="Times New Roman" w:hAnsi="Arial" w:cs="Arial"/>
          <w:kern w:val="0"/>
          <w:sz w:val="24"/>
          <w:szCs w:val="24"/>
          <w14:ligatures w14:val="none"/>
        </w:rPr>
      </w:pPr>
      <w:r w:rsidRPr="00F53AC8">
        <w:rPr>
          <w:rFonts w:ascii="Arial" w:eastAsia="Times New Roman" w:hAnsi="Arial" w:cs="Arial"/>
          <w:color w:val="000000"/>
          <w:kern w:val="0"/>
          <w:sz w:val="24"/>
          <w:szCs w:val="24"/>
          <w14:ligatures w14:val="none"/>
        </w:rPr>
        <w:t xml:space="preserve">The conference effectively adjusted to guarantee a flawless experience for guests even though two important speakers—the keynote speaker and one panelist—were unable to attend owing to unanticipated circumstances. The organisers showed their adaptability and dedication to provide a top-notch programme in spite of obstacles by </w:t>
      </w:r>
      <w:r w:rsidRPr="00F53AC8">
        <w:rPr>
          <w:rFonts w:ascii="Arial" w:eastAsia="Times New Roman" w:hAnsi="Arial" w:cs="Arial"/>
          <w:color w:val="000000"/>
          <w:kern w:val="0"/>
          <w:sz w:val="24"/>
          <w:szCs w:val="24"/>
          <w14:ligatures w14:val="none"/>
        </w:rPr>
        <w:lastRenderedPageBreak/>
        <w:t>extending the speaking durations of some speakers and including more panellists. </w:t>
      </w:r>
      <w:r w:rsidRPr="00F53AC8">
        <w:rPr>
          <w:rFonts w:ascii="Arial" w:eastAsia="Times New Roman" w:hAnsi="Arial" w:cs="Arial"/>
          <w:color w:val="000000"/>
          <w:kern w:val="0"/>
          <w:sz w:val="24"/>
          <w:szCs w:val="24"/>
          <w14:ligatures w14:val="none"/>
        </w:rPr>
        <w:br/>
      </w:r>
      <w:r w:rsidRPr="00F53AC8">
        <w:rPr>
          <w:rFonts w:ascii="Arial" w:eastAsia="Times New Roman" w:hAnsi="Arial" w:cs="Arial"/>
          <w:color w:val="000000"/>
          <w:kern w:val="0"/>
          <w:sz w:val="24"/>
          <w:szCs w:val="24"/>
          <w14:ligatures w14:val="none"/>
        </w:rPr>
        <w:br/>
        <w:t>Effective event management techniques are also responsible for the conference's success, in addition to the theoretical frameworks previously covered. According to Allen et al. (2010), event management theories place a strong emphasis on the value of strategic planning, stakeholder participation, and attendance pleasure in making an event successful. The conference organisers were able to create a smooth and interesting experience for participants by putting these concepts into practice, which led to favourable feedback and high levels of satisfaction. </w:t>
      </w:r>
    </w:p>
    <w:p w14:paraId="7417AEF9" w14:textId="77777777" w:rsidR="00D03D88" w:rsidRPr="00EB5FFC" w:rsidRDefault="00D03D88" w:rsidP="00805BB3">
      <w:pPr>
        <w:spacing w:line="360" w:lineRule="auto"/>
        <w:jc w:val="both"/>
        <w:rPr>
          <w:rFonts w:ascii="Arial" w:hAnsi="Arial" w:cs="Arial"/>
          <w:sz w:val="24"/>
          <w:szCs w:val="24"/>
        </w:rPr>
      </w:pPr>
    </w:p>
    <w:p w14:paraId="4BA0701B" w14:textId="77777777" w:rsidR="00D03D88" w:rsidRPr="00EB5FFC" w:rsidRDefault="00D03D88" w:rsidP="00805BB3">
      <w:pPr>
        <w:spacing w:line="360" w:lineRule="auto"/>
        <w:jc w:val="both"/>
        <w:rPr>
          <w:rFonts w:ascii="Arial" w:hAnsi="Arial" w:cs="Arial"/>
          <w:sz w:val="24"/>
          <w:szCs w:val="24"/>
        </w:rPr>
      </w:pPr>
      <w:r w:rsidRPr="00EB5FFC">
        <w:rPr>
          <w:rFonts w:ascii="Arial" w:hAnsi="Arial" w:cs="Arial"/>
          <w:sz w:val="24"/>
          <w:szCs w:val="24"/>
        </w:rPr>
        <w:t xml:space="preserve"> </w:t>
      </w:r>
      <w:r w:rsidRPr="00EB5FFC">
        <w:rPr>
          <w:rFonts w:ascii="Arial" w:eastAsia="Times New Roman" w:hAnsi="Arial" w:cs="Arial"/>
          <w:color w:val="000000"/>
          <w:sz w:val="24"/>
          <w:szCs w:val="24"/>
        </w:rPr>
        <w:t>To sum up, the ITT Future You Conference 2024 showcased how theoretical frameworks may significantly impact practical implementations in the travel and tourism sector. The conference gave attendees the critical knowledge, abilities, and connections needed for success in the fast-paced travel and tourism industry by fusing ideas from audience segmentation, expectancy theory, social exchange theory, experiential learning theory, constructivism, environmental psychology, social identity theory, innovation diffusion theory, and event management theory.</w:t>
      </w:r>
    </w:p>
    <w:p w14:paraId="64F999FE" w14:textId="77777777" w:rsidR="00D03D88" w:rsidRDefault="00D03D88" w:rsidP="00805BB3">
      <w:pPr>
        <w:spacing w:line="360" w:lineRule="auto"/>
        <w:jc w:val="both"/>
        <w:rPr>
          <w:rFonts w:ascii="Arial" w:hAnsi="Arial" w:cs="Arial"/>
          <w:sz w:val="24"/>
          <w:szCs w:val="24"/>
        </w:rPr>
      </w:pPr>
    </w:p>
    <w:p w14:paraId="3E41F091" w14:textId="77777777" w:rsidR="00A97697" w:rsidRPr="00EB5FFC" w:rsidRDefault="00A97697" w:rsidP="00805BB3">
      <w:pPr>
        <w:spacing w:line="360" w:lineRule="auto"/>
        <w:jc w:val="both"/>
        <w:rPr>
          <w:rFonts w:ascii="Arial" w:hAnsi="Arial" w:cs="Arial"/>
          <w:sz w:val="24"/>
          <w:szCs w:val="24"/>
        </w:rPr>
      </w:pPr>
    </w:p>
    <w:p w14:paraId="5822BFDB" w14:textId="54DB2F6E" w:rsidR="45A2756A" w:rsidRDefault="45A2756A" w:rsidP="45A2756A">
      <w:pPr>
        <w:spacing w:line="360" w:lineRule="auto"/>
        <w:jc w:val="both"/>
        <w:rPr>
          <w:rFonts w:ascii="Arial" w:hAnsi="Arial" w:cs="Arial"/>
          <w:sz w:val="24"/>
          <w:szCs w:val="24"/>
        </w:rPr>
      </w:pPr>
    </w:p>
    <w:p w14:paraId="6057B9BB" w14:textId="15F76E66" w:rsidR="45A2756A" w:rsidRDefault="45A2756A" w:rsidP="45A2756A">
      <w:pPr>
        <w:spacing w:line="360" w:lineRule="auto"/>
        <w:jc w:val="both"/>
        <w:rPr>
          <w:rFonts w:ascii="Arial" w:hAnsi="Arial" w:cs="Arial"/>
          <w:sz w:val="24"/>
          <w:szCs w:val="24"/>
        </w:rPr>
      </w:pPr>
    </w:p>
    <w:p w14:paraId="2B13039B" w14:textId="4B4E7B03" w:rsidR="00D03D88" w:rsidRPr="00EB5FFC" w:rsidRDefault="00D03D88" w:rsidP="45A2756A">
      <w:pPr>
        <w:pStyle w:val="Heading2"/>
      </w:pPr>
      <w:bookmarkStart w:id="81" w:name="_Toc1566771868"/>
      <w:bookmarkStart w:id="82" w:name="_Toc978445795"/>
      <w:bookmarkStart w:id="83" w:name="_Toc1098416781"/>
      <w:r>
        <w:t>Agenda</w:t>
      </w:r>
      <w:bookmarkEnd w:id="81"/>
      <w:bookmarkEnd w:id="82"/>
      <w:bookmarkEnd w:id="83"/>
    </w:p>
    <w:p w14:paraId="137E10A0" w14:textId="09C21547" w:rsidR="00D03D88" w:rsidRDefault="00D03D88" w:rsidP="00805BB3">
      <w:pPr>
        <w:spacing w:line="360" w:lineRule="auto"/>
        <w:jc w:val="both"/>
        <w:rPr>
          <w:rFonts w:ascii="Arial" w:eastAsia="Times New Roman" w:hAnsi="Arial" w:cs="Arial"/>
          <w:color w:val="000000"/>
          <w:sz w:val="24"/>
          <w:szCs w:val="24"/>
        </w:rPr>
      </w:pPr>
      <w:r w:rsidRPr="00EB5FFC">
        <w:rPr>
          <w:rFonts w:ascii="Arial" w:eastAsia="Times New Roman" w:hAnsi="Arial" w:cs="Arial"/>
          <w:color w:val="000000"/>
          <w:sz w:val="24"/>
          <w:szCs w:val="24"/>
        </w:rPr>
        <w:t xml:space="preserve">The conference schedule, as shown in </w:t>
      </w:r>
      <w:r w:rsidR="00A97697">
        <w:rPr>
          <w:rFonts w:ascii="Arial" w:eastAsia="Times New Roman" w:hAnsi="Arial" w:cs="Arial"/>
          <w:color w:val="000000"/>
          <w:sz w:val="24"/>
          <w:szCs w:val="24"/>
        </w:rPr>
        <w:t>A</w:t>
      </w:r>
      <w:r w:rsidRPr="00EB5FFC">
        <w:rPr>
          <w:rFonts w:ascii="Arial" w:eastAsia="Times New Roman" w:hAnsi="Arial" w:cs="Arial"/>
          <w:color w:val="000000"/>
          <w:sz w:val="24"/>
          <w:szCs w:val="24"/>
        </w:rPr>
        <w:t>1, is a prime example of a well-thought-out strategic fit with organisational goals. It includes a wide range of subjects that reflect a sophisticated understanding of the dynamics and new developments in the industry. Sessions like "Royal Caribbean Group: Introducing all the groups within the Royal Caribbean Group" and "Introduction to the Institute of Travel and Tourism" delve into organisational profiles, illuminating important figures in the travel industry and promoting a deeper understanding of their roles and contributions (Witt &amp; Moutinho, 1994). These workshops highlight the significance of taking into account the interests of different stakeholders, including as consumers, shareholders, and employees, when forming organisational plans and choices by utilising the stakeholder theory (Freeman, 1984).</w:t>
      </w:r>
    </w:p>
    <w:p w14:paraId="66509042" w14:textId="77777777" w:rsidR="00D03D88" w:rsidRPr="00EB5FFC" w:rsidRDefault="00D03D88" w:rsidP="00805BB3">
      <w:pPr>
        <w:spacing w:line="360" w:lineRule="auto"/>
        <w:jc w:val="both"/>
        <w:rPr>
          <w:rFonts w:ascii="Arial" w:hAnsi="Arial" w:cs="Arial"/>
          <w:sz w:val="24"/>
          <w:szCs w:val="24"/>
        </w:rPr>
      </w:pPr>
    </w:p>
    <w:p w14:paraId="3BBB0E6A" w14:textId="77777777" w:rsidR="00D03D88" w:rsidRDefault="00D03D88" w:rsidP="00805BB3">
      <w:pPr>
        <w:spacing w:line="360" w:lineRule="auto"/>
        <w:jc w:val="both"/>
        <w:rPr>
          <w:rStyle w:val="apple-converted-space"/>
          <w:rFonts w:ascii="Arial" w:eastAsia="Times New Roman" w:hAnsi="Arial" w:cs="Arial"/>
          <w:color w:val="000000"/>
          <w:sz w:val="24"/>
          <w:szCs w:val="24"/>
        </w:rPr>
      </w:pPr>
      <w:r w:rsidRPr="00EB5FFC">
        <w:rPr>
          <w:rFonts w:ascii="Arial" w:eastAsia="Times New Roman" w:hAnsi="Arial" w:cs="Arial"/>
          <w:color w:val="000000"/>
          <w:sz w:val="24"/>
          <w:szCs w:val="24"/>
        </w:rPr>
        <w:lastRenderedPageBreak/>
        <w:t>Furthermore, talks about "Talent Acquisition in the Travel Industry" and "2023 Trip to Colorado: Recruiting Implications" highlight the importance of HR strategies and destination-specific hiring practices, showing how businesses can take advantage of geographic opportunities and adjust to changing labour demands (Deloitte, 2021). These seminars, which are based on resource-based theory (Barney, 1991), demonstrate how businesses may use their distinctive resources and competencies—like in-depth knowledge of destination markets—to obtain a competitive edge in the travel sector.</w:t>
      </w:r>
    </w:p>
    <w:p w14:paraId="1224DB91" w14:textId="77777777" w:rsidR="00D03D88" w:rsidRPr="00EB5FFC" w:rsidRDefault="00D03D88" w:rsidP="00805BB3">
      <w:pPr>
        <w:spacing w:line="360" w:lineRule="auto"/>
        <w:jc w:val="both"/>
        <w:rPr>
          <w:rFonts w:ascii="Arial" w:hAnsi="Arial" w:cs="Arial"/>
          <w:sz w:val="24"/>
          <w:szCs w:val="24"/>
        </w:rPr>
      </w:pPr>
      <w:r w:rsidRPr="00EB5FFC">
        <w:rPr>
          <w:rFonts w:ascii="Arial" w:eastAsia="Times New Roman" w:hAnsi="Arial" w:cs="Arial"/>
          <w:color w:val="000000"/>
          <w:sz w:val="24"/>
          <w:szCs w:val="24"/>
        </w:rPr>
        <w:br/>
        <w:t xml:space="preserve">Furthermore, by highlighting difficulties and best practices within particular job roles and industries, the inclusion of sessions like "Shore Excursion Management on Celebrity Cruise Ships" and "Reservations Sales at The </w:t>
      </w:r>
      <w:proofErr w:type="spellStart"/>
      <w:r w:rsidRPr="00EB5FFC">
        <w:rPr>
          <w:rFonts w:ascii="Arial" w:eastAsia="Times New Roman" w:hAnsi="Arial" w:cs="Arial"/>
          <w:color w:val="000000"/>
          <w:sz w:val="24"/>
          <w:szCs w:val="24"/>
        </w:rPr>
        <w:t>Sennonalp</w:t>
      </w:r>
      <w:proofErr w:type="spellEnd"/>
      <w:r w:rsidRPr="00EB5FFC">
        <w:rPr>
          <w:rFonts w:ascii="Arial" w:eastAsia="Times New Roman" w:hAnsi="Arial" w:cs="Arial"/>
          <w:color w:val="000000"/>
          <w:sz w:val="24"/>
          <w:szCs w:val="24"/>
        </w:rPr>
        <w:t xml:space="preserve"> Hotel Aspen" offers insightful information about operational aspects (</w:t>
      </w:r>
      <w:proofErr w:type="spellStart"/>
      <w:r w:rsidRPr="00EB5FFC">
        <w:rPr>
          <w:rFonts w:ascii="Arial" w:eastAsia="Times New Roman" w:hAnsi="Arial" w:cs="Arial"/>
          <w:color w:val="000000"/>
          <w:sz w:val="24"/>
          <w:szCs w:val="24"/>
        </w:rPr>
        <w:t>Fesenmaier</w:t>
      </w:r>
      <w:proofErr w:type="spellEnd"/>
      <w:r w:rsidRPr="00EB5FFC">
        <w:rPr>
          <w:rFonts w:ascii="Arial" w:eastAsia="Times New Roman" w:hAnsi="Arial" w:cs="Arial"/>
          <w:color w:val="000000"/>
          <w:sz w:val="24"/>
          <w:szCs w:val="24"/>
        </w:rPr>
        <w:t xml:space="preserve"> et al., 2014). From a transactional perspective cost economics (Williamson, 1985), these sessions explore how transaction costs associated with coordinating and executing operational tasks can influence organisational performance and decision-making processes.</w:t>
      </w:r>
    </w:p>
    <w:p w14:paraId="2B080219" w14:textId="77777777" w:rsidR="00D03D88" w:rsidRPr="003E4ED6" w:rsidRDefault="00D03D88" w:rsidP="00805BB3">
      <w:pPr>
        <w:spacing w:line="360" w:lineRule="auto"/>
        <w:jc w:val="both"/>
        <w:rPr>
          <w:rFonts w:ascii="Arial" w:eastAsia="Times New Roman" w:hAnsi="Arial" w:cs="Arial"/>
          <w:kern w:val="0"/>
          <w:sz w:val="24"/>
          <w:szCs w:val="24"/>
          <w14:ligatures w14:val="none"/>
        </w:rPr>
      </w:pPr>
      <w:r w:rsidRPr="003E4ED6">
        <w:rPr>
          <w:rFonts w:ascii="Arial" w:eastAsia="Times New Roman" w:hAnsi="Arial" w:cs="Arial"/>
          <w:color w:val="000000"/>
          <w:kern w:val="0"/>
          <w:sz w:val="24"/>
          <w:szCs w:val="24"/>
          <w14:ligatures w14:val="none"/>
        </w:rPr>
        <w:t xml:space="preserve">Additionally, by addressing urgent problems and promising prospects in the travel and tourism industry, panel discussions such as "Industry Panel: </w:t>
      </w:r>
      <w:proofErr w:type="spellStart"/>
      <w:r w:rsidRPr="003E4ED6">
        <w:rPr>
          <w:rFonts w:ascii="Arial" w:eastAsia="Times New Roman" w:hAnsi="Arial" w:cs="Arial"/>
          <w:color w:val="000000"/>
          <w:kern w:val="0"/>
          <w:sz w:val="24"/>
          <w:szCs w:val="24"/>
          <w14:ligatures w14:val="none"/>
        </w:rPr>
        <w:t>Heledd</w:t>
      </w:r>
      <w:proofErr w:type="spellEnd"/>
      <w:r w:rsidRPr="003E4ED6">
        <w:rPr>
          <w:rFonts w:ascii="Arial" w:eastAsia="Times New Roman" w:hAnsi="Arial" w:cs="Arial"/>
          <w:color w:val="000000"/>
          <w:kern w:val="0"/>
          <w:sz w:val="24"/>
          <w:szCs w:val="24"/>
          <w14:ligatures w14:val="none"/>
        </w:rPr>
        <w:t xml:space="preserve"> Williams, Thomas </w:t>
      </w:r>
      <w:proofErr w:type="spellStart"/>
      <w:r w:rsidRPr="003E4ED6">
        <w:rPr>
          <w:rFonts w:ascii="Arial" w:eastAsia="Times New Roman" w:hAnsi="Arial" w:cs="Arial"/>
          <w:color w:val="000000"/>
          <w:kern w:val="0"/>
          <w:sz w:val="24"/>
          <w:szCs w:val="24"/>
          <w14:ligatures w14:val="none"/>
        </w:rPr>
        <w:t>Ferrante</w:t>
      </w:r>
      <w:proofErr w:type="spellEnd"/>
      <w:r w:rsidRPr="003E4ED6">
        <w:rPr>
          <w:rFonts w:ascii="Arial" w:eastAsia="Times New Roman" w:hAnsi="Arial" w:cs="Arial"/>
          <w:color w:val="000000"/>
          <w:kern w:val="0"/>
          <w:sz w:val="24"/>
          <w:szCs w:val="24"/>
          <w14:ligatures w14:val="none"/>
        </w:rPr>
        <w:t xml:space="preserve"> &amp; Emily </w:t>
      </w:r>
      <w:proofErr w:type="spellStart"/>
      <w:r w:rsidRPr="003E4ED6">
        <w:rPr>
          <w:rFonts w:ascii="Arial" w:eastAsia="Times New Roman" w:hAnsi="Arial" w:cs="Arial"/>
          <w:color w:val="000000"/>
          <w:kern w:val="0"/>
          <w:sz w:val="24"/>
          <w:szCs w:val="24"/>
          <w14:ligatures w14:val="none"/>
        </w:rPr>
        <w:t>Boscoe</w:t>
      </w:r>
      <w:proofErr w:type="spellEnd"/>
      <w:r w:rsidRPr="003E4ED6">
        <w:rPr>
          <w:rFonts w:ascii="Arial" w:eastAsia="Times New Roman" w:hAnsi="Arial" w:cs="Arial"/>
          <w:color w:val="000000"/>
          <w:kern w:val="0"/>
          <w:sz w:val="24"/>
          <w:szCs w:val="24"/>
          <w14:ligatures w14:val="none"/>
        </w:rPr>
        <w:t>" promote cooperative conversation and knowledge exchange (Morrison, 2012). These panels, which are based on the idea of knowledge sharing (</w:t>
      </w:r>
      <w:proofErr w:type="spellStart"/>
      <w:r w:rsidRPr="003E4ED6">
        <w:rPr>
          <w:rFonts w:ascii="Arial" w:eastAsia="Times New Roman" w:hAnsi="Arial" w:cs="Arial"/>
          <w:color w:val="000000"/>
          <w:kern w:val="0"/>
          <w:sz w:val="24"/>
          <w:szCs w:val="24"/>
          <w14:ligatures w14:val="none"/>
        </w:rPr>
        <w:t>Nonaka</w:t>
      </w:r>
      <w:proofErr w:type="spellEnd"/>
      <w:r w:rsidRPr="003E4ED6">
        <w:rPr>
          <w:rFonts w:ascii="Arial" w:eastAsia="Times New Roman" w:hAnsi="Arial" w:cs="Arial"/>
          <w:color w:val="000000"/>
          <w:kern w:val="0"/>
          <w:sz w:val="24"/>
          <w:szCs w:val="24"/>
          <w14:ligatures w14:val="none"/>
        </w:rPr>
        <w:t xml:space="preserve"> &amp; Takeuchi, 1995), encourage creativity and group learning by advancing the generation, exchange, and application of information within the sector. </w:t>
      </w:r>
      <w:r w:rsidRPr="003E4ED6">
        <w:rPr>
          <w:rFonts w:ascii="Arial" w:eastAsia="Times New Roman" w:hAnsi="Arial" w:cs="Arial"/>
          <w:color w:val="000000"/>
          <w:kern w:val="0"/>
          <w:sz w:val="24"/>
          <w:szCs w:val="24"/>
          <w14:ligatures w14:val="none"/>
        </w:rPr>
        <w:br/>
      </w:r>
      <w:r w:rsidRPr="003E4ED6">
        <w:rPr>
          <w:rFonts w:ascii="Arial" w:eastAsia="Times New Roman" w:hAnsi="Arial" w:cs="Arial"/>
          <w:color w:val="000000"/>
          <w:kern w:val="0"/>
          <w:sz w:val="24"/>
          <w:szCs w:val="24"/>
          <w14:ligatures w14:val="none"/>
        </w:rPr>
        <w:br/>
        <w:t>The event's general flow was affected by the longer session lengths due to the lack of a keynote speaker, even with a well-planned agenda. This unexpected event caused the timetable to be thrown off, requiring changes to make room for longer sessions and keep participants' levels of involvement high. </w:t>
      </w:r>
    </w:p>
    <w:p w14:paraId="6D454A4D" w14:textId="77777777" w:rsidR="00D03D88" w:rsidRPr="00EB5FFC" w:rsidRDefault="00D03D88" w:rsidP="00805BB3">
      <w:pPr>
        <w:spacing w:line="360" w:lineRule="auto"/>
        <w:jc w:val="both"/>
        <w:rPr>
          <w:rFonts w:ascii="Arial" w:hAnsi="Arial" w:cs="Arial"/>
          <w:sz w:val="24"/>
          <w:szCs w:val="24"/>
        </w:rPr>
      </w:pPr>
    </w:p>
    <w:p w14:paraId="6BB42D2B" w14:textId="21CF9FD4" w:rsidR="00D03D88" w:rsidRDefault="00D03D88" w:rsidP="00805BB3">
      <w:pPr>
        <w:spacing w:line="360" w:lineRule="auto"/>
        <w:jc w:val="both"/>
        <w:rPr>
          <w:rFonts w:ascii="Arial" w:eastAsia="Times New Roman" w:hAnsi="Arial" w:cs="Arial"/>
          <w:color w:val="000000"/>
          <w:sz w:val="24"/>
          <w:szCs w:val="24"/>
        </w:rPr>
      </w:pPr>
      <w:r w:rsidRPr="00EB5FFC">
        <w:rPr>
          <w:rFonts w:ascii="Arial" w:eastAsia="Times New Roman" w:hAnsi="Arial" w:cs="Arial"/>
          <w:color w:val="000000"/>
          <w:sz w:val="24"/>
          <w:szCs w:val="24"/>
        </w:rPr>
        <w:t>However, the themes on the programme were chosen with care to represent an intentional approach to industry contact and information sharing, appealing to a wide range of interests and encouraging deep conversation among participants.</w:t>
      </w:r>
    </w:p>
    <w:p w14:paraId="35334B74" w14:textId="77777777" w:rsidR="00D03D88" w:rsidRDefault="00D03D88">
      <w:pPr>
        <w:rPr>
          <w:rFonts w:ascii="Arial" w:eastAsia="Times New Roman" w:hAnsi="Arial" w:cs="Arial"/>
          <w:color w:val="000000"/>
          <w:sz w:val="24"/>
          <w:szCs w:val="24"/>
        </w:rPr>
      </w:pPr>
      <w:r>
        <w:rPr>
          <w:rFonts w:ascii="Arial" w:eastAsia="Times New Roman" w:hAnsi="Arial" w:cs="Arial"/>
          <w:color w:val="000000"/>
          <w:sz w:val="24"/>
          <w:szCs w:val="24"/>
        </w:rPr>
        <w:br w:type="page"/>
      </w:r>
    </w:p>
    <w:p w14:paraId="1C2349A7" w14:textId="396944D5" w:rsidR="006E67FF" w:rsidRPr="00DF6901" w:rsidRDefault="00F857C2" w:rsidP="45A2756A">
      <w:pPr>
        <w:pStyle w:val="Heading1"/>
        <w:rPr>
          <w:rFonts w:ascii="Arial" w:eastAsia="Arial" w:hAnsi="Arial" w:cs="Arial"/>
          <w:color w:val="auto"/>
          <w:sz w:val="24"/>
          <w:szCs w:val="24"/>
        </w:rPr>
      </w:pPr>
      <w:bookmarkStart w:id="84" w:name="_Toc888894965"/>
      <w:bookmarkStart w:id="85" w:name="_Toc2025121556"/>
      <w:bookmarkStart w:id="86" w:name="_Toc1776812624"/>
      <w:r w:rsidRPr="45A2756A">
        <w:rPr>
          <w:rFonts w:ascii="Arial" w:eastAsia="Arial" w:hAnsi="Arial" w:cs="Arial"/>
          <w:color w:val="auto"/>
          <w:sz w:val="24"/>
          <w:szCs w:val="24"/>
        </w:rPr>
        <w:lastRenderedPageBreak/>
        <w:t>Presentation script</w:t>
      </w:r>
      <w:bookmarkEnd w:id="84"/>
      <w:bookmarkEnd w:id="85"/>
      <w:bookmarkEnd w:id="86"/>
    </w:p>
    <w:p w14:paraId="10CD59AC" w14:textId="77777777" w:rsidR="006E67FF" w:rsidRPr="00DF6901" w:rsidRDefault="006E67FF" w:rsidP="00805BB3">
      <w:pPr>
        <w:spacing w:line="360" w:lineRule="auto"/>
        <w:jc w:val="both"/>
        <w:rPr>
          <w:rFonts w:ascii="Arial" w:hAnsi="Arial" w:cs="Arial"/>
          <w:sz w:val="24"/>
          <w:szCs w:val="24"/>
        </w:rPr>
      </w:pPr>
    </w:p>
    <w:p w14:paraId="30F5D255" w14:textId="25EB1FD6" w:rsidR="006E67FF" w:rsidRPr="00DF6901" w:rsidRDefault="006E67FF" w:rsidP="00805BB3">
      <w:pPr>
        <w:spacing w:line="360" w:lineRule="auto"/>
        <w:jc w:val="both"/>
        <w:rPr>
          <w:rFonts w:ascii="Arial" w:eastAsia="Times New Roman" w:hAnsi="Arial" w:cs="Arial"/>
          <w:color w:val="000000"/>
          <w:sz w:val="24"/>
          <w:szCs w:val="24"/>
        </w:rPr>
      </w:pPr>
      <w:r w:rsidRPr="45A2756A">
        <w:rPr>
          <w:rFonts w:ascii="Arial" w:eastAsia="Times New Roman" w:hAnsi="Arial" w:cs="Arial"/>
          <w:color w:val="000000" w:themeColor="text1"/>
          <w:sz w:val="24"/>
          <w:szCs w:val="24"/>
        </w:rPr>
        <w:t xml:space="preserve">In a time of exploration and connectivity, the travel and tourism industry </w:t>
      </w:r>
      <w:r w:rsidR="2B6876C7" w:rsidRPr="45A2756A">
        <w:rPr>
          <w:rFonts w:ascii="Arial" w:eastAsia="Times New Roman" w:hAnsi="Arial" w:cs="Arial"/>
          <w:color w:val="000000" w:themeColor="text1"/>
          <w:sz w:val="24"/>
          <w:szCs w:val="24"/>
        </w:rPr>
        <w:t>serve</w:t>
      </w:r>
      <w:r w:rsidRPr="45A2756A">
        <w:rPr>
          <w:rFonts w:ascii="Arial" w:eastAsia="Times New Roman" w:hAnsi="Arial" w:cs="Arial"/>
          <w:color w:val="000000" w:themeColor="text1"/>
          <w:sz w:val="24"/>
          <w:szCs w:val="24"/>
        </w:rPr>
        <w:t xml:space="preserve"> as a doorway to new experiences, providing countless chances for exploration, adventure, and personal development. In the context of swift globalisation and technological advancement, the "Wales to the World" initiative stands out as a source of motivation and cooperation, ready to reveal the endless opportunities present in the travel and tourist industry.</w:t>
      </w:r>
    </w:p>
    <w:p w14:paraId="6192DF38" w14:textId="77777777" w:rsidR="006E67FF" w:rsidRPr="00DF6901" w:rsidRDefault="006E67FF" w:rsidP="00805BB3">
      <w:pPr>
        <w:spacing w:line="360" w:lineRule="auto"/>
        <w:jc w:val="both"/>
        <w:rPr>
          <w:rFonts w:ascii="Arial" w:hAnsi="Arial" w:cs="Arial"/>
          <w:sz w:val="24"/>
          <w:szCs w:val="24"/>
        </w:rPr>
      </w:pPr>
    </w:p>
    <w:p w14:paraId="5A8A471A" w14:textId="2ED123A8" w:rsidR="006E67FF" w:rsidRPr="00DF6901" w:rsidRDefault="006E67FF" w:rsidP="00805BB3">
      <w:pPr>
        <w:spacing w:line="360" w:lineRule="auto"/>
        <w:jc w:val="both"/>
        <w:rPr>
          <w:rFonts w:ascii="Arial" w:eastAsia="Times New Roman" w:hAnsi="Arial" w:cs="Arial"/>
          <w:color w:val="000000"/>
          <w:sz w:val="24"/>
          <w:szCs w:val="24"/>
        </w:rPr>
      </w:pPr>
      <w:r w:rsidRPr="00DF6901">
        <w:rPr>
          <w:rFonts w:ascii="Arial" w:eastAsia="Times New Roman" w:hAnsi="Arial" w:cs="Arial"/>
          <w:color w:val="000000"/>
          <w:sz w:val="24"/>
          <w:szCs w:val="24"/>
        </w:rPr>
        <w:t xml:space="preserve">The </w:t>
      </w:r>
      <w:r w:rsidR="00BF0E35">
        <w:rPr>
          <w:rFonts w:ascii="Arial" w:eastAsia="Times New Roman" w:hAnsi="Arial" w:cs="Arial"/>
          <w:color w:val="000000"/>
          <w:sz w:val="24"/>
          <w:szCs w:val="24"/>
        </w:rPr>
        <w:t>title</w:t>
      </w:r>
      <w:r w:rsidRPr="00DF6901">
        <w:rPr>
          <w:rFonts w:ascii="Arial" w:eastAsia="Times New Roman" w:hAnsi="Arial" w:cs="Arial"/>
          <w:color w:val="000000"/>
          <w:sz w:val="24"/>
          <w:szCs w:val="24"/>
        </w:rPr>
        <w:t xml:space="preserve"> "Wales to the World" captures the spirit of this ground-shaking occasion, signifying an international voyage of discovery and kinship. The event is ideally timed for February 27, 2024, to take advantage of seasonal changes and maximise student availability and engagement. Swansea Arena is a facility that demonstrates a dedication to quality in accessibility and event management. Gathering in Swansea, professionals, lawmakers, hobbyists, and students set out on a shared adventure to improve communities and shape futures.</w:t>
      </w:r>
    </w:p>
    <w:p w14:paraId="05D68F88" w14:textId="77777777" w:rsidR="006E67FF" w:rsidRPr="00DF6901" w:rsidRDefault="006E67FF" w:rsidP="00805BB3">
      <w:pPr>
        <w:spacing w:line="360" w:lineRule="auto"/>
        <w:jc w:val="both"/>
        <w:rPr>
          <w:rFonts w:ascii="Arial" w:hAnsi="Arial" w:cs="Arial"/>
          <w:sz w:val="24"/>
          <w:szCs w:val="24"/>
        </w:rPr>
      </w:pPr>
    </w:p>
    <w:p w14:paraId="134D1B24" w14:textId="77777777" w:rsidR="006E67FF" w:rsidRPr="00DF6901" w:rsidRDefault="006E67FF" w:rsidP="00805BB3">
      <w:pPr>
        <w:spacing w:line="360" w:lineRule="auto"/>
        <w:jc w:val="both"/>
        <w:rPr>
          <w:rFonts w:ascii="Arial" w:eastAsia="Times New Roman" w:hAnsi="Arial" w:cs="Arial"/>
          <w:color w:val="000000"/>
          <w:sz w:val="24"/>
          <w:szCs w:val="24"/>
        </w:rPr>
      </w:pPr>
      <w:r w:rsidRPr="00DF6901">
        <w:rPr>
          <w:rFonts w:ascii="Arial" w:eastAsia="Times New Roman" w:hAnsi="Arial" w:cs="Arial"/>
          <w:color w:val="000000"/>
          <w:sz w:val="24"/>
          <w:szCs w:val="24"/>
        </w:rPr>
        <w:t>The "Wales to the World" event's fundamental goal goes well beyond individual goals; it acts as a catalyst for societal and economic change, creating a vibrant ecosystem of innovation and development both inside and outside of Swansea. The need for organising such an event grows in light of the travel and tourism industry's rapid evolution, as participants look for chances and insights to manage the intricacies of a constantly shifting terrain.</w:t>
      </w:r>
    </w:p>
    <w:p w14:paraId="1016F98A" w14:textId="77777777" w:rsidR="006E67FF" w:rsidRPr="00DF6901" w:rsidRDefault="006E67FF" w:rsidP="00805BB3">
      <w:pPr>
        <w:spacing w:line="360" w:lineRule="auto"/>
        <w:jc w:val="both"/>
        <w:rPr>
          <w:rFonts w:ascii="Arial" w:hAnsi="Arial" w:cs="Arial"/>
          <w:sz w:val="24"/>
          <w:szCs w:val="24"/>
        </w:rPr>
      </w:pPr>
    </w:p>
    <w:p w14:paraId="5C6FE538" w14:textId="77777777" w:rsidR="006E67FF" w:rsidRPr="00DF6901" w:rsidRDefault="006E67FF" w:rsidP="00805BB3">
      <w:pPr>
        <w:spacing w:line="360" w:lineRule="auto"/>
        <w:jc w:val="both"/>
        <w:rPr>
          <w:rFonts w:ascii="Arial" w:eastAsia="Times New Roman" w:hAnsi="Arial" w:cs="Arial"/>
          <w:color w:val="000000"/>
          <w:sz w:val="24"/>
          <w:szCs w:val="24"/>
        </w:rPr>
      </w:pPr>
      <w:r w:rsidRPr="00DF6901">
        <w:rPr>
          <w:rFonts w:ascii="Arial" w:eastAsia="Times New Roman" w:hAnsi="Arial" w:cs="Arial"/>
          <w:color w:val="000000"/>
          <w:sz w:val="24"/>
          <w:szCs w:val="24"/>
        </w:rPr>
        <w:t>Participants join a dynamic web of opportunities, insights, and cooperation as they immerse themselves in a carefully crafted programme of immersive experiences, interactive seminars, and thought-provoking conversations. The agenda, which is carefully crafted to fit the interests and goals of each attendee, inspires and empowers the upcoming generation of industry leaders by fostering creativity, fostering conversation, and fostering cooperative solutions within the travel and tourism sector.</w:t>
      </w:r>
    </w:p>
    <w:p w14:paraId="4BB97720" w14:textId="77777777" w:rsidR="006E67FF" w:rsidRPr="00DF6901" w:rsidRDefault="006E67FF" w:rsidP="00805BB3">
      <w:pPr>
        <w:spacing w:line="360" w:lineRule="auto"/>
        <w:jc w:val="both"/>
        <w:rPr>
          <w:rFonts w:ascii="Arial" w:hAnsi="Arial" w:cs="Arial"/>
          <w:sz w:val="24"/>
          <w:szCs w:val="24"/>
        </w:rPr>
      </w:pPr>
    </w:p>
    <w:p w14:paraId="33E4F884" w14:textId="77777777" w:rsidR="00F857C2" w:rsidRDefault="006E67FF" w:rsidP="00805BB3">
      <w:pPr>
        <w:spacing w:line="360" w:lineRule="auto"/>
        <w:jc w:val="both"/>
        <w:rPr>
          <w:rFonts w:ascii="Arial" w:eastAsia="Times New Roman" w:hAnsi="Arial" w:cs="Arial"/>
          <w:color w:val="000000"/>
          <w:kern w:val="0"/>
          <w:sz w:val="24"/>
          <w:szCs w:val="24"/>
          <w14:ligatures w14:val="none"/>
        </w:rPr>
      </w:pPr>
      <w:r w:rsidRPr="009906D7">
        <w:rPr>
          <w:rFonts w:ascii="Arial" w:eastAsia="Times New Roman" w:hAnsi="Arial" w:cs="Arial"/>
          <w:color w:val="000000"/>
          <w:kern w:val="0"/>
          <w:sz w:val="24"/>
          <w:szCs w:val="24"/>
          <w14:ligatures w14:val="none"/>
        </w:rPr>
        <w:t xml:space="preserve">Most importantly, the "Wales to the World" event's capacity to assess impact and improve efficacy via an extensive array of Key Performance Indicators (KPIs) is what makes it successful. Organisers are able to assess the success of the event and </w:t>
      </w:r>
      <w:r w:rsidRPr="009906D7">
        <w:rPr>
          <w:rFonts w:ascii="Arial" w:eastAsia="Times New Roman" w:hAnsi="Arial" w:cs="Arial"/>
          <w:color w:val="000000"/>
          <w:kern w:val="0"/>
          <w:sz w:val="24"/>
          <w:szCs w:val="24"/>
          <w14:ligatures w14:val="none"/>
        </w:rPr>
        <w:lastRenderedPageBreak/>
        <w:t>pinpoint areas for development in order to guarantee ongoing innovation and growth in subsequent editions. These metrics include participant engagement, contentment, networking effectiveness, employment outcomes, social media reach, and post-conference impact.</w:t>
      </w:r>
    </w:p>
    <w:p w14:paraId="251BE20A" w14:textId="585AF139" w:rsidR="006E67FF" w:rsidRPr="009906D7" w:rsidRDefault="006E67FF" w:rsidP="00805BB3">
      <w:pPr>
        <w:spacing w:line="360" w:lineRule="auto"/>
        <w:jc w:val="both"/>
        <w:rPr>
          <w:rFonts w:ascii="Arial" w:eastAsia="Times New Roman" w:hAnsi="Arial" w:cs="Arial"/>
          <w:kern w:val="0"/>
          <w:sz w:val="24"/>
          <w:szCs w:val="24"/>
          <w14:ligatures w14:val="none"/>
        </w:rPr>
      </w:pPr>
      <w:r w:rsidRPr="009906D7">
        <w:rPr>
          <w:rFonts w:ascii="Arial" w:eastAsia="Times New Roman" w:hAnsi="Arial" w:cs="Arial"/>
          <w:color w:val="000000"/>
          <w:kern w:val="0"/>
          <w:sz w:val="24"/>
          <w:szCs w:val="24"/>
          <w14:ligatures w14:val="none"/>
        </w:rPr>
        <w:br/>
        <w:t>The safety plan also emphasises a dedication to the well-being of attendees by placing a high priority on proactive risk mitigation techniques and adherence to industry best practices. The event creates a safe and friendly atmosphere for all attendees, which lays the groundwork for meaningful participation and teamwork supported by a climate of confidence and trust. </w:t>
      </w:r>
    </w:p>
    <w:p w14:paraId="39BB6430" w14:textId="77777777" w:rsidR="006E67FF" w:rsidRPr="00DF6901" w:rsidRDefault="006E67FF" w:rsidP="00805BB3">
      <w:pPr>
        <w:spacing w:line="360" w:lineRule="auto"/>
        <w:jc w:val="both"/>
        <w:rPr>
          <w:rFonts w:ascii="Arial" w:hAnsi="Arial" w:cs="Arial"/>
          <w:sz w:val="24"/>
          <w:szCs w:val="24"/>
        </w:rPr>
      </w:pPr>
    </w:p>
    <w:p w14:paraId="64FF5502" w14:textId="77777777" w:rsidR="006E67FF" w:rsidRPr="00DF6901" w:rsidRDefault="006E67FF" w:rsidP="00805BB3">
      <w:pPr>
        <w:spacing w:line="360" w:lineRule="auto"/>
        <w:jc w:val="both"/>
        <w:rPr>
          <w:rFonts w:ascii="Arial" w:hAnsi="Arial" w:cs="Arial"/>
          <w:sz w:val="24"/>
          <w:szCs w:val="24"/>
        </w:rPr>
      </w:pPr>
      <w:r w:rsidRPr="00DF6901">
        <w:rPr>
          <w:rFonts w:ascii="Arial" w:eastAsia="Times New Roman" w:hAnsi="Arial" w:cs="Arial"/>
          <w:color w:val="000000"/>
          <w:sz w:val="24"/>
          <w:szCs w:val="24"/>
        </w:rPr>
        <w:t>An event planning checklist helps organisers choreograph success and guarantee excellence, laying the groundwork for a smooth and memorable experience that lasts long beyond the event. The "Wales to the World" event aims to open up a world of opportunity for professionals, amateurs, and students alike by paying close attention to detail and pursuing innovation relentlessly. Education, inspiration, and teamwork will shape futures and elevate communities.</w:t>
      </w:r>
    </w:p>
    <w:p w14:paraId="326D2A2F" w14:textId="77777777" w:rsidR="006E67FF" w:rsidRPr="00DF6901" w:rsidRDefault="006E67FF" w:rsidP="00805BB3">
      <w:pPr>
        <w:spacing w:line="360" w:lineRule="auto"/>
        <w:jc w:val="both"/>
        <w:rPr>
          <w:rFonts w:ascii="Arial" w:hAnsi="Arial" w:cs="Arial"/>
          <w:sz w:val="24"/>
          <w:szCs w:val="24"/>
        </w:rPr>
      </w:pPr>
    </w:p>
    <w:p w14:paraId="20F81B9A"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Date: February 27, 2024 - Seizing Opportunities Amidst Seasonal Transitions</w:t>
      </w:r>
    </w:p>
    <w:p w14:paraId="6947A435" w14:textId="77777777" w:rsidR="006E67FF" w:rsidRPr="00DF6901" w:rsidRDefault="006E67FF" w:rsidP="00805BB3">
      <w:pPr>
        <w:spacing w:line="360" w:lineRule="auto"/>
        <w:jc w:val="both"/>
        <w:rPr>
          <w:rFonts w:ascii="Arial" w:hAnsi="Arial" w:cs="Arial"/>
          <w:sz w:val="24"/>
          <w:szCs w:val="24"/>
        </w:rPr>
      </w:pPr>
    </w:p>
    <w:p w14:paraId="7C73671B" w14:textId="77777777" w:rsidR="006E67FF" w:rsidRPr="00DF6901" w:rsidRDefault="006E67FF" w:rsidP="00805BB3">
      <w:pPr>
        <w:spacing w:line="360" w:lineRule="auto"/>
        <w:jc w:val="both"/>
        <w:rPr>
          <w:rFonts w:ascii="Arial" w:eastAsia="Times New Roman" w:hAnsi="Arial" w:cs="Arial"/>
          <w:color w:val="000000"/>
          <w:sz w:val="24"/>
          <w:szCs w:val="24"/>
        </w:rPr>
      </w:pPr>
      <w:r w:rsidRPr="00DF6901">
        <w:rPr>
          <w:rFonts w:ascii="Arial" w:eastAsia="Times New Roman" w:hAnsi="Arial" w:cs="Arial"/>
          <w:color w:val="000000"/>
          <w:sz w:val="24"/>
          <w:szCs w:val="24"/>
        </w:rPr>
        <w:t>The term "Wales to the World" captures the spirit of the conference and exhibition on travel and tourism that is planned for students located in Wales and is slated to take place on February 27, 2024. This timing takes advantage of student availability and coincides with seasonal changes, while Swansea Arena's mostly indoor venue helps allay worries about weather variations.</w:t>
      </w:r>
    </w:p>
    <w:p w14:paraId="72477F8D" w14:textId="77777777" w:rsidR="006E67FF" w:rsidRPr="00DF6901" w:rsidRDefault="006E67FF" w:rsidP="00805BB3">
      <w:pPr>
        <w:spacing w:line="360" w:lineRule="auto"/>
        <w:jc w:val="both"/>
        <w:rPr>
          <w:rFonts w:ascii="Arial" w:hAnsi="Arial" w:cs="Arial"/>
          <w:sz w:val="24"/>
          <w:szCs w:val="24"/>
        </w:rPr>
      </w:pPr>
    </w:p>
    <w:p w14:paraId="3BF53118"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Location: Swansea Arena - A Nexus of Innovation and Accessibility</w:t>
      </w:r>
    </w:p>
    <w:p w14:paraId="48693CB6" w14:textId="77777777" w:rsidR="006E67FF" w:rsidRPr="00DF6901" w:rsidRDefault="006E67FF" w:rsidP="00805BB3">
      <w:pPr>
        <w:spacing w:line="360" w:lineRule="auto"/>
        <w:jc w:val="both"/>
        <w:rPr>
          <w:rFonts w:ascii="Arial" w:hAnsi="Arial" w:cs="Arial"/>
          <w:sz w:val="24"/>
          <w:szCs w:val="24"/>
        </w:rPr>
      </w:pPr>
    </w:p>
    <w:p w14:paraId="084AE78A" w14:textId="77777777" w:rsidR="006E67FF" w:rsidRPr="00DF6901" w:rsidRDefault="006E67FF" w:rsidP="00805BB3">
      <w:pPr>
        <w:spacing w:line="360" w:lineRule="auto"/>
        <w:jc w:val="both"/>
        <w:rPr>
          <w:rFonts w:ascii="Arial" w:eastAsia="Times New Roman" w:hAnsi="Arial" w:cs="Arial"/>
          <w:color w:val="000000"/>
          <w:sz w:val="24"/>
          <w:szCs w:val="24"/>
        </w:rPr>
      </w:pPr>
      <w:r w:rsidRPr="00DF6901">
        <w:rPr>
          <w:rFonts w:ascii="Arial" w:eastAsia="Times New Roman" w:hAnsi="Arial" w:cs="Arial"/>
          <w:color w:val="000000"/>
          <w:sz w:val="24"/>
          <w:szCs w:val="24"/>
        </w:rPr>
        <w:t>The selected location, Swansea Arena, epitomises event management brilliance with its prime central position and cutting-edge amenities. Its close proximity to important transport hubs guarantees easy accessibility for participants, increasing their convenience and engagement.</w:t>
      </w:r>
    </w:p>
    <w:p w14:paraId="3CA14F4E" w14:textId="77777777" w:rsidR="006E67FF" w:rsidRPr="00DF6901" w:rsidRDefault="006E67FF" w:rsidP="00805BB3">
      <w:pPr>
        <w:spacing w:line="360" w:lineRule="auto"/>
        <w:jc w:val="both"/>
        <w:rPr>
          <w:rFonts w:ascii="Arial" w:hAnsi="Arial" w:cs="Arial"/>
          <w:sz w:val="24"/>
          <w:szCs w:val="24"/>
        </w:rPr>
      </w:pPr>
    </w:p>
    <w:p w14:paraId="136C49B1"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Purpose: Shaping Futures, Elevating Communities</w:t>
      </w:r>
    </w:p>
    <w:p w14:paraId="3C53C36C" w14:textId="77777777" w:rsidR="006E67FF" w:rsidRPr="00DF6901" w:rsidRDefault="006E67FF" w:rsidP="00805BB3">
      <w:pPr>
        <w:spacing w:line="360" w:lineRule="auto"/>
        <w:jc w:val="both"/>
        <w:rPr>
          <w:rFonts w:ascii="Arial" w:hAnsi="Arial" w:cs="Arial"/>
          <w:sz w:val="24"/>
          <w:szCs w:val="24"/>
        </w:rPr>
      </w:pPr>
    </w:p>
    <w:p w14:paraId="747CE1F2" w14:textId="77777777" w:rsidR="006E67FF" w:rsidRPr="00DF6901" w:rsidRDefault="006E67FF" w:rsidP="00805BB3">
      <w:pPr>
        <w:spacing w:line="360" w:lineRule="auto"/>
        <w:jc w:val="both"/>
        <w:rPr>
          <w:rFonts w:ascii="Arial" w:eastAsia="Times New Roman" w:hAnsi="Arial" w:cs="Arial"/>
          <w:color w:val="000000"/>
          <w:sz w:val="24"/>
          <w:szCs w:val="24"/>
        </w:rPr>
      </w:pPr>
      <w:r w:rsidRPr="00DF6901">
        <w:rPr>
          <w:rFonts w:ascii="Arial" w:eastAsia="Times New Roman" w:hAnsi="Arial" w:cs="Arial"/>
          <w:color w:val="000000"/>
          <w:sz w:val="24"/>
          <w:szCs w:val="24"/>
        </w:rPr>
        <w:t>The event's goal transcends personal goals to include wider societal and economic effects. It provides a forum for students to investigate a variety of future options in the sector and stimulates Swansea's economy.</w:t>
      </w:r>
    </w:p>
    <w:p w14:paraId="75F4E757" w14:textId="77777777" w:rsidR="006E67FF" w:rsidRPr="00DF6901" w:rsidRDefault="006E67FF" w:rsidP="00805BB3">
      <w:pPr>
        <w:spacing w:line="360" w:lineRule="auto"/>
        <w:jc w:val="both"/>
        <w:rPr>
          <w:rFonts w:ascii="Arial" w:hAnsi="Arial" w:cs="Arial"/>
          <w:sz w:val="24"/>
          <w:szCs w:val="24"/>
        </w:rPr>
      </w:pPr>
    </w:p>
    <w:p w14:paraId="4F5BDA22"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Need: Navigating Opportunities in a Dynamic Industry</w:t>
      </w:r>
    </w:p>
    <w:p w14:paraId="11CC28FD" w14:textId="77777777" w:rsidR="006E67FF" w:rsidRPr="00DF6901" w:rsidRDefault="006E67FF" w:rsidP="00805BB3">
      <w:pPr>
        <w:spacing w:line="360" w:lineRule="auto"/>
        <w:jc w:val="both"/>
        <w:rPr>
          <w:rFonts w:ascii="Arial" w:hAnsi="Arial" w:cs="Arial"/>
          <w:sz w:val="24"/>
          <w:szCs w:val="24"/>
        </w:rPr>
      </w:pPr>
    </w:p>
    <w:p w14:paraId="604D3532" w14:textId="77777777" w:rsidR="006E67FF" w:rsidRPr="00DF6901" w:rsidRDefault="006E67FF" w:rsidP="00805BB3">
      <w:pPr>
        <w:spacing w:line="360" w:lineRule="auto"/>
        <w:jc w:val="both"/>
        <w:rPr>
          <w:rFonts w:ascii="Arial" w:eastAsia="Times New Roman" w:hAnsi="Arial" w:cs="Arial"/>
          <w:color w:val="000000"/>
          <w:sz w:val="24"/>
          <w:szCs w:val="24"/>
        </w:rPr>
      </w:pPr>
      <w:r w:rsidRPr="00DF6901">
        <w:rPr>
          <w:rFonts w:ascii="Arial" w:eastAsia="Times New Roman" w:hAnsi="Arial" w:cs="Arial"/>
          <w:color w:val="000000"/>
          <w:sz w:val="24"/>
          <w:szCs w:val="24"/>
        </w:rPr>
        <w:t>The event's hosting is essential because of the increasing need for possibilities and insights in the quickly changing travel and tourism industry. It also highlights Swansea's potential as a tourism hub and gives students the tools and knowledge they need to negotiate the industry's intricacies.</w:t>
      </w:r>
    </w:p>
    <w:p w14:paraId="0CFE9D5A" w14:textId="77777777" w:rsidR="006E67FF" w:rsidRPr="00DF6901" w:rsidRDefault="006E67FF" w:rsidP="00805BB3">
      <w:pPr>
        <w:spacing w:line="360" w:lineRule="auto"/>
        <w:jc w:val="both"/>
        <w:rPr>
          <w:rFonts w:ascii="Arial" w:hAnsi="Arial" w:cs="Arial"/>
          <w:sz w:val="24"/>
          <w:szCs w:val="24"/>
        </w:rPr>
      </w:pPr>
    </w:p>
    <w:p w14:paraId="1EE74589"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Audience: Nurturing Passion, Fostering Engagement</w:t>
      </w:r>
    </w:p>
    <w:p w14:paraId="29636952" w14:textId="77777777" w:rsidR="006E67FF" w:rsidRPr="00DF6901" w:rsidRDefault="006E67FF" w:rsidP="00805BB3">
      <w:pPr>
        <w:spacing w:line="360" w:lineRule="auto"/>
        <w:jc w:val="both"/>
        <w:rPr>
          <w:rFonts w:ascii="Arial" w:hAnsi="Arial" w:cs="Arial"/>
          <w:sz w:val="24"/>
          <w:szCs w:val="24"/>
        </w:rPr>
      </w:pPr>
    </w:p>
    <w:p w14:paraId="65CC2C61" w14:textId="77777777" w:rsidR="006E67FF" w:rsidRPr="00DF6901" w:rsidRDefault="006E67FF" w:rsidP="00805BB3">
      <w:pPr>
        <w:spacing w:line="360" w:lineRule="auto"/>
        <w:jc w:val="both"/>
        <w:rPr>
          <w:rFonts w:ascii="Arial" w:eastAsia="Times New Roman" w:hAnsi="Arial" w:cs="Arial"/>
          <w:color w:val="000000"/>
          <w:sz w:val="24"/>
          <w:szCs w:val="24"/>
        </w:rPr>
      </w:pPr>
      <w:r w:rsidRPr="00DF6901">
        <w:rPr>
          <w:rFonts w:ascii="Arial" w:eastAsia="Times New Roman" w:hAnsi="Arial" w:cs="Arial"/>
          <w:color w:val="000000"/>
          <w:sz w:val="24"/>
          <w:szCs w:val="24"/>
        </w:rPr>
        <w:t>Students, professionals, policymakers, and hobbyists from a variety of backgrounds come to the event because they all have a passion for exploration and discovery, and well-curated programmes guarantee that everyone has a meaningful experience.</w:t>
      </w:r>
    </w:p>
    <w:p w14:paraId="64CF6AEA" w14:textId="77777777" w:rsidR="006E67FF" w:rsidRPr="00DF6901" w:rsidRDefault="006E67FF" w:rsidP="00805BB3">
      <w:pPr>
        <w:spacing w:line="360" w:lineRule="auto"/>
        <w:jc w:val="both"/>
        <w:rPr>
          <w:rFonts w:ascii="Arial" w:hAnsi="Arial" w:cs="Arial"/>
          <w:sz w:val="24"/>
          <w:szCs w:val="24"/>
        </w:rPr>
      </w:pPr>
    </w:p>
    <w:p w14:paraId="04457F82"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Unique Selling Proposition (USP): Elevating Experiences, Inspiring Futures</w:t>
      </w:r>
    </w:p>
    <w:p w14:paraId="7939524C" w14:textId="77777777" w:rsidR="006E67FF" w:rsidRPr="00DF6901" w:rsidRDefault="006E67FF" w:rsidP="00805BB3">
      <w:pPr>
        <w:spacing w:line="360" w:lineRule="auto"/>
        <w:jc w:val="both"/>
        <w:rPr>
          <w:rFonts w:ascii="Arial" w:hAnsi="Arial" w:cs="Arial"/>
          <w:sz w:val="24"/>
          <w:szCs w:val="24"/>
        </w:rPr>
      </w:pPr>
    </w:p>
    <w:p w14:paraId="27173708" w14:textId="77777777" w:rsidR="006E67FF" w:rsidRPr="00DF6901" w:rsidRDefault="006E67FF" w:rsidP="00805BB3">
      <w:pPr>
        <w:spacing w:line="360" w:lineRule="auto"/>
        <w:jc w:val="both"/>
        <w:rPr>
          <w:rFonts w:ascii="Arial" w:hAnsi="Arial" w:cs="Arial"/>
          <w:sz w:val="24"/>
          <w:szCs w:val="24"/>
        </w:rPr>
      </w:pPr>
      <w:r w:rsidRPr="00DF6901">
        <w:rPr>
          <w:rFonts w:ascii="Arial" w:eastAsia="Times New Roman" w:hAnsi="Arial" w:cs="Arial"/>
          <w:color w:val="000000"/>
          <w:sz w:val="24"/>
          <w:szCs w:val="24"/>
        </w:rPr>
        <w:t>With its unmatched roster of top industry players, immersive experiences, and student-focused approach, the ITT Future You Conference sets itself apart and inspires and empowers the upcoming generation of travel and tourism professionals.</w:t>
      </w:r>
    </w:p>
    <w:p w14:paraId="40A6E654"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Agenda: A Tapestry of Insights, Opportunities, and Collaboration</w:t>
      </w:r>
    </w:p>
    <w:p w14:paraId="5DDEF5BD" w14:textId="77777777" w:rsidR="006E67FF" w:rsidRPr="00DF6901" w:rsidRDefault="006E67FF" w:rsidP="00805BB3">
      <w:pPr>
        <w:spacing w:line="360" w:lineRule="auto"/>
        <w:jc w:val="both"/>
        <w:rPr>
          <w:rFonts w:ascii="Arial" w:hAnsi="Arial" w:cs="Arial"/>
          <w:sz w:val="24"/>
          <w:szCs w:val="24"/>
        </w:rPr>
      </w:pPr>
    </w:p>
    <w:p w14:paraId="4D86299A" w14:textId="77777777" w:rsidR="006E67FF" w:rsidRPr="00DF6901" w:rsidRDefault="006E67FF" w:rsidP="00805BB3">
      <w:pPr>
        <w:spacing w:line="360" w:lineRule="auto"/>
        <w:jc w:val="both"/>
        <w:rPr>
          <w:rFonts w:ascii="Arial" w:eastAsia="Times New Roman" w:hAnsi="Arial" w:cs="Arial"/>
          <w:color w:val="000000"/>
          <w:sz w:val="24"/>
          <w:szCs w:val="24"/>
        </w:rPr>
      </w:pPr>
      <w:r w:rsidRPr="00DF6901">
        <w:rPr>
          <w:rFonts w:ascii="Arial" w:eastAsia="Times New Roman" w:hAnsi="Arial" w:cs="Arial"/>
          <w:color w:val="000000"/>
          <w:sz w:val="24"/>
          <w:szCs w:val="24"/>
        </w:rPr>
        <w:t>The conference programme provides a wide choice of subjects and workshops that are catered to the goals and interests of participants, encouraging discussion, igniting creativity, and promoting teamwork in the travel and tourist industry.</w:t>
      </w:r>
    </w:p>
    <w:p w14:paraId="2EF6DFE6" w14:textId="77777777" w:rsidR="006E67FF" w:rsidRPr="00DF6901" w:rsidRDefault="006E67FF" w:rsidP="00805BB3">
      <w:pPr>
        <w:spacing w:line="360" w:lineRule="auto"/>
        <w:jc w:val="both"/>
        <w:rPr>
          <w:rFonts w:ascii="Arial" w:hAnsi="Arial" w:cs="Arial"/>
          <w:sz w:val="24"/>
          <w:szCs w:val="24"/>
        </w:rPr>
      </w:pPr>
    </w:p>
    <w:p w14:paraId="4FF8440F"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Key Metrics: Evaluating Impact, Enhancing Effectiveness</w:t>
      </w:r>
    </w:p>
    <w:p w14:paraId="0257D48F" w14:textId="77777777" w:rsidR="006E67FF" w:rsidRPr="00DF6901" w:rsidRDefault="006E67FF" w:rsidP="00805BB3">
      <w:pPr>
        <w:spacing w:line="360" w:lineRule="auto"/>
        <w:jc w:val="both"/>
        <w:rPr>
          <w:rFonts w:ascii="Arial" w:hAnsi="Arial" w:cs="Arial"/>
          <w:sz w:val="24"/>
          <w:szCs w:val="24"/>
        </w:rPr>
      </w:pPr>
    </w:p>
    <w:p w14:paraId="7E823502" w14:textId="77777777" w:rsidR="006E67FF" w:rsidRPr="002C69A1" w:rsidRDefault="006E67FF" w:rsidP="00805BB3">
      <w:pPr>
        <w:spacing w:line="360" w:lineRule="auto"/>
        <w:jc w:val="both"/>
        <w:rPr>
          <w:rFonts w:ascii="Arial" w:eastAsia="Times New Roman" w:hAnsi="Arial" w:cs="Arial"/>
          <w:kern w:val="0"/>
          <w:sz w:val="24"/>
          <w:szCs w:val="24"/>
          <w14:ligatures w14:val="none"/>
        </w:rPr>
      </w:pPr>
      <w:r w:rsidRPr="002C69A1">
        <w:rPr>
          <w:rFonts w:ascii="Arial" w:eastAsia="Times New Roman" w:hAnsi="Arial" w:cs="Arial"/>
          <w:color w:val="000000"/>
          <w:kern w:val="0"/>
          <w:sz w:val="24"/>
          <w:szCs w:val="24"/>
          <w14:ligatures w14:val="none"/>
        </w:rPr>
        <w:t xml:space="preserve">A wide range of Key Performance Indicators (KPIs) that evaluate attendee engagement, contentment, networking efficacy, job outcomes, social media reach, </w:t>
      </w:r>
      <w:r w:rsidRPr="002C69A1">
        <w:rPr>
          <w:rFonts w:ascii="Arial" w:eastAsia="Times New Roman" w:hAnsi="Arial" w:cs="Arial"/>
          <w:color w:val="000000"/>
          <w:kern w:val="0"/>
          <w:sz w:val="24"/>
          <w:szCs w:val="24"/>
          <w14:ligatures w14:val="none"/>
        </w:rPr>
        <w:lastRenderedPageBreak/>
        <w:t>and post-conference impact are used to gauge the performance of the ITT Future You Conference.</w:t>
      </w:r>
    </w:p>
    <w:p w14:paraId="64387D5F" w14:textId="77777777" w:rsidR="006E67FF" w:rsidRPr="00DF6901" w:rsidRDefault="006E67FF" w:rsidP="00805BB3">
      <w:pPr>
        <w:spacing w:line="360" w:lineRule="auto"/>
        <w:jc w:val="both"/>
        <w:rPr>
          <w:rFonts w:ascii="Arial" w:hAnsi="Arial" w:cs="Arial"/>
          <w:sz w:val="24"/>
          <w:szCs w:val="24"/>
        </w:rPr>
      </w:pPr>
    </w:p>
    <w:p w14:paraId="662E88A4"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Safety Plan: Ensuring Well-Being, Promoting Confidence</w:t>
      </w:r>
    </w:p>
    <w:p w14:paraId="223CE155" w14:textId="77777777" w:rsidR="006E67FF" w:rsidRPr="00DF6901" w:rsidRDefault="006E67FF" w:rsidP="00805BB3">
      <w:pPr>
        <w:spacing w:line="360" w:lineRule="auto"/>
        <w:jc w:val="both"/>
        <w:rPr>
          <w:rFonts w:ascii="Arial" w:hAnsi="Arial" w:cs="Arial"/>
          <w:sz w:val="24"/>
          <w:szCs w:val="24"/>
        </w:rPr>
      </w:pPr>
    </w:p>
    <w:p w14:paraId="149D46FC" w14:textId="77777777" w:rsidR="006E67FF" w:rsidRPr="00DF6901" w:rsidRDefault="006E67FF" w:rsidP="00805BB3">
      <w:pPr>
        <w:spacing w:line="360" w:lineRule="auto"/>
        <w:jc w:val="both"/>
        <w:rPr>
          <w:rFonts w:ascii="Arial" w:eastAsia="Times New Roman" w:hAnsi="Arial" w:cs="Arial"/>
          <w:color w:val="000000"/>
          <w:kern w:val="0"/>
          <w:sz w:val="24"/>
          <w:szCs w:val="24"/>
          <w14:ligatures w14:val="none"/>
        </w:rPr>
      </w:pPr>
      <w:r w:rsidRPr="002C69A1">
        <w:rPr>
          <w:rFonts w:ascii="Arial" w:eastAsia="Times New Roman" w:hAnsi="Arial" w:cs="Arial"/>
          <w:color w:val="000000"/>
          <w:kern w:val="0"/>
          <w:sz w:val="24"/>
          <w:szCs w:val="24"/>
          <w14:ligatures w14:val="none"/>
        </w:rPr>
        <w:t>By implementing proactive risk mitigation techniques and adhering to industry best practices, the safety plan prioritises the well-being of attendees, creating a secure and welcoming environment for all participants.</w:t>
      </w:r>
    </w:p>
    <w:p w14:paraId="70B8E180" w14:textId="77777777" w:rsidR="006E67FF" w:rsidRPr="00DF6901" w:rsidRDefault="006E67FF" w:rsidP="00805BB3">
      <w:pPr>
        <w:spacing w:line="360" w:lineRule="auto"/>
        <w:jc w:val="both"/>
        <w:rPr>
          <w:rFonts w:ascii="Arial" w:hAnsi="Arial" w:cs="Arial"/>
          <w:sz w:val="24"/>
          <w:szCs w:val="24"/>
        </w:rPr>
      </w:pPr>
    </w:p>
    <w:p w14:paraId="7FAFCEED"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Event Planning Checklist: Orchestrating Success, Ensuring Excellence</w:t>
      </w:r>
    </w:p>
    <w:p w14:paraId="16A25BCD" w14:textId="77777777" w:rsidR="006E67FF" w:rsidRPr="00DF6901" w:rsidRDefault="006E67FF" w:rsidP="00805BB3">
      <w:pPr>
        <w:spacing w:line="360" w:lineRule="auto"/>
        <w:jc w:val="both"/>
        <w:rPr>
          <w:rFonts w:ascii="Arial" w:hAnsi="Arial" w:cs="Arial"/>
          <w:sz w:val="24"/>
          <w:szCs w:val="24"/>
        </w:rPr>
      </w:pPr>
    </w:p>
    <w:p w14:paraId="6DA88B21" w14:textId="77777777" w:rsidR="006E67FF" w:rsidRPr="00DF6901" w:rsidRDefault="006E67FF" w:rsidP="00805BB3">
      <w:pPr>
        <w:spacing w:line="360" w:lineRule="auto"/>
        <w:jc w:val="both"/>
        <w:rPr>
          <w:rFonts w:ascii="Arial" w:eastAsia="Times New Roman" w:hAnsi="Arial" w:cs="Arial"/>
          <w:color w:val="000000"/>
          <w:kern w:val="0"/>
          <w:sz w:val="24"/>
          <w:szCs w:val="24"/>
          <w14:ligatures w14:val="none"/>
        </w:rPr>
      </w:pPr>
      <w:r w:rsidRPr="002C69A1">
        <w:rPr>
          <w:rFonts w:ascii="Arial" w:eastAsia="Times New Roman" w:hAnsi="Arial" w:cs="Arial"/>
          <w:color w:val="000000"/>
          <w:kern w:val="0"/>
          <w:sz w:val="24"/>
          <w:szCs w:val="24"/>
          <w14:ligatures w14:val="none"/>
        </w:rPr>
        <w:t>The event planning checklist acts as a road map for success, assisting organisers with clarity and accuracy at each step of the process to guarantee a smooth and memorable event experience. </w:t>
      </w:r>
    </w:p>
    <w:p w14:paraId="75EE7203" w14:textId="77777777" w:rsidR="006E67FF" w:rsidRDefault="006E67FF" w:rsidP="00805BB3">
      <w:pPr>
        <w:spacing w:line="360" w:lineRule="auto"/>
        <w:jc w:val="both"/>
        <w:rPr>
          <w:rFonts w:ascii="Arial" w:hAnsi="Arial" w:cs="Arial"/>
          <w:sz w:val="24"/>
          <w:szCs w:val="24"/>
        </w:rPr>
      </w:pPr>
    </w:p>
    <w:p w14:paraId="30965D23" w14:textId="77777777" w:rsidR="00303399" w:rsidRPr="00DF6901" w:rsidRDefault="00303399" w:rsidP="00805BB3">
      <w:pPr>
        <w:spacing w:line="360" w:lineRule="auto"/>
        <w:jc w:val="both"/>
        <w:rPr>
          <w:rFonts w:ascii="Arial" w:hAnsi="Arial" w:cs="Arial"/>
          <w:sz w:val="24"/>
          <w:szCs w:val="24"/>
        </w:rPr>
      </w:pPr>
    </w:p>
    <w:p w14:paraId="1D322639" w14:textId="137FDD70" w:rsidR="006E67FF" w:rsidRPr="00DF6901" w:rsidRDefault="006E67FF" w:rsidP="45A2756A">
      <w:pPr>
        <w:pStyle w:val="Heading3"/>
      </w:pPr>
      <w:bookmarkStart w:id="87" w:name="_Toc979793867"/>
      <w:bookmarkStart w:id="88" w:name="_Toc2027169151"/>
      <w:bookmarkStart w:id="89" w:name="_Toc2130599382"/>
      <w:r>
        <w:t>Analysis:</w:t>
      </w:r>
      <w:bookmarkEnd w:id="87"/>
      <w:bookmarkEnd w:id="88"/>
      <w:bookmarkEnd w:id="89"/>
      <w:r w:rsidR="00303399">
        <w:t xml:space="preserve"> </w:t>
      </w:r>
    </w:p>
    <w:p w14:paraId="27F10BA9"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1. Seasonal Transitions and Event Timing:</w:t>
      </w:r>
    </w:p>
    <w:p w14:paraId="655919A6" w14:textId="77777777" w:rsidR="006E67FF" w:rsidRPr="00DF6901" w:rsidRDefault="006E67FF" w:rsidP="00805BB3">
      <w:pPr>
        <w:spacing w:line="360" w:lineRule="auto"/>
        <w:jc w:val="both"/>
        <w:rPr>
          <w:rFonts w:ascii="Arial" w:hAnsi="Arial" w:cs="Arial"/>
          <w:sz w:val="24"/>
          <w:szCs w:val="24"/>
        </w:rPr>
      </w:pPr>
      <w:r w:rsidRPr="00DF6901">
        <w:rPr>
          <w:rFonts w:ascii="Arial" w:eastAsia="Times New Roman" w:hAnsi="Arial" w:cs="Arial"/>
          <w:color w:val="000000"/>
          <w:sz w:val="24"/>
          <w:szCs w:val="24"/>
        </w:rPr>
        <w:t>The "Wales to the World" event date of February 27, 2024, maximises student availability by matching with seasonal transitions. Sociological theory suggests that arranging events to align with seasonal shifts might improve attendance and involvement. According to sociologist Robert K. Merton's "Social Structure and Anomie" hypothesis, people are impacted by society norms and expectations, which can alter with the seasons and possibly boost participant interest and attendance (Merton, 1938).</w:t>
      </w:r>
    </w:p>
    <w:p w14:paraId="2639EB8B" w14:textId="77777777" w:rsidR="006E67FF" w:rsidRPr="00DF6901" w:rsidRDefault="006E67FF" w:rsidP="00805BB3">
      <w:pPr>
        <w:spacing w:line="360" w:lineRule="auto"/>
        <w:jc w:val="both"/>
        <w:rPr>
          <w:rFonts w:ascii="Arial" w:hAnsi="Arial" w:cs="Arial"/>
          <w:sz w:val="24"/>
          <w:szCs w:val="24"/>
        </w:rPr>
      </w:pPr>
    </w:p>
    <w:p w14:paraId="170DFF1A"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2. Venue Selection and Accessibility:</w:t>
      </w:r>
    </w:p>
    <w:p w14:paraId="0F00467D" w14:textId="77777777" w:rsidR="006E67FF" w:rsidRPr="00DF6901" w:rsidRDefault="006E67FF" w:rsidP="00805BB3">
      <w:pPr>
        <w:spacing w:line="360" w:lineRule="auto"/>
        <w:jc w:val="both"/>
        <w:rPr>
          <w:rFonts w:ascii="Arial" w:hAnsi="Arial" w:cs="Arial"/>
          <w:sz w:val="24"/>
          <w:szCs w:val="24"/>
        </w:rPr>
      </w:pPr>
      <w:r w:rsidRPr="00DF6901">
        <w:rPr>
          <w:rFonts w:ascii="Arial" w:eastAsia="Times New Roman" w:hAnsi="Arial" w:cs="Arial"/>
          <w:color w:val="000000"/>
          <w:sz w:val="24"/>
          <w:szCs w:val="24"/>
        </w:rPr>
        <w:t xml:space="preserve">The venue, Swansea Arena, is a reflection of event management philosophy and urban sociology. Sociologist Ray Hutchison contends that urban arenas and event spaces function as hubs for social interaction that promote cross-cultural dialogue and community involvement (Hutchison, 2011). Furthermore, the notion of accessibility as proposed by urban designer Jan </w:t>
      </w:r>
      <w:proofErr w:type="spellStart"/>
      <w:r w:rsidRPr="00DF6901">
        <w:rPr>
          <w:rFonts w:ascii="Arial" w:eastAsia="Times New Roman" w:hAnsi="Arial" w:cs="Arial"/>
          <w:color w:val="000000"/>
          <w:sz w:val="24"/>
          <w:szCs w:val="24"/>
        </w:rPr>
        <w:t>Gehl</w:t>
      </w:r>
      <w:proofErr w:type="spellEnd"/>
      <w:r w:rsidRPr="00DF6901">
        <w:rPr>
          <w:rFonts w:ascii="Arial" w:eastAsia="Times New Roman" w:hAnsi="Arial" w:cs="Arial"/>
          <w:color w:val="000000"/>
          <w:sz w:val="24"/>
          <w:szCs w:val="24"/>
        </w:rPr>
        <w:t xml:space="preserve"> highlights the significance of creating inclusive and easily navigable urban environments (</w:t>
      </w:r>
      <w:proofErr w:type="spellStart"/>
      <w:r w:rsidRPr="00DF6901">
        <w:rPr>
          <w:rFonts w:ascii="Arial" w:eastAsia="Times New Roman" w:hAnsi="Arial" w:cs="Arial"/>
          <w:color w:val="000000"/>
          <w:sz w:val="24"/>
          <w:szCs w:val="24"/>
        </w:rPr>
        <w:t>Gehl</w:t>
      </w:r>
      <w:proofErr w:type="spellEnd"/>
      <w:r w:rsidRPr="00DF6901">
        <w:rPr>
          <w:rFonts w:ascii="Arial" w:eastAsia="Times New Roman" w:hAnsi="Arial" w:cs="Arial"/>
          <w:color w:val="000000"/>
          <w:sz w:val="24"/>
          <w:szCs w:val="24"/>
        </w:rPr>
        <w:t>, 2011).</w:t>
      </w:r>
    </w:p>
    <w:p w14:paraId="189CEC2D" w14:textId="77777777" w:rsidR="006E67FF" w:rsidRPr="00DF6901" w:rsidRDefault="006E67FF" w:rsidP="00805BB3">
      <w:pPr>
        <w:spacing w:line="360" w:lineRule="auto"/>
        <w:jc w:val="both"/>
        <w:rPr>
          <w:rFonts w:ascii="Arial" w:hAnsi="Arial" w:cs="Arial"/>
          <w:sz w:val="24"/>
          <w:szCs w:val="24"/>
        </w:rPr>
      </w:pPr>
    </w:p>
    <w:p w14:paraId="571D27C1"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lastRenderedPageBreak/>
        <w:t>3. Purpose and Economic Impact:</w:t>
      </w:r>
    </w:p>
    <w:p w14:paraId="148AF3CD" w14:textId="77777777" w:rsidR="006E67FF" w:rsidRPr="00DF6901" w:rsidRDefault="006E67FF" w:rsidP="00805BB3">
      <w:pPr>
        <w:spacing w:line="360" w:lineRule="auto"/>
        <w:jc w:val="both"/>
        <w:rPr>
          <w:rFonts w:ascii="Arial" w:hAnsi="Arial" w:cs="Arial"/>
          <w:sz w:val="24"/>
          <w:szCs w:val="24"/>
        </w:rPr>
      </w:pPr>
      <w:r w:rsidRPr="00DF6901">
        <w:rPr>
          <w:rFonts w:ascii="Arial" w:eastAsia="Times New Roman" w:hAnsi="Arial" w:cs="Arial"/>
          <w:color w:val="000000"/>
          <w:sz w:val="24"/>
          <w:szCs w:val="24"/>
        </w:rPr>
        <w:t>The stated goal of accelerating Swansea's economic growth is consistent with theories of community empowerment and economic development. According to urban economist Richard Florida, community development and economic progress can be promoted by investing in the creative and cultural industries (Florida, 2002).</w:t>
      </w:r>
    </w:p>
    <w:p w14:paraId="31B7CD66" w14:textId="77777777" w:rsidR="006E67FF" w:rsidRPr="00DF6901" w:rsidRDefault="006E67FF" w:rsidP="00805BB3">
      <w:pPr>
        <w:spacing w:line="360" w:lineRule="auto"/>
        <w:jc w:val="both"/>
        <w:rPr>
          <w:rFonts w:ascii="Arial" w:hAnsi="Arial" w:cs="Arial"/>
          <w:sz w:val="24"/>
          <w:szCs w:val="24"/>
        </w:rPr>
      </w:pPr>
    </w:p>
    <w:p w14:paraId="734F984B"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4. Audience Engagement and Experiential Learning:</w:t>
      </w:r>
    </w:p>
    <w:p w14:paraId="4F927812" w14:textId="77777777" w:rsidR="006E67FF" w:rsidRPr="00DF6901" w:rsidRDefault="006E67FF" w:rsidP="00805BB3">
      <w:pPr>
        <w:spacing w:line="360" w:lineRule="auto"/>
        <w:jc w:val="both"/>
        <w:rPr>
          <w:rFonts w:ascii="Arial" w:eastAsia="Times New Roman" w:hAnsi="Arial" w:cs="Arial"/>
          <w:color w:val="000000"/>
          <w:kern w:val="0"/>
          <w:sz w:val="24"/>
          <w:szCs w:val="24"/>
          <w14:ligatures w14:val="none"/>
        </w:rPr>
      </w:pPr>
      <w:r w:rsidRPr="00DF6901">
        <w:rPr>
          <w:rFonts w:ascii="Arial" w:eastAsia="Times New Roman" w:hAnsi="Arial" w:cs="Arial"/>
          <w:color w:val="000000"/>
          <w:kern w:val="0"/>
          <w:sz w:val="24"/>
          <w:szCs w:val="24"/>
          <w14:ligatures w14:val="none"/>
        </w:rPr>
        <w:t xml:space="preserve">Offering immersive experiences and interactive workshops allows participants to participate in active learning processes while accommodating a variety of learning preferences. Educational theorist David </w:t>
      </w:r>
      <w:proofErr w:type="spellStart"/>
      <w:r w:rsidRPr="00DF6901">
        <w:rPr>
          <w:rFonts w:ascii="Arial" w:eastAsia="Times New Roman" w:hAnsi="Arial" w:cs="Arial"/>
          <w:color w:val="000000"/>
          <w:kern w:val="0"/>
          <w:sz w:val="24"/>
          <w:szCs w:val="24"/>
          <w14:ligatures w14:val="none"/>
        </w:rPr>
        <w:t>Kolb</w:t>
      </w:r>
      <w:proofErr w:type="spellEnd"/>
      <w:r w:rsidRPr="00DF6901">
        <w:rPr>
          <w:rFonts w:ascii="Arial" w:eastAsia="Times New Roman" w:hAnsi="Arial" w:cs="Arial"/>
          <w:color w:val="000000"/>
          <w:kern w:val="0"/>
          <w:sz w:val="24"/>
          <w:szCs w:val="24"/>
          <w14:ligatures w14:val="none"/>
        </w:rPr>
        <w:t xml:space="preserve"> suggests an experiential learning paradigm in which people learn skills and information by reflecting on real-world experiences (</w:t>
      </w:r>
      <w:proofErr w:type="spellStart"/>
      <w:r w:rsidRPr="00DF6901">
        <w:rPr>
          <w:rFonts w:ascii="Arial" w:eastAsia="Times New Roman" w:hAnsi="Arial" w:cs="Arial"/>
          <w:color w:val="000000"/>
          <w:kern w:val="0"/>
          <w:sz w:val="24"/>
          <w:szCs w:val="24"/>
          <w14:ligatures w14:val="none"/>
        </w:rPr>
        <w:t>Kolb</w:t>
      </w:r>
      <w:proofErr w:type="spellEnd"/>
      <w:r w:rsidRPr="00DF6901">
        <w:rPr>
          <w:rFonts w:ascii="Arial" w:eastAsia="Times New Roman" w:hAnsi="Arial" w:cs="Arial"/>
          <w:color w:val="000000"/>
          <w:kern w:val="0"/>
          <w:sz w:val="24"/>
          <w:szCs w:val="24"/>
          <w14:ligatures w14:val="none"/>
        </w:rPr>
        <w:t>, 1984).</w:t>
      </w:r>
    </w:p>
    <w:p w14:paraId="03584A33" w14:textId="77777777" w:rsidR="006E67FF" w:rsidRPr="00DF6901" w:rsidRDefault="006E67FF" w:rsidP="00805BB3">
      <w:pPr>
        <w:spacing w:line="360" w:lineRule="auto"/>
        <w:jc w:val="both"/>
        <w:rPr>
          <w:rFonts w:ascii="Arial" w:hAnsi="Arial" w:cs="Arial"/>
          <w:sz w:val="24"/>
          <w:szCs w:val="24"/>
        </w:rPr>
      </w:pPr>
    </w:p>
    <w:p w14:paraId="6D2335E1"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5. Safety Planning and Risk Management:</w:t>
      </w:r>
    </w:p>
    <w:p w14:paraId="7AD6F125" w14:textId="77777777" w:rsidR="006E67FF" w:rsidRPr="00DF6901" w:rsidRDefault="006E67FF" w:rsidP="00805BB3">
      <w:pPr>
        <w:spacing w:line="360" w:lineRule="auto"/>
        <w:jc w:val="both"/>
        <w:rPr>
          <w:rFonts w:ascii="Arial" w:hAnsi="Arial" w:cs="Arial"/>
          <w:sz w:val="24"/>
          <w:szCs w:val="24"/>
        </w:rPr>
      </w:pPr>
      <w:r w:rsidRPr="00DF6901">
        <w:rPr>
          <w:rFonts w:ascii="Arial" w:eastAsia="Times New Roman" w:hAnsi="Arial" w:cs="Arial"/>
          <w:color w:val="000000"/>
          <w:kern w:val="0"/>
          <w:sz w:val="24"/>
          <w:szCs w:val="24"/>
          <w14:ligatures w14:val="none"/>
        </w:rPr>
        <w:t xml:space="preserve">Using concepts of organisational resilience and crisis management, the inclusion of a safety plan displays proactive risk assessment and contingency planning. The theory of normal accidents by Charles </w:t>
      </w:r>
      <w:proofErr w:type="spellStart"/>
      <w:r w:rsidRPr="00DF6901">
        <w:rPr>
          <w:rFonts w:ascii="Arial" w:eastAsia="Times New Roman" w:hAnsi="Arial" w:cs="Arial"/>
          <w:color w:val="000000"/>
          <w:kern w:val="0"/>
          <w:sz w:val="24"/>
          <w:szCs w:val="24"/>
          <w14:ligatures w14:val="none"/>
        </w:rPr>
        <w:t>Perrow</w:t>
      </w:r>
      <w:proofErr w:type="spellEnd"/>
      <w:r w:rsidRPr="00DF6901">
        <w:rPr>
          <w:rFonts w:ascii="Arial" w:eastAsia="Times New Roman" w:hAnsi="Arial" w:cs="Arial"/>
          <w:color w:val="000000"/>
          <w:kern w:val="0"/>
          <w:sz w:val="24"/>
          <w:szCs w:val="24"/>
          <w14:ligatures w14:val="none"/>
        </w:rPr>
        <w:t>, a sociologist, emphasises the necessity for proactive risk assessment and contingency planning by highlighting the inherent complexity and unpredictability of large-scale events (</w:t>
      </w:r>
      <w:proofErr w:type="spellStart"/>
      <w:r w:rsidRPr="00DF6901">
        <w:rPr>
          <w:rFonts w:ascii="Arial" w:eastAsia="Times New Roman" w:hAnsi="Arial" w:cs="Arial"/>
          <w:color w:val="000000"/>
          <w:kern w:val="0"/>
          <w:sz w:val="24"/>
          <w:szCs w:val="24"/>
          <w14:ligatures w14:val="none"/>
        </w:rPr>
        <w:t>Perrow</w:t>
      </w:r>
      <w:proofErr w:type="spellEnd"/>
      <w:r w:rsidRPr="00DF6901">
        <w:rPr>
          <w:rFonts w:ascii="Arial" w:eastAsia="Times New Roman" w:hAnsi="Arial" w:cs="Arial"/>
          <w:color w:val="000000"/>
          <w:kern w:val="0"/>
          <w:sz w:val="24"/>
          <w:szCs w:val="24"/>
          <w14:ligatures w14:val="none"/>
        </w:rPr>
        <w:t>, 1984). Furthermore, organisational theorist David Wenger highlights the significance of organisational resilience in maintaining institutional efficacy in a world that is changing (Wenger, 2000).</w:t>
      </w:r>
    </w:p>
    <w:p w14:paraId="229ECA6A" w14:textId="77777777" w:rsidR="006E67FF" w:rsidRPr="00DF6901" w:rsidRDefault="006E67FF" w:rsidP="00805BB3">
      <w:pPr>
        <w:spacing w:line="360" w:lineRule="auto"/>
        <w:jc w:val="both"/>
        <w:rPr>
          <w:rFonts w:ascii="Arial" w:hAnsi="Arial" w:cs="Arial"/>
          <w:sz w:val="24"/>
          <w:szCs w:val="24"/>
        </w:rPr>
      </w:pPr>
    </w:p>
    <w:p w14:paraId="40C814FB"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6. Evaluation and Continuous Improvement:</w:t>
      </w:r>
    </w:p>
    <w:p w14:paraId="56D9BE2B" w14:textId="77777777" w:rsidR="006E67FF" w:rsidRPr="00DF6901" w:rsidRDefault="006E67FF" w:rsidP="00805BB3">
      <w:pPr>
        <w:spacing w:line="360" w:lineRule="auto"/>
        <w:jc w:val="both"/>
        <w:rPr>
          <w:rFonts w:ascii="Arial" w:hAnsi="Arial" w:cs="Arial"/>
          <w:sz w:val="24"/>
          <w:szCs w:val="24"/>
        </w:rPr>
      </w:pPr>
      <w:r w:rsidRPr="00DF6901">
        <w:rPr>
          <w:rFonts w:ascii="Arial" w:eastAsia="Times New Roman" w:hAnsi="Arial" w:cs="Arial"/>
          <w:color w:val="000000"/>
          <w:kern w:val="0"/>
          <w:sz w:val="24"/>
          <w:szCs w:val="24"/>
          <w14:ligatures w14:val="none"/>
        </w:rPr>
        <w:t>Making data-driven decisions to enhance future event planning and execution is made possible by tracking measures like attendance satisfaction and engagement. Organisers can evaluate the success of their initiatives and pinpoint areas for improvement by utilising Key Performance Indicators (KPIs), which are based on ideas of organisational learning and performance management (Neely et al., 2002).</w:t>
      </w:r>
    </w:p>
    <w:p w14:paraId="7A61616B" w14:textId="77777777" w:rsidR="006E67FF" w:rsidRPr="00DF6901" w:rsidRDefault="006E67FF" w:rsidP="00805BB3">
      <w:pPr>
        <w:spacing w:line="360" w:lineRule="auto"/>
        <w:jc w:val="both"/>
        <w:rPr>
          <w:rFonts w:ascii="Arial" w:hAnsi="Arial" w:cs="Arial"/>
          <w:sz w:val="24"/>
          <w:szCs w:val="24"/>
        </w:rPr>
      </w:pPr>
    </w:p>
    <w:p w14:paraId="04E331FF"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7. Community Engagement and Local Development:</w:t>
      </w:r>
    </w:p>
    <w:p w14:paraId="1B01BB50" w14:textId="77777777" w:rsidR="006E67FF" w:rsidRPr="00DF6901" w:rsidRDefault="006E67FF" w:rsidP="00805BB3">
      <w:pPr>
        <w:spacing w:line="360" w:lineRule="auto"/>
        <w:jc w:val="both"/>
        <w:rPr>
          <w:rFonts w:ascii="Arial" w:hAnsi="Arial" w:cs="Arial"/>
          <w:sz w:val="24"/>
          <w:szCs w:val="24"/>
        </w:rPr>
      </w:pPr>
      <w:r w:rsidRPr="00DF6901">
        <w:rPr>
          <w:rFonts w:ascii="Arial" w:eastAsia="Times New Roman" w:hAnsi="Arial" w:cs="Arial"/>
          <w:color w:val="000000"/>
          <w:kern w:val="0"/>
          <w:sz w:val="24"/>
          <w:szCs w:val="24"/>
          <w14:ligatures w14:val="none"/>
        </w:rPr>
        <w:t xml:space="preserve">The "Wales to the World" event acts as a spark for local development and community involvement. The event strengthens ties and networks among participants, adding to Swansea's social fabric by drawing on sociological ideas on community capital, such </w:t>
      </w:r>
      <w:r w:rsidRPr="00DF6901">
        <w:rPr>
          <w:rFonts w:ascii="Arial" w:eastAsia="Times New Roman" w:hAnsi="Arial" w:cs="Arial"/>
          <w:color w:val="000000"/>
          <w:kern w:val="0"/>
          <w:sz w:val="24"/>
          <w:szCs w:val="24"/>
          <w14:ligatures w14:val="none"/>
        </w:rPr>
        <w:lastRenderedPageBreak/>
        <w:t>as Robert Putnam's concept of social capital (Putnam, 2000). The event builds community resilience by fostering collaboration and knowledge exchange, and it also paves the way for future projects that will further local development.</w:t>
      </w:r>
    </w:p>
    <w:p w14:paraId="2C7B9DF7" w14:textId="77777777" w:rsidR="006E67FF" w:rsidRPr="00DF6901" w:rsidRDefault="006E67FF" w:rsidP="00805BB3">
      <w:pPr>
        <w:spacing w:line="360" w:lineRule="auto"/>
        <w:jc w:val="both"/>
        <w:rPr>
          <w:rFonts w:ascii="Arial" w:hAnsi="Arial" w:cs="Arial"/>
          <w:sz w:val="24"/>
          <w:szCs w:val="24"/>
        </w:rPr>
      </w:pPr>
    </w:p>
    <w:p w14:paraId="1D67E586"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8. Sustainable Tourism Practices:</w:t>
      </w:r>
    </w:p>
    <w:p w14:paraId="35DD0286" w14:textId="77777777" w:rsidR="006E67FF" w:rsidRPr="00DF6901" w:rsidRDefault="006E67FF" w:rsidP="00805BB3">
      <w:pPr>
        <w:spacing w:line="360" w:lineRule="auto"/>
        <w:jc w:val="both"/>
        <w:rPr>
          <w:rFonts w:ascii="Arial" w:hAnsi="Arial" w:cs="Arial"/>
          <w:sz w:val="24"/>
          <w:szCs w:val="24"/>
        </w:rPr>
      </w:pPr>
      <w:r w:rsidRPr="00DF6901">
        <w:rPr>
          <w:rFonts w:ascii="Arial" w:eastAsia="Times New Roman" w:hAnsi="Arial" w:cs="Arial"/>
          <w:color w:val="000000"/>
          <w:sz w:val="24"/>
          <w:szCs w:val="24"/>
        </w:rPr>
        <w:t xml:space="preserve">The "Wales to the World" event encourages awareness and action towards sustainable tourism practises as sustainability gains importance in the tourism sector. The conflict between environmental preservation and economic growth is highlighted by Allan </w:t>
      </w:r>
      <w:proofErr w:type="spellStart"/>
      <w:r w:rsidRPr="00DF6901">
        <w:rPr>
          <w:rFonts w:ascii="Arial" w:eastAsia="Times New Roman" w:hAnsi="Arial" w:cs="Arial"/>
          <w:color w:val="000000"/>
          <w:sz w:val="24"/>
          <w:szCs w:val="24"/>
        </w:rPr>
        <w:t>Schnaiberg's</w:t>
      </w:r>
      <w:proofErr w:type="spellEnd"/>
      <w:r w:rsidRPr="00DF6901">
        <w:rPr>
          <w:rFonts w:ascii="Arial" w:eastAsia="Times New Roman" w:hAnsi="Arial" w:cs="Arial"/>
          <w:color w:val="000000"/>
          <w:sz w:val="24"/>
          <w:szCs w:val="24"/>
        </w:rPr>
        <w:t xml:space="preserve"> thesis of the "velocity of production" (</w:t>
      </w:r>
      <w:proofErr w:type="spellStart"/>
      <w:r w:rsidRPr="00DF6901">
        <w:rPr>
          <w:rFonts w:ascii="Arial" w:eastAsia="Times New Roman" w:hAnsi="Arial" w:cs="Arial"/>
          <w:color w:val="000000"/>
          <w:sz w:val="24"/>
          <w:szCs w:val="24"/>
        </w:rPr>
        <w:t>Schnaiberg</w:t>
      </w:r>
      <w:proofErr w:type="spellEnd"/>
      <w:r w:rsidRPr="00DF6901">
        <w:rPr>
          <w:rFonts w:ascii="Arial" w:eastAsia="Times New Roman" w:hAnsi="Arial" w:cs="Arial"/>
          <w:color w:val="000000"/>
          <w:sz w:val="24"/>
          <w:szCs w:val="24"/>
        </w:rPr>
        <w:t>, 1980). Through emphasising the significance of conscientious travel and exhibiting environmentally conscious endeavours, the occasion motivates attendees to embrace sustainable practises and promote ecologically aware regulations within the sector. The event promotes the long-term protection of natural resources and cultural heritage sites through advocacy and education, guaranteeing their accessibility for upcoming travel generations.</w:t>
      </w:r>
    </w:p>
    <w:p w14:paraId="7AB69509" w14:textId="77777777" w:rsidR="006E67FF" w:rsidRPr="00DF6901" w:rsidRDefault="006E67FF" w:rsidP="00805BB3">
      <w:pPr>
        <w:spacing w:line="360" w:lineRule="auto"/>
        <w:jc w:val="both"/>
        <w:rPr>
          <w:rFonts w:ascii="Arial" w:hAnsi="Arial" w:cs="Arial"/>
          <w:sz w:val="24"/>
          <w:szCs w:val="24"/>
        </w:rPr>
      </w:pPr>
    </w:p>
    <w:p w14:paraId="4980699D"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9. Cultural Exchange and Global Citizenship:</w:t>
      </w:r>
    </w:p>
    <w:p w14:paraId="5E6082BA" w14:textId="77777777" w:rsidR="006E67FF" w:rsidRPr="00DF6901" w:rsidRDefault="006E67FF" w:rsidP="00805BB3">
      <w:pPr>
        <w:spacing w:line="360" w:lineRule="auto"/>
        <w:jc w:val="both"/>
        <w:rPr>
          <w:rFonts w:ascii="Arial" w:hAnsi="Arial" w:cs="Arial"/>
          <w:sz w:val="24"/>
          <w:szCs w:val="24"/>
        </w:rPr>
      </w:pPr>
      <w:r w:rsidRPr="00DF6901">
        <w:rPr>
          <w:rFonts w:ascii="Arial" w:eastAsia="Times New Roman" w:hAnsi="Arial" w:cs="Arial"/>
          <w:color w:val="000000"/>
          <w:sz w:val="24"/>
          <w:szCs w:val="24"/>
        </w:rPr>
        <w:t>The "Wales to the World" event encourages participants to become global citizens and to exchange cultures. The notion of cultural capital, first proposed by Pierre Bourdieu in 1986, highlights the influence of cultural knowledge and experiences on the formation of personal identities and social positions. Through the provision of chances for cross-cultural learning and engagement, the event enhances the cultural capital of participants and fosters mutual respect and understanding among individuals from varied backgrounds. Attendees get insights into many cultures and traditions through immersive experiences, like cultural performances and culinary showcases, which promote empathy and a sense of interconnectedness in a society growing more globalised by the day.</w:t>
      </w:r>
    </w:p>
    <w:p w14:paraId="3783F97B" w14:textId="77777777" w:rsidR="006E67FF" w:rsidRPr="00DF6901" w:rsidRDefault="006E67FF" w:rsidP="00805BB3">
      <w:pPr>
        <w:spacing w:line="360" w:lineRule="auto"/>
        <w:jc w:val="both"/>
        <w:rPr>
          <w:rFonts w:ascii="Arial" w:hAnsi="Arial" w:cs="Arial"/>
          <w:sz w:val="24"/>
          <w:szCs w:val="24"/>
        </w:rPr>
      </w:pPr>
    </w:p>
    <w:p w14:paraId="5D06AA57"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10. Digital Transformation and Technological Innovation:</w:t>
      </w:r>
    </w:p>
    <w:p w14:paraId="63C1B075" w14:textId="77777777" w:rsidR="006E67FF" w:rsidRPr="00DF6901" w:rsidRDefault="006E67FF" w:rsidP="00805BB3">
      <w:pPr>
        <w:spacing w:line="360" w:lineRule="auto"/>
        <w:jc w:val="both"/>
        <w:rPr>
          <w:rFonts w:ascii="Arial" w:hAnsi="Arial" w:cs="Arial"/>
          <w:sz w:val="24"/>
          <w:szCs w:val="24"/>
        </w:rPr>
      </w:pPr>
      <w:r w:rsidRPr="00DF6901">
        <w:rPr>
          <w:rFonts w:ascii="Arial" w:eastAsia="Times New Roman" w:hAnsi="Arial" w:cs="Arial"/>
          <w:color w:val="000000"/>
          <w:sz w:val="24"/>
          <w:szCs w:val="24"/>
        </w:rPr>
        <w:t xml:space="preserve">To improve participant experiences and encourage information sharing, the "Wales to the World" event incorporates technological innovation in response to the travel and tourism industry's rapid digital revolution. The phases during which new technologies are embraced and incorporated into society are highlighted by Everett Rogers' innovation diffusion theory (Rogers, 2003). Through the integration of digital platforms </w:t>
      </w:r>
      <w:r w:rsidRPr="00DF6901">
        <w:rPr>
          <w:rFonts w:ascii="Arial" w:eastAsia="Times New Roman" w:hAnsi="Arial" w:cs="Arial"/>
          <w:color w:val="000000"/>
          <w:sz w:val="24"/>
          <w:szCs w:val="24"/>
        </w:rPr>
        <w:lastRenderedPageBreak/>
        <w:t>and virtual experiences, the planners of the event utilise technology to expand their audience reach and establish interactive educational possibilities. Talks about cutting-edge technologies, such augmented reality and blockchain, give participants insight into possible future developments and market upheavals, enabling them to remain ahead of the curve and adjust to shifting conditions.</w:t>
      </w:r>
    </w:p>
    <w:p w14:paraId="189B6514" w14:textId="77777777" w:rsidR="006E67FF" w:rsidRPr="00DF6901" w:rsidRDefault="006E67FF" w:rsidP="00805BB3">
      <w:pPr>
        <w:spacing w:line="360" w:lineRule="auto"/>
        <w:jc w:val="both"/>
        <w:rPr>
          <w:rFonts w:ascii="Arial" w:hAnsi="Arial" w:cs="Arial"/>
          <w:sz w:val="24"/>
          <w:szCs w:val="24"/>
        </w:rPr>
      </w:pPr>
    </w:p>
    <w:p w14:paraId="1C816B50"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11. Social Exchange Theory and Networking Effectiveness:</w:t>
      </w:r>
    </w:p>
    <w:p w14:paraId="2BFE94A3" w14:textId="506B0417" w:rsidR="006E67FF" w:rsidRPr="00DF6901" w:rsidRDefault="006E67FF" w:rsidP="00805BB3">
      <w:pPr>
        <w:spacing w:line="360" w:lineRule="auto"/>
        <w:jc w:val="both"/>
        <w:rPr>
          <w:rFonts w:ascii="Arial" w:hAnsi="Arial" w:cs="Arial"/>
          <w:sz w:val="24"/>
          <w:szCs w:val="24"/>
        </w:rPr>
      </w:pPr>
      <w:r w:rsidRPr="00DF6901">
        <w:rPr>
          <w:rFonts w:ascii="Arial" w:eastAsia="Times New Roman" w:hAnsi="Arial" w:cs="Arial"/>
          <w:color w:val="000000"/>
          <w:sz w:val="24"/>
          <w:szCs w:val="24"/>
        </w:rPr>
        <w:t xml:space="preserve">Social exchange theory </w:t>
      </w:r>
      <w:r w:rsidR="00FA4B2C">
        <w:rPr>
          <w:rFonts w:ascii="Arial" w:eastAsia="Times New Roman" w:hAnsi="Arial" w:cs="Arial"/>
          <w:color w:val="000000"/>
          <w:sz w:val="24"/>
          <w:szCs w:val="24"/>
        </w:rPr>
        <w:t>suggests</w:t>
      </w:r>
      <w:r w:rsidRPr="00DF6901">
        <w:rPr>
          <w:rFonts w:ascii="Arial" w:eastAsia="Times New Roman" w:hAnsi="Arial" w:cs="Arial"/>
          <w:color w:val="000000"/>
          <w:sz w:val="24"/>
          <w:szCs w:val="24"/>
        </w:rPr>
        <w:t xml:space="preserve"> that people interact with one another in order to maximise benefits and avoid costs. It was first introduced by sociologist George </w:t>
      </w:r>
      <w:proofErr w:type="spellStart"/>
      <w:r w:rsidRPr="00DF6901">
        <w:rPr>
          <w:rFonts w:ascii="Arial" w:eastAsia="Times New Roman" w:hAnsi="Arial" w:cs="Arial"/>
          <w:color w:val="000000"/>
          <w:sz w:val="24"/>
          <w:szCs w:val="24"/>
        </w:rPr>
        <w:t>Homans</w:t>
      </w:r>
      <w:proofErr w:type="spellEnd"/>
      <w:r w:rsidRPr="00DF6901">
        <w:rPr>
          <w:rFonts w:ascii="Arial" w:eastAsia="Times New Roman" w:hAnsi="Arial" w:cs="Arial"/>
          <w:color w:val="000000"/>
          <w:sz w:val="24"/>
          <w:szCs w:val="24"/>
        </w:rPr>
        <w:t xml:space="preserve"> and subsequently expanded upon by psychologist Peter Blau (</w:t>
      </w:r>
      <w:proofErr w:type="spellStart"/>
      <w:r w:rsidRPr="00DF6901">
        <w:rPr>
          <w:rFonts w:ascii="Arial" w:eastAsia="Times New Roman" w:hAnsi="Arial" w:cs="Arial"/>
          <w:color w:val="000000"/>
          <w:sz w:val="24"/>
          <w:szCs w:val="24"/>
        </w:rPr>
        <w:t>Homans</w:t>
      </w:r>
      <w:proofErr w:type="spellEnd"/>
      <w:r w:rsidRPr="00DF6901">
        <w:rPr>
          <w:rFonts w:ascii="Arial" w:eastAsia="Times New Roman" w:hAnsi="Arial" w:cs="Arial"/>
          <w:color w:val="000000"/>
          <w:sz w:val="24"/>
          <w:szCs w:val="24"/>
        </w:rPr>
        <w:t>, 1958; Blau, 1964). By proactively connecting with people during the "Wales to the World" event, attendees can enhance their professional networks and create future collaborations by exchanging information, resources, and possibilities.</w:t>
      </w:r>
    </w:p>
    <w:p w14:paraId="6098EA02" w14:textId="77777777" w:rsidR="006E67FF" w:rsidRPr="00DF6901" w:rsidRDefault="006E67FF" w:rsidP="00805BB3">
      <w:pPr>
        <w:spacing w:line="360" w:lineRule="auto"/>
        <w:jc w:val="both"/>
        <w:rPr>
          <w:rFonts w:ascii="Arial" w:hAnsi="Arial" w:cs="Arial"/>
          <w:sz w:val="24"/>
          <w:szCs w:val="24"/>
        </w:rPr>
      </w:pPr>
    </w:p>
    <w:p w14:paraId="655642CA"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12. Motivation Theory and Participant Engagement:</w:t>
      </w:r>
    </w:p>
    <w:p w14:paraId="394D2716" w14:textId="77777777" w:rsidR="006E67FF" w:rsidRPr="00DF6901" w:rsidRDefault="006E67FF" w:rsidP="00805BB3">
      <w:pPr>
        <w:spacing w:line="360" w:lineRule="auto"/>
        <w:jc w:val="both"/>
        <w:rPr>
          <w:rFonts w:ascii="Arial" w:hAnsi="Arial" w:cs="Arial"/>
          <w:sz w:val="24"/>
          <w:szCs w:val="24"/>
        </w:rPr>
      </w:pPr>
      <w:r w:rsidRPr="00DF6901">
        <w:rPr>
          <w:rFonts w:ascii="Arial" w:eastAsia="Times New Roman" w:hAnsi="Arial" w:cs="Arial"/>
          <w:color w:val="000000"/>
          <w:sz w:val="24"/>
          <w:szCs w:val="24"/>
        </w:rPr>
        <w:t xml:space="preserve">By utilising motivation theory, especially the research of psychologists like Frederick </w:t>
      </w:r>
      <w:proofErr w:type="spellStart"/>
      <w:r w:rsidRPr="00DF6901">
        <w:rPr>
          <w:rFonts w:ascii="Arial" w:eastAsia="Times New Roman" w:hAnsi="Arial" w:cs="Arial"/>
          <w:color w:val="000000"/>
          <w:sz w:val="24"/>
          <w:szCs w:val="24"/>
        </w:rPr>
        <w:t>Herzberg</w:t>
      </w:r>
      <w:proofErr w:type="spellEnd"/>
      <w:r w:rsidRPr="00DF6901">
        <w:rPr>
          <w:rFonts w:ascii="Arial" w:eastAsia="Times New Roman" w:hAnsi="Arial" w:cs="Arial"/>
          <w:color w:val="000000"/>
          <w:sz w:val="24"/>
          <w:szCs w:val="24"/>
        </w:rPr>
        <w:t xml:space="preserve"> and Abraham Maslow, event planners can create programmes that speak to participants' innate drives for accomplishment, self-improvement, and recognition (Maslow, 1943; </w:t>
      </w:r>
      <w:proofErr w:type="spellStart"/>
      <w:r w:rsidRPr="00DF6901">
        <w:rPr>
          <w:rFonts w:ascii="Arial" w:eastAsia="Times New Roman" w:hAnsi="Arial" w:cs="Arial"/>
          <w:color w:val="000000"/>
          <w:sz w:val="24"/>
          <w:szCs w:val="24"/>
        </w:rPr>
        <w:t>Herzberg</w:t>
      </w:r>
      <w:proofErr w:type="spellEnd"/>
      <w:r w:rsidRPr="00DF6901">
        <w:rPr>
          <w:rFonts w:ascii="Arial" w:eastAsia="Times New Roman" w:hAnsi="Arial" w:cs="Arial"/>
          <w:color w:val="000000"/>
          <w:sz w:val="24"/>
          <w:szCs w:val="24"/>
        </w:rPr>
        <w:t xml:space="preserve">, </w:t>
      </w:r>
      <w:proofErr w:type="spellStart"/>
      <w:r w:rsidRPr="00DF6901">
        <w:rPr>
          <w:rFonts w:ascii="Arial" w:eastAsia="Times New Roman" w:hAnsi="Arial" w:cs="Arial"/>
          <w:color w:val="000000"/>
          <w:sz w:val="24"/>
          <w:szCs w:val="24"/>
        </w:rPr>
        <w:t>Mausner</w:t>
      </w:r>
      <w:proofErr w:type="spellEnd"/>
      <w:r w:rsidRPr="00DF6901">
        <w:rPr>
          <w:rFonts w:ascii="Arial" w:eastAsia="Times New Roman" w:hAnsi="Arial" w:cs="Arial"/>
          <w:color w:val="000000"/>
          <w:sz w:val="24"/>
          <w:szCs w:val="24"/>
        </w:rPr>
        <w:t xml:space="preserve">, &amp; </w:t>
      </w:r>
      <w:proofErr w:type="spellStart"/>
      <w:r w:rsidRPr="00DF6901">
        <w:rPr>
          <w:rFonts w:ascii="Arial" w:eastAsia="Times New Roman" w:hAnsi="Arial" w:cs="Arial"/>
          <w:color w:val="000000"/>
          <w:sz w:val="24"/>
          <w:szCs w:val="24"/>
        </w:rPr>
        <w:t>Snyderman</w:t>
      </w:r>
      <w:proofErr w:type="spellEnd"/>
      <w:r w:rsidRPr="00DF6901">
        <w:rPr>
          <w:rFonts w:ascii="Arial" w:eastAsia="Times New Roman" w:hAnsi="Arial" w:cs="Arial"/>
          <w:color w:val="000000"/>
          <w:sz w:val="24"/>
          <w:szCs w:val="24"/>
        </w:rPr>
        <w:t>, 1959). Through the alignment of session content and activities with attendees' interests and goals, the event can improve participation and satisfaction levels, ensuring a fulfilling experience for all.</w:t>
      </w:r>
    </w:p>
    <w:p w14:paraId="5FE13974" w14:textId="77777777" w:rsidR="006E67FF" w:rsidRPr="00DF6901" w:rsidRDefault="006E67FF" w:rsidP="00805BB3">
      <w:pPr>
        <w:spacing w:line="360" w:lineRule="auto"/>
        <w:jc w:val="both"/>
        <w:rPr>
          <w:rFonts w:ascii="Arial" w:hAnsi="Arial" w:cs="Arial"/>
          <w:sz w:val="24"/>
          <w:szCs w:val="24"/>
        </w:rPr>
      </w:pPr>
    </w:p>
    <w:p w14:paraId="5E65F566"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t>13. Social Learning Theory and Knowledge Acquisition:</w:t>
      </w:r>
    </w:p>
    <w:p w14:paraId="0884373B" w14:textId="77777777" w:rsidR="006E67FF" w:rsidRPr="00DF6901" w:rsidRDefault="006E67FF" w:rsidP="00805BB3">
      <w:pPr>
        <w:spacing w:line="360" w:lineRule="auto"/>
        <w:jc w:val="both"/>
        <w:rPr>
          <w:rFonts w:ascii="Arial" w:eastAsia="Times New Roman" w:hAnsi="Arial" w:cs="Arial"/>
          <w:color w:val="000000"/>
          <w:sz w:val="24"/>
          <w:szCs w:val="24"/>
        </w:rPr>
      </w:pPr>
      <w:r w:rsidRPr="00DF6901">
        <w:rPr>
          <w:rFonts w:ascii="Arial" w:eastAsia="Times New Roman" w:hAnsi="Arial" w:cs="Arial"/>
          <w:color w:val="000000"/>
          <w:sz w:val="24"/>
          <w:szCs w:val="24"/>
        </w:rPr>
        <w:t xml:space="preserve">According to psychologist Albert </w:t>
      </w:r>
      <w:proofErr w:type="spellStart"/>
      <w:r w:rsidRPr="00DF6901">
        <w:rPr>
          <w:rFonts w:ascii="Arial" w:eastAsia="Times New Roman" w:hAnsi="Arial" w:cs="Arial"/>
          <w:color w:val="000000"/>
          <w:sz w:val="24"/>
          <w:szCs w:val="24"/>
        </w:rPr>
        <w:t>Bandura's</w:t>
      </w:r>
      <w:proofErr w:type="spellEnd"/>
      <w:r w:rsidRPr="00DF6901">
        <w:rPr>
          <w:rFonts w:ascii="Arial" w:eastAsia="Times New Roman" w:hAnsi="Arial" w:cs="Arial"/>
          <w:color w:val="000000"/>
          <w:sz w:val="24"/>
          <w:szCs w:val="24"/>
        </w:rPr>
        <w:t xml:space="preserve"> social learning theory, people pick up new skills by imitating and watching the behaviour of others (</w:t>
      </w:r>
      <w:proofErr w:type="spellStart"/>
      <w:r w:rsidRPr="00DF6901">
        <w:rPr>
          <w:rFonts w:ascii="Arial" w:eastAsia="Times New Roman" w:hAnsi="Arial" w:cs="Arial"/>
          <w:color w:val="000000"/>
          <w:sz w:val="24"/>
          <w:szCs w:val="24"/>
        </w:rPr>
        <w:t>Bandura</w:t>
      </w:r>
      <w:proofErr w:type="spellEnd"/>
      <w:r w:rsidRPr="00DF6901">
        <w:rPr>
          <w:rFonts w:ascii="Arial" w:eastAsia="Times New Roman" w:hAnsi="Arial" w:cs="Arial"/>
          <w:color w:val="000000"/>
          <w:sz w:val="24"/>
          <w:szCs w:val="24"/>
        </w:rPr>
        <w:t>, 1977). In relation to the "Wales to the World" event, participants can gain from peer-to-peer learning opportunities, workshops, and panel discussions in which they watch as industry professionals and other attendees exchange knowledge, tactics, and best practices. Participants can gain knowledge and build skills in this cooperative learning environment, which equips them to successfully negotiate the complexity of the travel and tourism industry.</w:t>
      </w:r>
    </w:p>
    <w:p w14:paraId="5347787F" w14:textId="77777777" w:rsidR="006E67FF" w:rsidRDefault="006E67FF" w:rsidP="00805BB3">
      <w:pPr>
        <w:spacing w:line="360" w:lineRule="auto"/>
        <w:jc w:val="both"/>
        <w:rPr>
          <w:rFonts w:ascii="Arial" w:hAnsi="Arial" w:cs="Arial"/>
          <w:sz w:val="24"/>
          <w:szCs w:val="24"/>
        </w:rPr>
      </w:pPr>
    </w:p>
    <w:p w14:paraId="582F55F2" w14:textId="77777777" w:rsidR="000A6E21" w:rsidRDefault="000A6E21" w:rsidP="00805BB3">
      <w:pPr>
        <w:spacing w:line="360" w:lineRule="auto"/>
        <w:jc w:val="both"/>
        <w:rPr>
          <w:rFonts w:ascii="Arial" w:hAnsi="Arial" w:cs="Arial"/>
          <w:sz w:val="24"/>
          <w:szCs w:val="24"/>
        </w:rPr>
      </w:pPr>
    </w:p>
    <w:p w14:paraId="46355B47" w14:textId="77777777" w:rsidR="000A6E21" w:rsidRPr="00DF6901" w:rsidRDefault="000A6E21" w:rsidP="00805BB3">
      <w:pPr>
        <w:spacing w:line="360" w:lineRule="auto"/>
        <w:jc w:val="both"/>
        <w:rPr>
          <w:rFonts w:ascii="Arial" w:hAnsi="Arial" w:cs="Arial"/>
          <w:sz w:val="24"/>
          <w:szCs w:val="24"/>
        </w:rPr>
      </w:pPr>
    </w:p>
    <w:p w14:paraId="77E68476" w14:textId="77777777" w:rsidR="006E67FF" w:rsidRPr="00DF6901" w:rsidRDefault="006E67FF" w:rsidP="00805BB3">
      <w:pPr>
        <w:spacing w:line="360" w:lineRule="auto"/>
        <w:jc w:val="both"/>
        <w:rPr>
          <w:rFonts w:ascii="Arial" w:hAnsi="Arial" w:cs="Arial"/>
          <w:sz w:val="24"/>
          <w:szCs w:val="24"/>
        </w:rPr>
      </w:pPr>
      <w:r w:rsidRPr="00DF6901">
        <w:rPr>
          <w:rFonts w:ascii="Arial" w:hAnsi="Arial" w:cs="Arial"/>
          <w:sz w:val="24"/>
          <w:szCs w:val="24"/>
        </w:rPr>
        <w:lastRenderedPageBreak/>
        <w:t>14. Power Dynamics and Policy Influence:</w:t>
      </w:r>
    </w:p>
    <w:p w14:paraId="6174AB63" w14:textId="77777777" w:rsidR="006E67FF" w:rsidRDefault="006E67FF" w:rsidP="00805BB3">
      <w:pPr>
        <w:spacing w:line="360" w:lineRule="auto"/>
        <w:jc w:val="both"/>
        <w:rPr>
          <w:rFonts w:ascii="Arial" w:eastAsia="Times New Roman" w:hAnsi="Arial" w:cs="Arial"/>
          <w:color w:val="000000"/>
          <w:sz w:val="24"/>
          <w:szCs w:val="24"/>
        </w:rPr>
      </w:pPr>
      <w:r w:rsidRPr="00DF6901">
        <w:rPr>
          <w:rFonts w:ascii="Arial" w:eastAsia="Times New Roman" w:hAnsi="Arial" w:cs="Arial"/>
          <w:color w:val="000000"/>
          <w:sz w:val="24"/>
          <w:szCs w:val="24"/>
        </w:rPr>
        <w:t>The unequal distribution of power within social systems and the ways in which people or groups exercise influence over others are highlighted by sociologist Max Weber's theory of power (Weber, 1922). Policymakers and industry stakeholders may use their positions of power at the "Wales to the World" event to steer conversations, push particular policies or projects, and affect the course of the travel and tourist industry. In order to guarantee that various viewpoints are heard and that decisions taken during the event represent the requirements and interests of all stakeholders, it is imperative to understand power dynamics.</w:t>
      </w:r>
    </w:p>
    <w:p w14:paraId="1B7E1531" w14:textId="77777777" w:rsidR="000A6E21" w:rsidRPr="00DF6901" w:rsidRDefault="000A6E21" w:rsidP="00805BB3">
      <w:pPr>
        <w:spacing w:line="360" w:lineRule="auto"/>
        <w:jc w:val="both"/>
        <w:rPr>
          <w:rFonts w:ascii="Arial" w:eastAsia="Times New Roman" w:hAnsi="Arial" w:cs="Arial"/>
          <w:color w:val="000000"/>
          <w:sz w:val="24"/>
          <w:szCs w:val="24"/>
        </w:rPr>
      </w:pPr>
    </w:p>
    <w:p w14:paraId="53DFCCDB" w14:textId="77777777" w:rsidR="006E67FF" w:rsidRDefault="006E67FF" w:rsidP="00805BB3">
      <w:pPr>
        <w:spacing w:line="360" w:lineRule="auto"/>
        <w:jc w:val="both"/>
        <w:rPr>
          <w:rFonts w:ascii="Arial" w:eastAsia="Times New Roman" w:hAnsi="Arial" w:cs="Arial"/>
          <w:kern w:val="0"/>
          <w:sz w:val="24"/>
          <w:szCs w:val="24"/>
          <w14:ligatures w14:val="none"/>
        </w:rPr>
      </w:pPr>
      <w:r w:rsidRPr="00DF6901">
        <w:rPr>
          <w:rFonts w:ascii="Arial" w:eastAsia="Times New Roman" w:hAnsi="Arial" w:cs="Arial"/>
          <w:color w:val="000000"/>
          <w:kern w:val="0"/>
          <w:sz w:val="24"/>
          <w:szCs w:val="24"/>
          <w14:ligatures w14:val="none"/>
        </w:rPr>
        <w:t>In conclusion, the "Wales to the World" event serves as a platform for innovation, cooperation, and education in addition to being a get-together for aficionados of travel and tourism. Through the application of sociological ideas and frameworks, event planners may optimise the event's effects and establish a durable legacy that serves the interests of nearby communities as well as the larger tourism sector. The event emphasises the spirit of adventure and discovery via community engagement, sustainable practices, cultural interaction, and technology innovation, motivating participants to seize new opportunities and determine the direction of travel and tourism. </w:t>
      </w:r>
      <w:r w:rsidRPr="00DF6901">
        <w:rPr>
          <w:rFonts w:ascii="Arial" w:eastAsia="Times New Roman" w:hAnsi="Arial" w:cs="Arial"/>
          <w:color w:val="000000"/>
          <w:kern w:val="0"/>
          <w:sz w:val="24"/>
          <w:szCs w:val="24"/>
          <w14:ligatures w14:val="none"/>
        </w:rPr>
        <w:br/>
      </w:r>
    </w:p>
    <w:p w14:paraId="1927105B" w14:textId="77777777" w:rsidR="006E67FF" w:rsidRDefault="006E67FF" w:rsidP="00805BB3">
      <w:pPr>
        <w:spacing w:line="360" w:lineRule="auto"/>
        <w:jc w:val="both"/>
        <w:rPr>
          <w:rFonts w:ascii="Arial" w:eastAsia="Times New Roman" w:hAnsi="Arial" w:cs="Arial"/>
          <w:kern w:val="0"/>
          <w:sz w:val="24"/>
          <w:szCs w:val="24"/>
          <w14:ligatures w14:val="none"/>
        </w:rPr>
      </w:pPr>
    </w:p>
    <w:p w14:paraId="630EE625" w14:textId="57793B78" w:rsidR="006E67FF" w:rsidRDefault="00232CFE" w:rsidP="00805BB3">
      <w:pPr>
        <w:spacing w:line="360" w:lineRule="auto"/>
        <w:jc w:val="both"/>
        <w:rPr>
          <w:rFonts w:ascii="Arial" w:eastAsia="Times New Roman" w:hAnsi="Arial" w:cs="Arial"/>
          <w:kern w:val="0"/>
          <w:sz w:val="24"/>
          <w:szCs w:val="24"/>
          <w14:ligatures w14:val="none"/>
        </w:rPr>
      </w:pPr>
      <w:hyperlink r:id="rId8" w:history="1">
        <w:r w:rsidRPr="00232CFE">
          <w:rPr>
            <w:rStyle w:val="Hyperlink"/>
            <w:rFonts w:ascii="Arial" w:eastAsia="Times New Roman" w:hAnsi="Arial" w:cs="Arial"/>
            <w:kern w:val="0"/>
            <w:sz w:val="24"/>
            <w:szCs w:val="24"/>
            <w14:ligatures w14:val="none"/>
          </w:rPr>
          <w:t>https://uowtsd-my.sharepoint.com/:v:/g/personal/1912233_student_uwtsd_ac_uk/EfC3jF69KCxEv3BBjTRJVLUBlkv9HkCz_mQCPUV1bz1X5A?e=KFvVes</w:t>
        </w:r>
      </w:hyperlink>
      <w:r>
        <w:rPr>
          <w:rFonts w:ascii="Arial" w:eastAsia="Times New Roman" w:hAnsi="Arial" w:cs="Arial"/>
          <w:kern w:val="0"/>
          <w:sz w:val="24"/>
          <w:szCs w:val="24"/>
          <w14:ligatures w14:val="none"/>
        </w:rPr>
        <w:t xml:space="preserve"> </w:t>
      </w:r>
    </w:p>
    <w:p w14:paraId="3C37DAE7" w14:textId="77777777" w:rsidR="006E67FF" w:rsidRDefault="006E67FF">
      <w:pPr>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br w:type="page"/>
      </w:r>
    </w:p>
    <w:p w14:paraId="3C617E30" w14:textId="3B358C24" w:rsidR="00B40C17" w:rsidRDefault="00B40C17" w:rsidP="45A2756A">
      <w:pPr>
        <w:pStyle w:val="Heading1"/>
        <w:rPr>
          <w:rStyle w:val="s1"/>
          <w:rFonts w:ascii="Arial" w:eastAsia="Arial" w:hAnsi="Arial" w:cs="Arial"/>
          <w:color w:val="auto"/>
          <w:sz w:val="24"/>
          <w:szCs w:val="24"/>
        </w:rPr>
      </w:pPr>
      <w:bookmarkStart w:id="90" w:name="_Toc1477804729"/>
      <w:bookmarkStart w:id="91" w:name="_Toc1117246209"/>
      <w:bookmarkStart w:id="92" w:name="_Toc853265519"/>
      <w:r w:rsidRPr="45A2756A">
        <w:rPr>
          <w:rFonts w:ascii="Arial" w:eastAsia="Arial" w:hAnsi="Arial" w:cs="Arial"/>
          <w:color w:val="auto"/>
          <w:sz w:val="24"/>
          <w:szCs w:val="24"/>
        </w:rPr>
        <w:lastRenderedPageBreak/>
        <w:t>Reference list</w:t>
      </w:r>
      <w:bookmarkEnd w:id="90"/>
      <w:bookmarkEnd w:id="91"/>
      <w:bookmarkEnd w:id="92"/>
      <w:r w:rsidRPr="45A2756A">
        <w:rPr>
          <w:rFonts w:ascii="Arial" w:eastAsia="Arial" w:hAnsi="Arial" w:cs="Arial"/>
          <w:color w:val="auto"/>
          <w:sz w:val="24"/>
          <w:szCs w:val="24"/>
        </w:rPr>
        <w:t xml:space="preserve"> </w:t>
      </w:r>
    </w:p>
    <w:p w14:paraId="497E52FD" w14:textId="0490A6F3"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Ajzen</w:t>
      </w:r>
      <w:proofErr w:type="spellEnd"/>
      <w:r w:rsidRPr="001A7060">
        <w:rPr>
          <w:rStyle w:val="s1"/>
          <w:rFonts w:ascii="Arial" w:hAnsi="Arial" w:cs="Arial"/>
          <w:sz w:val="24"/>
          <w:szCs w:val="24"/>
        </w:rPr>
        <w:t>, I. (1991). The theory of planned behaviour. Organisational Behaviour and Human Decision Processes, 50(2), 179-211.</w:t>
      </w:r>
    </w:p>
    <w:p w14:paraId="0E42A222"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Al-Badarneh</w:t>
      </w:r>
      <w:proofErr w:type="spellEnd"/>
      <w:r w:rsidRPr="001A7060">
        <w:rPr>
          <w:rStyle w:val="s1"/>
          <w:rFonts w:ascii="Arial" w:hAnsi="Arial" w:cs="Arial"/>
          <w:sz w:val="24"/>
          <w:szCs w:val="24"/>
        </w:rPr>
        <w:t xml:space="preserve">, M., </w:t>
      </w:r>
      <w:proofErr w:type="spellStart"/>
      <w:r w:rsidRPr="001A7060">
        <w:rPr>
          <w:rStyle w:val="s1"/>
          <w:rFonts w:ascii="Arial" w:hAnsi="Arial" w:cs="Arial"/>
          <w:sz w:val="24"/>
          <w:szCs w:val="24"/>
        </w:rPr>
        <w:t>Alghazo</w:t>
      </w:r>
      <w:proofErr w:type="spellEnd"/>
      <w:r w:rsidRPr="001A7060">
        <w:rPr>
          <w:rStyle w:val="s1"/>
          <w:rFonts w:ascii="Arial" w:hAnsi="Arial" w:cs="Arial"/>
          <w:sz w:val="24"/>
          <w:szCs w:val="24"/>
        </w:rPr>
        <w:t xml:space="preserve">, M. and </w:t>
      </w:r>
      <w:proofErr w:type="spellStart"/>
      <w:r w:rsidRPr="001A7060">
        <w:rPr>
          <w:rStyle w:val="s1"/>
          <w:rFonts w:ascii="Arial" w:hAnsi="Arial" w:cs="Arial"/>
          <w:sz w:val="24"/>
          <w:szCs w:val="24"/>
        </w:rPr>
        <w:t>Magablih</w:t>
      </w:r>
      <w:proofErr w:type="spellEnd"/>
      <w:r w:rsidRPr="001A7060">
        <w:rPr>
          <w:rStyle w:val="s1"/>
          <w:rFonts w:ascii="Arial" w:hAnsi="Arial" w:cs="Arial"/>
          <w:sz w:val="24"/>
          <w:szCs w:val="24"/>
        </w:rPr>
        <w:t xml:space="preserve">, K. (2023) ‘Assessing conference tourism and its role in Destination Marketing: The case study of </w:t>
      </w:r>
      <w:proofErr w:type="spellStart"/>
      <w:r w:rsidRPr="001A7060">
        <w:rPr>
          <w:rStyle w:val="s1"/>
          <w:rFonts w:ascii="Arial" w:hAnsi="Arial" w:cs="Arial"/>
          <w:sz w:val="24"/>
          <w:szCs w:val="24"/>
        </w:rPr>
        <w:t>jordan</w:t>
      </w:r>
      <w:proofErr w:type="spellEnd"/>
      <w:r w:rsidRPr="001A7060">
        <w:rPr>
          <w:rStyle w:val="s1"/>
          <w:rFonts w:ascii="Arial" w:hAnsi="Arial" w:cs="Arial"/>
          <w:sz w:val="24"/>
          <w:szCs w:val="24"/>
        </w:rPr>
        <w:t xml:space="preserve">’, </w:t>
      </w:r>
      <w:proofErr w:type="spellStart"/>
      <w:r w:rsidRPr="001A7060">
        <w:rPr>
          <w:rStyle w:val="s1"/>
          <w:rFonts w:ascii="Arial" w:hAnsi="Arial" w:cs="Arial"/>
          <w:sz w:val="24"/>
          <w:szCs w:val="24"/>
        </w:rPr>
        <w:t>Shedet</w:t>
      </w:r>
      <w:proofErr w:type="spellEnd"/>
      <w:r w:rsidRPr="001A7060">
        <w:rPr>
          <w:rStyle w:val="s1"/>
          <w:rFonts w:ascii="Arial" w:hAnsi="Arial" w:cs="Arial"/>
          <w:sz w:val="24"/>
          <w:szCs w:val="24"/>
        </w:rPr>
        <w:t xml:space="preserve">, 11(11), pp. 0–0. </w:t>
      </w:r>
      <w:proofErr w:type="spellStart"/>
      <w:r w:rsidRPr="001A7060">
        <w:rPr>
          <w:rStyle w:val="s1"/>
          <w:rFonts w:ascii="Arial" w:hAnsi="Arial" w:cs="Arial"/>
          <w:sz w:val="24"/>
          <w:szCs w:val="24"/>
        </w:rPr>
        <w:t>doi:10.21608</w:t>
      </w:r>
      <w:proofErr w:type="spellEnd"/>
      <w:r w:rsidRPr="001A7060">
        <w:rPr>
          <w:rStyle w:val="s1"/>
          <w:rFonts w:ascii="Arial" w:hAnsi="Arial" w:cs="Arial"/>
          <w:sz w:val="24"/>
          <w:szCs w:val="24"/>
        </w:rPr>
        <w:t>/</w:t>
      </w:r>
      <w:proofErr w:type="spellStart"/>
      <w:r w:rsidRPr="001A7060">
        <w:rPr>
          <w:rStyle w:val="s1"/>
          <w:rFonts w:ascii="Arial" w:hAnsi="Arial" w:cs="Arial"/>
          <w:sz w:val="24"/>
          <w:szCs w:val="24"/>
        </w:rPr>
        <w:t>shedet.2023.318770</w:t>
      </w:r>
      <w:proofErr w:type="spellEnd"/>
      <w:r w:rsidRPr="001A7060">
        <w:rPr>
          <w:rStyle w:val="s1"/>
          <w:rFonts w:ascii="Arial" w:hAnsi="Arial" w:cs="Arial"/>
          <w:sz w:val="24"/>
          <w:szCs w:val="24"/>
        </w:rPr>
        <w:t>.</w:t>
      </w:r>
    </w:p>
    <w:p w14:paraId="2D52AD3F"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Allen, J., O'Toole, W., McDonnell, I., &amp; Harris, R. (2018). Festival and events management: An international arts and culture perspective. </w:t>
      </w:r>
      <w:proofErr w:type="spellStart"/>
      <w:r w:rsidRPr="001A7060">
        <w:rPr>
          <w:rStyle w:val="s1"/>
          <w:rFonts w:ascii="Arial" w:hAnsi="Arial" w:cs="Arial"/>
          <w:sz w:val="24"/>
          <w:szCs w:val="24"/>
        </w:rPr>
        <w:t>Routledge</w:t>
      </w:r>
      <w:proofErr w:type="spellEnd"/>
      <w:r w:rsidRPr="001A7060">
        <w:rPr>
          <w:rStyle w:val="s1"/>
          <w:rFonts w:ascii="Arial" w:hAnsi="Arial" w:cs="Arial"/>
          <w:sz w:val="24"/>
          <w:szCs w:val="24"/>
        </w:rPr>
        <w:t>.</w:t>
      </w:r>
    </w:p>
    <w:p w14:paraId="57CD1AE2"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Allen, J., O’Toole, W., Harris, R., &amp; McDonnell, I. (2010). Festival and Special Event Management. John Wiley &amp; Sons.</w:t>
      </w:r>
    </w:p>
    <w:p w14:paraId="728D3780"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American Psychological Association. (2023). Inclusive language guide (2nd ed.). https://www.apa.org/about/apa/ equity-diversity-inclusion/language-guidelines.pdf</w:t>
      </w:r>
    </w:p>
    <w:p w14:paraId="2E971CD1"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Anholt</w:t>
      </w:r>
      <w:proofErr w:type="spellEnd"/>
      <w:r w:rsidRPr="001A7060">
        <w:rPr>
          <w:rStyle w:val="s1"/>
          <w:rFonts w:ascii="Arial" w:hAnsi="Arial" w:cs="Arial"/>
          <w:sz w:val="24"/>
          <w:szCs w:val="24"/>
        </w:rPr>
        <w:t xml:space="preserve">, S. (2007). Competitive Identity: The New Brand Management for Nations, Cities and Regions. </w:t>
      </w:r>
      <w:proofErr w:type="spellStart"/>
      <w:r w:rsidRPr="001A7060">
        <w:rPr>
          <w:rStyle w:val="s1"/>
          <w:rFonts w:ascii="Arial" w:hAnsi="Arial" w:cs="Arial"/>
          <w:sz w:val="24"/>
          <w:szCs w:val="24"/>
        </w:rPr>
        <w:t>Palgrave</w:t>
      </w:r>
      <w:proofErr w:type="spellEnd"/>
      <w:r w:rsidRPr="001A7060">
        <w:rPr>
          <w:rStyle w:val="s1"/>
          <w:rFonts w:ascii="Arial" w:hAnsi="Arial" w:cs="Arial"/>
          <w:sz w:val="24"/>
          <w:szCs w:val="24"/>
        </w:rPr>
        <w:t xml:space="preserve"> Macmillan.</w:t>
      </w:r>
    </w:p>
    <w:p w14:paraId="76394661"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Approved school term dates 2023 to 2024 [HTML] (2023) GOV.WALES. Available at: https://www.gov.wales/approved-school-term-dates-2023-2024-html (Accessed: 10 April 2024).</w:t>
      </w:r>
    </w:p>
    <w:p w14:paraId="0E4DE9E2"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Bagozzi</w:t>
      </w:r>
      <w:proofErr w:type="spellEnd"/>
      <w:r w:rsidRPr="001A7060">
        <w:rPr>
          <w:rStyle w:val="s1"/>
          <w:rFonts w:ascii="Arial" w:hAnsi="Arial" w:cs="Arial"/>
          <w:sz w:val="24"/>
          <w:szCs w:val="24"/>
        </w:rPr>
        <w:t xml:space="preserve">, R. P., Gopinath, M., &amp; </w:t>
      </w:r>
      <w:proofErr w:type="spellStart"/>
      <w:r w:rsidRPr="001A7060">
        <w:rPr>
          <w:rStyle w:val="s1"/>
          <w:rFonts w:ascii="Arial" w:hAnsi="Arial" w:cs="Arial"/>
          <w:sz w:val="24"/>
          <w:szCs w:val="24"/>
        </w:rPr>
        <w:t>Nyer</w:t>
      </w:r>
      <w:proofErr w:type="spellEnd"/>
      <w:r w:rsidRPr="001A7060">
        <w:rPr>
          <w:rStyle w:val="s1"/>
          <w:rFonts w:ascii="Arial" w:hAnsi="Arial" w:cs="Arial"/>
          <w:sz w:val="24"/>
          <w:szCs w:val="24"/>
        </w:rPr>
        <w:t>, P. U. (1999). The role of emotions in marketing. Journal of the Academy of Marketing Science, 27(2), 184-206.</w:t>
      </w:r>
    </w:p>
    <w:p w14:paraId="5E123321"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Bandura</w:t>
      </w:r>
      <w:proofErr w:type="spellEnd"/>
      <w:r w:rsidRPr="001A7060">
        <w:rPr>
          <w:rStyle w:val="s1"/>
          <w:rFonts w:ascii="Arial" w:hAnsi="Arial" w:cs="Arial"/>
          <w:sz w:val="24"/>
          <w:szCs w:val="24"/>
        </w:rPr>
        <w:t>, A. (1977). Social learning theory. Prentice-Hall.</w:t>
      </w:r>
    </w:p>
    <w:p w14:paraId="7B406362"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Bandura</w:t>
      </w:r>
      <w:proofErr w:type="spellEnd"/>
      <w:r w:rsidRPr="001A7060">
        <w:rPr>
          <w:rStyle w:val="s1"/>
          <w:rFonts w:ascii="Arial" w:hAnsi="Arial" w:cs="Arial"/>
          <w:sz w:val="24"/>
          <w:szCs w:val="24"/>
        </w:rPr>
        <w:t>, A. (1986). Social foundations of thought and action: A social cognitive theory. Prentice-Hall, Inc.</w:t>
      </w:r>
    </w:p>
    <w:p w14:paraId="7031A41B"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Barney, J. B. (1991). Firm resources and sustained competitive advantage. Journal of Management, 17(1), 99-120.</w:t>
      </w:r>
    </w:p>
    <w:p w14:paraId="3B71833D"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Blau, P. M. (1964). Exchange and power in social life. Wiley.</w:t>
      </w:r>
    </w:p>
    <w:p w14:paraId="0CC49680"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Bourdieu, P. (1986). The Forms of Capital. Cultural Theory: An Anthology, 81-93.</w:t>
      </w:r>
    </w:p>
    <w:p w14:paraId="6CCE7015"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lastRenderedPageBreak/>
        <w:t>Bourdieu, P. (1986). The forms of capital. In J. Richardson (Ed.), Handbook of theory and research for the sociology of education (pp. 241-258). Greenwood Press.</w:t>
      </w:r>
    </w:p>
    <w:p w14:paraId="46AECFB0"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Buhalis</w:t>
      </w:r>
      <w:proofErr w:type="spellEnd"/>
      <w:r w:rsidRPr="001A7060">
        <w:rPr>
          <w:rStyle w:val="s1"/>
          <w:rFonts w:ascii="Arial" w:hAnsi="Arial" w:cs="Arial"/>
          <w:sz w:val="24"/>
          <w:szCs w:val="24"/>
        </w:rPr>
        <w:t>, D., &amp; Law, R. (2008). Progress in information technology and tourism management: 20 years on and 10 years after the Internet—The state of eTourism research. Tourism management, 29(4), 609-623.</w:t>
      </w:r>
    </w:p>
    <w:p w14:paraId="3B6268BB"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Burt, R. S. (1992). Structural Holes: The Social Structure of Competition. Harvard University Press.</w:t>
      </w:r>
    </w:p>
    <w:p w14:paraId="4958A6F3"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Cameron, D., &amp; Roberge, M. (2013). Physical Security: 150 Things You Should Know. </w:t>
      </w:r>
      <w:proofErr w:type="spellStart"/>
      <w:r w:rsidRPr="001A7060">
        <w:rPr>
          <w:rStyle w:val="s1"/>
          <w:rFonts w:ascii="Arial" w:hAnsi="Arial" w:cs="Arial"/>
          <w:sz w:val="24"/>
          <w:szCs w:val="24"/>
        </w:rPr>
        <w:t>Butterworth-Heinemann</w:t>
      </w:r>
      <w:proofErr w:type="spellEnd"/>
      <w:r w:rsidRPr="001A7060">
        <w:rPr>
          <w:rStyle w:val="s1"/>
          <w:rFonts w:ascii="Arial" w:hAnsi="Arial" w:cs="Arial"/>
          <w:sz w:val="24"/>
          <w:szCs w:val="24"/>
        </w:rPr>
        <w:t>.</w:t>
      </w:r>
    </w:p>
    <w:p w14:paraId="69098A06"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Clarke, S. (2006). The relationship between safety climate and safety performance: A meta-analytic review. Journal of Occupational Health Psychology, 11(4), 315–327.</w:t>
      </w:r>
    </w:p>
    <w:p w14:paraId="2E00E88A"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Coleman, J. (1988). Social Capital in the Creation of Human Capital. American Journal of Sociology, 94(Supplement), S95-S120.</w:t>
      </w:r>
    </w:p>
    <w:p w14:paraId="73E5C03C"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Cornwell</w:t>
      </w:r>
      <w:proofErr w:type="spellEnd"/>
      <w:r w:rsidRPr="001A7060">
        <w:rPr>
          <w:rStyle w:val="s1"/>
          <w:rFonts w:ascii="Arial" w:hAnsi="Arial" w:cs="Arial"/>
          <w:sz w:val="24"/>
          <w:szCs w:val="24"/>
        </w:rPr>
        <w:t xml:space="preserve">, T. B., Roy, D. P., &amp; </w:t>
      </w:r>
      <w:proofErr w:type="spellStart"/>
      <w:r w:rsidRPr="001A7060">
        <w:rPr>
          <w:rStyle w:val="s1"/>
          <w:rFonts w:ascii="Arial" w:hAnsi="Arial" w:cs="Arial"/>
          <w:sz w:val="24"/>
          <w:szCs w:val="24"/>
        </w:rPr>
        <w:t>Steinard</w:t>
      </w:r>
      <w:proofErr w:type="spellEnd"/>
      <w:r w:rsidRPr="001A7060">
        <w:rPr>
          <w:rStyle w:val="s1"/>
          <w:rFonts w:ascii="Arial" w:hAnsi="Arial" w:cs="Arial"/>
          <w:sz w:val="24"/>
          <w:szCs w:val="24"/>
        </w:rPr>
        <w:t>, E. A. (2001). Exploring managers’ perceptions of the impact of sponsorship on brand equity. Journal of Advertising, 30(2), 41–51.</w:t>
      </w:r>
    </w:p>
    <w:p w14:paraId="500CB049"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Cote, A. E., &amp; Nightingale, J. L. (2014). Fundamentals of Fire Protection for the Safety Professional. Government Institutes.</w:t>
      </w:r>
    </w:p>
    <w:p w14:paraId="11D3CF57"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Deci, E. L., &amp; Ryan, R. M. (1985). Intrinsic motivation and self-determination in human behaviour. Springer US.</w:t>
      </w:r>
    </w:p>
    <w:p w14:paraId="05C608E3"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Deloitte. (2021). Travel and Hospitality Industry Outlook: Deloitte Insights.</w:t>
      </w:r>
    </w:p>
    <w:p w14:paraId="194F9C7F"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DeVos</w:t>
      </w:r>
      <w:proofErr w:type="spellEnd"/>
      <w:r w:rsidRPr="001A7060">
        <w:rPr>
          <w:rStyle w:val="s1"/>
          <w:rFonts w:ascii="Arial" w:hAnsi="Arial" w:cs="Arial"/>
          <w:sz w:val="24"/>
          <w:szCs w:val="24"/>
        </w:rPr>
        <w:t xml:space="preserve">, J., </w:t>
      </w:r>
      <w:proofErr w:type="spellStart"/>
      <w:r w:rsidRPr="001A7060">
        <w:rPr>
          <w:rStyle w:val="s1"/>
          <w:rFonts w:ascii="Arial" w:hAnsi="Arial" w:cs="Arial"/>
          <w:sz w:val="24"/>
          <w:szCs w:val="24"/>
        </w:rPr>
        <w:t>Kloot</w:t>
      </w:r>
      <w:proofErr w:type="spellEnd"/>
      <w:r w:rsidRPr="001A7060">
        <w:rPr>
          <w:rStyle w:val="s1"/>
          <w:rFonts w:ascii="Arial" w:hAnsi="Arial" w:cs="Arial"/>
          <w:sz w:val="24"/>
          <w:szCs w:val="24"/>
        </w:rPr>
        <w:t xml:space="preserve">, L., </w:t>
      </w:r>
      <w:proofErr w:type="spellStart"/>
      <w:r w:rsidRPr="001A7060">
        <w:rPr>
          <w:rStyle w:val="s1"/>
          <w:rFonts w:ascii="Arial" w:hAnsi="Arial" w:cs="Arial"/>
          <w:sz w:val="24"/>
          <w:szCs w:val="24"/>
        </w:rPr>
        <w:t>Maritz</w:t>
      </w:r>
      <w:proofErr w:type="spellEnd"/>
      <w:r w:rsidRPr="001A7060">
        <w:rPr>
          <w:rStyle w:val="s1"/>
          <w:rFonts w:ascii="Arial" w:hAnsi="Arial" w:cs="Arial"/>
          <w:sz w:val="24"/>
          <w:szCs w:val="24"/>
        </w:rPr>
        <w:t xml:space="preserve">, A., &amp; van </w:t>
      </w:r>
      <w:proofErr w:type="spellStart"/>
      <w:r w:rsidRPr="001A7060">
        <w:rPr>
          <w:rStyle w:val="s1"/>
          <w:rFonts w:ascii="Arial" w:hAnsi="Arial" w:cs="Arial"/>
          <w:sz w:val="24"/>
          <w:szCs w:val="24"/>
        </w:rPr>
        <w:t>Vuuren</w:t>
      </w:r>
      <w:proofErr w:type="spellEnd"/>
      <w:r w:rsidRPr="001A7060">
        <w:rPr>
          <w:rStyle w:val="s1"/>
          <w:rFonts w:ascii="Arial" w:hAnsi="Arial" w:cs="Arial"/>
          <w:sz w:val="24"/>
          <w:szCs w:val="24"/>
        </w:rPr>
        <w:t>, J. (2017). Postgraduate career success: The influence of individual competencies and career strategy. International Journal of Educational Management, 31(2), 178-191.</w:t>
      </w:r>
    </w:p>
    <w:p w14:paraId="1E33782D"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Dolan, S. L., Garcia, S., &amp; Auerbach, A. J. (2016). Understanding and managing the complexity of relationships in alliance portfolios. In Advances in Mergers and Acquisitions (pp. 57-86). Emerald Group Publishing Limited.</w:t>
      </w:r>
    </w:p>
    <w:p w14:paraId="37960720"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lastRenderedPageBreak/>
        <w:t xml:space="preserve">Duffy, A., &amp; </w:t>
      </w:r>
      <w:proofErr w:type="spellStart"/>
      <w:r w:rsidRPr="001A7060">
        <w:rPr>
          <w:rStyle w:val="s1"/>
          <w:rFonts w:ascii="Arial" w:hAnsi="Arial" w:cs="Arial"/>
          <w:sz w:val="24"/>
          <w:szCs w:val="24"/>
        </w:rPr>
        <w:t>Vergolini</w:t>
      </w:r>
      <w:proofErr w:type="spellEnd"/>
      <w:r w:rsidRPr="001A7060">
        <w:rPr>
          <w:rStyle w:val="s1"/>
          <w:rFonts w:ascii="Arial" w:hAnsi="Arial" w:cs="Arial"/>
          <w:sz w:val="24"/>
          <w:szCs w:val="24"/>
        </w:rPr>
        <w:t>, L. (2018). The Social Impact of Cultural and Sporting Events: A Literature Review. Journal of Policy Research in Tourism, Leisure and Events, 10(2), 171-190.</w:t>
      </w:r>
    </w:p>
    <w:p w14:paraId="119C39FC"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Durkheim, E. (1893). The Division of Labour in Society. Free Press.</w:t>
      </w:r>
    </w:p>
    <w:p w14:paraId="3169267B"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FAQ about visit Wales and this website (2024) VisitWales. Available at: https://www.visitwales.com/info/faq-about-visit-wales-and-website#:~:text=Our%20ambition%20is%20to%20grow,our%20visitors%20and%20local%20communities. (Accessed: 10 April 2024).</w:t>
      </w:r>
    </w:p>
    <w:p w14:paraId="29F5FD6C" w14:textId="1AB3DD49" w:rsidR="001A7060" w:rsidRPr="001A7060" w:rsidRDefault="001A7060" w:rsidP="001A7060">
      <w:pPr>
        <w:pStyle w:val="p1"/>
        <w:spacing w:before="240" w:line="360" w:lineRule="auto"/>
        <w:jc w:val="both"/>
        <w:divId w:val="1832259846"/>
        <w:rPr>
          <w:rFonts w:ascii="Arial" w:hAnsi="Arial" w:cs="Arial"/>
          <w:sz w:val="24"/>
          <w:szCs w:val="24"/>
        </w:rPr>
      </w:pPr>
      <w:r w:rsidRPr="45A2756A">
        <w:rPr>
          <w:rStyle w:val="s1"/>
          <w:rFonts w:ascii="Arial" w:hAnsi="Arial" w:cs="Arial"/>
          <w:sz w:val="24"/>
          <w:szCs w:val="24"/>
        </w:rPr>
        <w:t xml:space="preserve">February 27, </w:t>
      </w:r>
      <w:r w:rsidR="644034D2" w:rsidRPr="45A2756A">
        <w:rPr>
          <w:rStyle w:val="s1"/>
          <w:rFonts w:ascii="Arial" w:hAnsi="Arial" w:cs="Arial"/>
          <w:sz w:val="24"/>
          <w:szCs w:val="24"/>
        </w:rPr>
        <w:t>2024,</w:t>
      </w:r>
      <w:r w:rsidRPr="45A2756A">
        <w:rPr>
          <w:rStyle w:val="s1"/>
          <w:rFonts w:ascii="Arial" w:hAnsi="Arial" w:cs="Arial"/>
          <w:sz w:val="24"/>
          <w:szCs w:val="24"/>
        </w:rPr>
        <w:t xml:space="preserve"> weather history in Swansea United Kingdom (2024) Swansea February 27, </w:t>
      </w:r>
      <w:r w:rsidR="3A4B8D24" w:rsidRPr="45A2756A">
        <w:rPr>
          <w:rStyle w:val="s1"/>
          <w:rFonts w:ascii="Arial" w:hAnsi="Arial" w:cs="Arial"/>
          <w:sz w:val="24"/>
          <w:szCs w:val="24"/>
        </w:rPr>
        <w:t>2024,</w:t>
      </w:r>
      <w:r w:rsidRPr="45A2756A">
        <w:rPr>
          <w:rStyle w:val="s1"/>
          <w:rFonts w:ascii="Arial" w:hAnsi="Arial" w:cs="Arial"/>
          <w:sz w:val="24"/>
          <w:szCs w:val="24"/>
        </w:rPr>
        <w:t xml:space="preserve"> Historical Weather (United Kingdom) - Weather Spark. Available at: https://weatherspark.com/h/d/37763/2024/2/27/Historical-Weather-on-Tuesday-February-27-2024-in-Swansea-United-Kingdom (Accessed: 10 April 2024).</w:t>
      </w:r>
    </w:p>
    <w:p w14:paraId="5D07EFAD"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Fesenmaier</w:t>
      </w:r>
      <w:proofErr w:type="spellEnd"/>
      <w:r w:rsidRPr="001A7060">
        <w:rPr>
          <w:rStyle w:val="s1"/>
          <w:rFonts w:ascii="Arial" w:hAnsi="Arial" w:cs="Arial"/>
          <w:sz w:val="24"/>
          <w:szCs w:val="24"/>
        </w:rPr>
        <w:t>, D., Scott, N., &amp; Archer, B. (2014). Understanding the Structure and Function of Destination Management Organisations. In Tourism Destination Development (pp. 59–82). CABI.</w:t>
      </w:r>
    </w:p>
    <w:p w14:paraId="148298B7"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Fesenmaier</w:t>
      </w:r>
      <w:proofErr w:type="spellEnd"/>
      <w:r w:rsidRPr="001A7060">
        <w:rPr>
          <w:rStyle w:val="s1"/>
          <w:rFonts w:ascii="Arial" w:hAnsi="Arial" w:cs="Arial"/>
          <w:sz w:val="24"/>
          <w:szCs w:val="24"/>
        </w:rPr>
        <w:t xml:space="preserve">, D., </w:t>
      </w:r>
      <w:proofErr w:type="spellStart"/>
      <w:r w:rsidRPr="001A7060">
        <w:rPr>
          <w:rStyle w:val="s1"/>
          <w:rFonts w:ascii="Arial" w:hAnsi="Arial" w:cs="Arial"/>
          <w:sz w:val="24"/>
          <w:szCs w:val="24"/>
        </w:rPr>
        <w:t>Werthner</w:t>
      </w:r>
      <w:proofErr w:type="spellEnd"/>
      <w:r w:rsidRPr="001A7060">
        <w:rPr>
          <w:rStyle w:val="s1"/>
          <w:rFonts w:ascii="Arial" w:hAnsi="Arial" w:cs="Arial"/>
          <w:sz w:val="24"/>
          <w:szCs w:val="24"/>
        </w:rPr>
        <w:t xml:space="preserve">, H., &amp; </w:t>
      </w:r>
      <w:proofErr w:type="spellStart"/>
      <w:r w:rsidRPr="001A7060">
        <w:rPr>
          <w:rStyle w:val="s1"/>
          <w:rFonts w:ascii="Arial" w:hAnsi="Arial" w:cs="Arial"/>
          <w:sz w:val="24"/>
          <w:szCs w:val="24"/>
        </w:rPr>
        <w:t>Wöber</w:t>
      </w:r>
      <w:proofErr w:type="spellEnd"/>
      <w:r w:rsidRPr="001A7060">
        <w:rPr>
          <w:rStyle w:val="s1"/>
          <w:rFonts w:ascii="Arial" w:hAnsi="Arial" w:cs="Arial"/>
          <w:sz w:val="24"/>
          <w:szCs w:val="24"/>
        </w:rPr>
        <w:t xml:space="preserve">, K. (Eds.). (2014). Destination Recommendation Systems: </w:t>
      </w:r>
      <w:proofErr w:type="spellStart"/>
      <w:r w:rsidRPr="001A7060">
        <w:rPr>
          <w:rStyle w:val="s1"/>
          <w:rFonts w:ascii="Arial" w:hAnsi="Arial" w:cs="Arial"/>
          <w:sz w:val="24"/>
          <w:szCs w:val="24"/>
        </w:rPr>
        <w:t>Behavioral</w:t>
      </w:r>
      <w:proofErr w:type="spellEnd"/>
      <w:r w:rsidRPr="001A7060">
        <w:rPr>
          <w:rStyle w:val="s1"/>
          <w:rFonts w:ascii="Arial" w:hAnsi="Arial" w:cs="Arial"/>
          <w:sz w:val="24"/>
          <w:szCs w:val="24"/>
        </w:rPr>
        <w:t xml:space="preserve"> Foundations and Applications. CABI.</w:t>
      </w:r>
    </w:p>
    <w:p w14:paraId="7129684A"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Fitzpatrick, J. L., Sanders, J. R., &amp; </w:t>
      </w:r>
      <w:proofErr w:type="spellStart"/>
      <w:r w:rsidRPr="001A7060">
        <w:rPr>
          <w:rStyle w:val="s1"/>
          <w:rFonts w:ascii="Arial" w:hAnsi="Arial" w:cs="Arial"/>
          <w:sz w:val="24"/>
          <w:szCs w:val="24"/>
        </w:rPr>
        <w:t>Worthen</w:t>
      </w:r>
      <w:proofErr w:type="spellEnd"/>
      <w:r w:rsidRPr="001A7060">
        <w:rPr>
          <w:rStyle w:val="s1"/>
          <w:rFonts w:ascii="Arial" w:hAnsi="Arial" w:cs="Arial"/>
          <w:sz w:val="24"/>
          <w:szCs w:val="24"/>
        </w:rPr>
        <w:t>, B. R. (2016). Program evaluation: Alternative approaches and practical guidelines. Pearson.</w:t>
      </w:r>
    </w:p>
    <w:p w14:paraId="5C92C77B"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Florida, R. (2002). The rise of the creative class: And how it's transforming work, leisure, community and everyday life. Basic books.</w:t>
      </w:r>
    </w:p>
    <w:p w14:paraId="05FBA968"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Freeman, R. E. (1984). Strategic Management: A Stakeholder Approach. Pitman.</w:t>
      </w:r>
    </w:p>
    <w:p w14:paraId="229EA797"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Garg</w:t>
      </w:r>
      <w:proofErr w:type="spellEnd"/>
      <w:r w:rsidRPr="001A7060">
        <w:rPr>
          <w:rStyle w:val="s1"/>
          <w:rFonts w:ascii="Arial" w:hAnsi="Arial" w:cs="Arial"/>
          <w:sz w:val="24"/>
          <w:szCs w:val="24"/>
        </w:rPr>
        <w:t xml:space="preserve">, A., &amp; </w:t>
      </w:r>
      <w:proofErr w:type="spellStart"/>
      <w:r w:rsidRPr="001A7060">
        <w:rPr>
          <w:rStyle w:val="s1"/>
          <w:rFonts w:ascii="Arial" w:hAnsi="Arial" w:cs="Arial"/>
          <w:sz w:val="24"/>
          <w:szCs w:val="24"/>
        </w:rPr>
        <w:t>Hegmann</w:t>
      </w:r>
      <w:proofErr w:type="spellEnd"/>
      <w:r w:rsidRPr="001A7060">
        <w:rPr>
          <w:rStyle w:val="s1"/>
          <w:rFonts w:ascii="Arial" w:hAnsi="Arial" w:cs="Arial"/>
          <w:sz w:val="24"/>
          <w:szCs w:val="24"/>
        </w:rPr>
        <w:t>, K. T. (2009). Epidemiology of Upper Extremity Work-Related Musculoskeletal Disorders. Clinical Orthopaedics and Related Research, 467(11), 2896–2909.</w:t>
      </w:r>
    </w:p>
    <w:p w14:paraId="3B901729"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Gartner, W. C. (1993). Image Formation Process. Journal of Travel &amp; Tourism Marketing, 2(2-3), 191-215.</w:t>
      </w:r>
    </w:p>
    <w:p w14:paraId="21D5486D"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lastRenderedPageBreak/>
        <w:t>Gehl</w:t>
      </w:r>
      <w:proofErr w:type="spellEnd"/>
      <w:r w:rsidRPr="001A7060">
        <w:rPr>
          <w:rStyle w:val="s1"/>
          <w:rFonts w:ascii="Arial" w:hAnsi="Arial" w:cs="Arial"/>
          <w:sz w:val="24"/>
          <w:szCs w:val="24"/>
        </w:rPr>
        <w:t>, J. (2011). Life between buildings: Using public space. Island press.</w:t>
      </w:r>
    </w:p>
    <w:p w14:paraId="0E4850D9"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Gharehbaghi</w:t>
      </w:r>
      <w:proofErr w:type="spellEnd"/>
      <w:r w:rsidRPr="001A7060">
        <w:rPr>
          <w:rStyle w:val="s1"/>
          <w:rFonts w:ascii="Arial" w:hAnsi="Arial" w:cs="Arial"/>
          <w:sz w:val="24"/>
          <w:szCs w:val="24"/>
        </w:rPr>
        <w:t xml:space="preserve">, K. (2015) ‘American International Journal of Contemporary Research’, The Importance of Industry Links in Teaching Pedagogy: A Higher Education Prospective, 5(1). </w:t>
      </w:r>
      <w:proofErr w:type="spellStart"/>
      <w:r w:rsidRPr="001A7060">
        <w:rPr>
          <w:rStyle w:val="s1"/>
          <w:rFonts w:ascii="Arial" w:hAnsi="Arial" w:cs="Arial"/>
          <w:sz w:val="24"/>
          <w:szCs w:val="24"/>
        </w:rPr>
        <w:t>doi:10.30845</w:t>
      </w:r>
      <w:proofErr w:type="spellEnd"/>
      <w:r w:rsidRPr="001A7060">
        <w:rPr>
          <w:rStyle w:val="s1"/>
          <w:rFonts w:ascii="Arial" w:hAnsi="Arial" w:cs="Arial"/>
          <w:sz w:val="24"/>
          <w:szCs w:val="24"/>
        </w:rPr>
        <w:t>/</w:t>
      </w:r>
      <w:proofErr w:type="spellStart"/>
      <w:r w:rsidRPr="001A7060">
        <w:rPr>
          <w:rStyle w:val="s1"/>
          <w:rFonts w:ascii="Arial" w:hAnsi="Arial" w:cs="Arial"/>
          <w:sz w:val="24"/>
          <w:szCs w:val="24"/>
        </w:rPr>
        <w:t>aijcr</w:t>
      </w:r>
      <w:proofErr w:type="spellEnd"/>
      <w:r w:rsidRPr="001A7060">
        <w:rPr>
          <w:rStyle w:val="s1"/>
          <w:rFonts w:ascii="Arial" w:hAnsi="Arial" w:cs="Arial"/>
          <w:sz w:val="24"/>
          <w:szCs w:val="24"/>
        </w:rPr>
        <w:t>.</w:t>
      </w:r>
    </w:p>
    <w:p w14:paraId="075240BE"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Gifford, R. (2007). Environmental Psychology: Principles and Practice. Optimal Books.</w:t>
      </w:r>
    </w:p>
    <w:p w14:paraId="798A7D6E"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Glover, P. (2011). International students: Linking education and travel. Journal of Travel &amp; Tourism Marketing, 28(2), 180-195.</w:t>
      </w:r>
    </w:p>
    <w:p w14:paraId="50FADEF2"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Granovetter</w:t>
      </w:r>
      <w:proofErr w:type="spellEnd"/>
      <w:r w:rsidRPr="001A7060">
        <w:rPr>
          <w:rStyle w:val="s1"/>
          <w:rFonts w:ascii="Arial" w:hAnsi="Arial" w:cs="Arial"/>
          <w:sz w:val="24"/>
          <w:szCs w:val="24"/>
        </w:rPr>
        <w:t>, M. S. (1973). The Strength of Weak Ties. American Journal of Sociology, 78(6), 1360-1380.</w:t>
      </w:r>
    </w:p>
    <w:p w14:paraId="4347B8AA"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Green conference (2023) Swansea Arena. Available at: https://www.swansea-arena.co.uk/events/green-conference (Accessed: 10 April 2024).</w:t>
      </w:r>
    </w:p>
    <w:p w14:paraId="318427ED"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Hanna, R., Rohm, A., &amp; </w:t>
      </w:r>
      <w:proofErr w:type="spellStart"/>
      <w:r w:rsidRPr="001A7060">
        <w:rPr>
          <w:rStyle w:val="s1"/>
          <w:rFonts w:ascii="Arial" w:hAnsi="Arial" w:cs="Arial"/>
          <w:sz w:val="24"/>
          <w:szCs w:val="24"/>
        </w:rPr>
        <w:t>Crittenden</w:t>
      </w:r>
      <w:proofErr w:type="spellEnd"/>
      <w:r w:rsidRPr="001A7060">
        <w:rPr>
          <w:rStyle w:val="s1"/>
          <w:rFonts w:ascii="Arial" w:hAnsi="Arial" w:cs="Arial"/>
          <w:sz w:val="24"/>
          <w:szCs w:val="24"/>
        </w:rPr>
        <w:t>, V. L. (2011). We’re all connected: The power of the social media ecosystem. Business Horizons, 54(3), 265-273.</w:t>
      </w:r>
    </w:p>
    <w:p w14:paraId="35FC8497"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Henderson, J. C. (2019). Diversity and inclusion in tourism. </w:t>
      </w:r>
      <w:proofErr w:type="spellStart"/>
      <w:r w:rsidRPr="001A7060">
        <w:rPr>
          <w:rStyle w:val="s1"/>
          <w:rFonts w:ascii="Arial" w:hAnsi="Arial" w:cs="Arial"/>
          <w:sz w:val="24"/>
          <w:szCs w:val="24"/>
        </w:rPr>
        <w:t>Goodfellow</w:t>
      </w:r>
      <w:proofErr w:type="spellEnd"/>
      <w:r w:rsidRPr="001A7060">
        <w:rPr>
          <w:rStyle w:val="s1"/>
          <w:rFonts w:ascii="Arial" w:hAnsi="Arial" w:cs="Arial"/>
          <w:sz w:val="24"/>
          <w:szCs w:val="24"/>
        </w:rPr>
        <w:t xml:space="preserve"> Publishers.</w:t>
      </w:r>
    </w:p>
    <w:p w14:paraId="3377785D"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Herzberg</w:t>
      </w:r>
      <w:proofErr w:type="spellEnd"/>
      <w:r w:rsidRPr="001A7060">
        <w:rPr>
          <w:rStyle w:val="s1"/>
          <w:rFonts w:ascii="Arial" w:hAnsi="Arial" w:cs="Arial"/>
          <w:sz w:val="24"/>
          <w:szCs w:val="24"/>
        </w:rPr>
        <w:t xml:space="preserve">, F., </w:t>
      </w:r>
      <w:proofErr w:type="spellStart"/>
      <w:r w:rsidRPr="001A7060">
        <w:rPr>
          <w:rStyle w:val="s1"/>
          <w:rFonts w:ascii="Arial" w:hAnsi="Arial" w:cs="Arial"/>
          <w:sz w:val="24"/>
          <w:szCs w:val="24"/>
        </w:rPr>
        <w:t>Mausner</w:t>
      </w:r>
      <w:proofErr w:type="spellEnd"/>
      <w:r w:rsidRPr="001A7060">
        <w:rPr>
          <w:rStyle w:val="s1"/>
          <w:rFonts w:ascii="Arial" w:hAnsi="Arial" w:cs="Arial"/>
          <w:sz w:val="24"/>
          <w:szCs w:val="24"/>
        </w:rPr>
        <w:t xml:space="preserve">, B., &amp; </w:t>
      </w:r>
      <w:proofErr w:type="spellStart"/>
      <w:r w:rsidRPr="001A7060">
        <w:rPr>
          <w:rStyle w:val="s1"/>
          <w:rFonts w:ascii="Arial" w:hAnsi="Arial" w:cs="Arial"/>
          <w:sz w:val="24"/>
          <w:szCs w:val="24"/>
        </w:rPr>
        <w:t>Snyderman</w:t>
      </w:r>
      <w:proofErr w:type="spellEnd"/>
      <w:r w:rsidRPr="001A7060">
        <w:rPr>
          <w:rStyle w:val="s1"/>
          <w:rFonts w:ascii="Arial" w:hAnsi="Arial" w:cs="Arial"/>
          <w:sz w:val="24"/>
          <w:szCs w:val="24"/>
        </w:rPr>
        <w:t>, B. B. (1959). The motivation to work. Wiley.</w:t>
      </w:r>
    </w:p>
    <w:p w14:paraId="095143A8"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Holland, J. L. (1997). Making Vocational Choices: A Theory of Vocational Personalities and Work Environments. Psychological Assessment Resources.</w:t>
      </w:r>
    </w:p>
    <w:p w14:paraId="0D9D3C88"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Homans</w:t>
      </w:r>
      <w:proofErr w:type="spellEnd"/>
      <w:r w:rsidRPr="001A7060">
        <w:rPr>
          <w:rStyle w:val="s1"/>
          <w:rFonts w:ascii="Arial" w:hAnsi="Arial" w:cs="Arial"/>
          <w:sz w:val="24"/>
          <w:szCs w:val="24"/>
        </w:rPr>
        <w:t xml:space="preserve">, G. C. (1958). Social </w:t>
      </w:r>
      <w:proofErr w:type="spellStart"/>
      <w:r w:rsidRPr="001A7060">
        <w:rPr>
          <w:rStyle w:val="s1"/>
          <w:rFonts w:ascii="Arial" w:hAnsi="Arial" w:cs="Arial"/>
          <w:sz w:val="24"/>
          <w:szCs w:val="24"/>
        </w:rPr>
        <w:t>behavior</w:t>
      </w:r>
      <w:proofErr w:type="spellEnd"/>
      <w:r w:rsidRPr="001A7060">
        <w:rPr>
          <w:rStyle w:val="s1"/>
          <w:rFonts w:ascii="Arial" w:hAnsi="Arial" w:cs="Arial"/>
          <w:sz w:val="24"/>
          <w:szCs w:val="24"/>
        </w:rPr>
        <w:t xml:space="preserve"> as exchange. American Journal of Sociology, 63(6), 597-606.</w:t>
      </w:r>
    </w:p>
    <w:p w14:paraId="6427DF3B"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How to name an event: The Best Tactics &amp; Tips to get it right (2023) OfficeChai. Available at: https://officechai.com/miscellaneous/how-to-name-an-event-the-best-tactics-tips-to-get-it-right/ (Accessed: 10 April 2024).</w:t>
      </w:r>
    </w:p>
    <w:p w14:paraId="68ABD29E"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Hutchison, R. (2011). Urban arenas: Social processes in age-segregated metropolitan areas. Emerald Group Publishing.</w:t>
      </w:r>
    </w:p>
    <w:p w14:paraId="22BBDEBA"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lastRenderedPageBreak/>
        <w:t>Importance of venue selection in events (2023) Locations Direct. Available at: https://www.locationsdirect.co/news/importance-of-venue-selection-in-event/ (Accessed: 25 April 2024).</w:t>
      </w:r>
    </w:p>
    <w:p w14:paraId="1C5C4B8E"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International Travel and tourism management (full-time) (2024) University of Wales Trinity Saint David. Available at: https://www.uwtsd.ac.uk/programme-courses/undergraduate/hospitality-leisure-and-tourism/international-travel-and-tourism (Accessed: 11 April 2024).</w:t>
      </w:r>
    </w:p>
    <w:p w14:paraId="1BCB5317"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Jones, P., &amp; Comfort, D. (2020). Sustainable Event Management: A Practical Guide. </w:t>
      </w:r>
      <w:proofErr w:type="spellStart"/>
      <w:r w:rsidRPr="001A7060">
        <w:rPr>
          <w:rStyle w:val="s1"/>
          <w:rFonts w:ascii="Arial" w:hAnsi="Arial" w:cs="Arial"/>
          <w:sz w:val="24"/>
          <w:szCs w:val="24"/>
        </w:rPr>
        <w:t>Routledge</w:t>
      </w:r>
      <w:proofErr w:type="spellEnd"/>
      <w:r w:rsidRPr="001A7060">
        <w:rPr>
          <w:rStyle w:val="s1"/>
          <w:rFonts w:ascii="Arial" w:hAnsi="Arial" w:cs="Arial"/>
          <w:sz w:val="24"/>
          <w:szCs w:val="24"/>
        </w:rPr>
        <w:t>.</w:t>
      </w:r>
    </w:p>
    <w:p w14:paraId="623F5E4A"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Katz, E. (1959). Mass Communication Research and the Study of Popular Culture: An Editorial Note on a Possible Future for This Journal. Studies in Public Communication, 2(1), 1-6.</w:t>
      </w:r>
    </w:p>
    <w:p w14:paraId="34111AEB"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Kietzmann</w:t>
      </w:r>
      <w:proofErr w:type="spellEnd"/>
      <w:r w:rsidRPr="001A7060">
        <w:rPr>
          <w:rStyle w:val="s1"/>
          <w:rFonts w:ascii="Arial" w:hAnsi="Arial" w:cs="Arial"/>
          <w:sz w:val="24"/>
          <w:szCs w:val="24"/>
        </w:rPr>
        <w:t xml:space="preserve">, J. H., </w:t>
      </w:r>
      <w:proofErr w:type="spellStart"/>
      <w:r w:rsidRPr="001A7060">
        <w:rPr>
          <w:rStyle w:val="s1"/>
          <w:rFonts w:ascii="Arial" w:hAnsi="Arial" w:cs="Arial"/>
          <w:sz w:val="24"/>
          <w:szCs w:val="24"/>
        </w:rPr>
        <w:t>Hermkens</w:t>
      </w:r>
      <w:proofErr w:type="spellEnd"/>
      <w:r w:rsidRPr="001A7060">
        <w:rPr>
          <w:rStyle w:val="s1"/>
          <w:rFonts w:ascii="Arial" w:hAnsi="Arial" w:cs="Arial"/>
          <w:sz w:val="24"/>
          <w:szCs w:val="24"/>
        </w:rPr>
        <w:t xml:space="preserve">, K., McCarthy, I. P., &amp; </w:t>
      </w:r>
      <w:proofErr w:type="spellStart"/>
      <w:r w:rsidRPr="001A7060">
        <w:rPr>
          <w:rStyle w:val="s1"/>
          <w:rFonts w:ascii="Arial" w:hAnsi="Arial" w:cs="Arial"/>
          <w:sz w:val="24"/>
          <w:szCs w:val="24"/>
        </w:rPr>
        <w:t>Silvestre</w:t>
      </w:r>
      <w:proofErr w:type="spellEnd"/>
      <w:r w:rsidRPr="001A7060">
        <w:rPr>
          <w:rStyle w:val="s1"/>
          <w:rFonts w:ascii="Arial" w:hAnsi="Arial" w:cs="Arial"/>
          <w:sz w:val="24"/>
          <w:szCs w:val="24"/>
        </w:rPr>
        <w:t>, B. S. (2011). Social media? Get serious! Understanding the functional building blocks of social media. Business Horizons, 54(3), 241-251.</w:t>
      </w:r>
    </w:p>
    <w:p w14:paraId="0F4281A4"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Kolb</w:t>
      </w:r>
      <w:proofErr w:type="spellEnd"/>
      <w:r w:rsidRPr="001A7060">
        <w:rPr>
          <w:rStyle w:val="s1"/>
          <w:rFonts w:ascii="Arial" w:hAnsi="Arial" w:cs="Arial"/>
          <w:sz w:val="24"/>
          <w:szCs w:val="24"/>
        </w:rPr>
        <w:t>, D. A. (1984). Experiential Learning: Experience as the Source of Learning and Development. Prentice Hall.</w:t>
      </w:r>
    </w:p>
    <w:p w14:paraId="05742302"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Kuligowski</w:t>
      </w:r>
      <w:proofErr w:type="spellEnd"/>
      <w:r w:rsidRPr="001A7060">
        <w:rPr>
          <w:rStyle w:val="s1"/>
          <w:rFonts w:ascii="Arial" w:hAnsi="Arial" w:cs="Arial"/>
          <w:sz w:val="24"/>
          <w:szCs w:val="24"/>
        </w:rPr>
        <w:t xml:space="preserve">, E. D., &amp; Peacock, R. D. (2013). Human </w:t>
      </w:r>
      <w:proofErr w:type="spellStart"/>
      <w:r w:rsidRPr="001A7060">
        <w:rPr>
          <w:rStyle w:val="s1"/>
          <w:rFonts w:ascii="Arial" w:hAnsi="Arial" w:cs="Arial"/>
          <w:sz w:val="24"/>
          <w:szCs w:val="24"/>
        </w:rPr>
        <w:t>Behavior</w:t>
      </w:r>
      <w:proofErr w:type="spellEnd"/>
      <w:r w:rsidRPr="001A7060">
        <w:rPr>
          <w:rStyle w:val="s1"/>
          <w:rFonts w:ascii="Arial" w:hAnsi="Arial" w:cs="Arial"/>
          <w:sz w:val="24"/>
          <w:szCs w:val="24"/>
        </w:rPr>
        <w:t xml:space="preserve"> in Fire Emergencies: Recommendations for Research. Fire Technology, 49(3), 653–674.</w:t>
      </w:r>
    </w:p>
    <w:p w14:paraId="536FC091"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Kumar, S. (2017). Ergonomics: Theory and Applications. CRC Press.</w:t>
      </w:r>
    </w:p>
    <w:p w14:paraId="013B6767"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Lee, S., &amp; Kim, D. (2019). Spatial Design and Attendee Experience: A Case Study of Conference Venues. International Journal of Hospitality Management, 36(3), 389-403.</w:t>
      </w:r>
    </w:p>
    <w:p w14:paraId="5EFA7D09"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Lesjak</w:t>
      </w:r>
      <w:proofErr w:type="spellEnd"/>
      <w:r w:rsidRPr="001A7060">
        <w:rPr>
          <w:rStyle w:val="s1"/>
          <w:rFonts w:ascii="Arial" w:hAnsi="Arial" w:cs="Arial"/>
          <w:sz w:val="24"/>
          <w:szCs w:val="24"/>
        </w:rPr>
        <w:t xml:space="preserve">, M., </w:t>
      </w:r>
      <w:proofErr w:type="spellStart"/>
      <w:r w:rsidRPr="001A7060">
        <w:rPr>
          <w:rStyle w:val="s1"/>
          <w:rFonts w:ascii="Arial" w:hAnsi="Arial" w:cs="Arial"/>
          <w:sz w:val="24"/>
          <w:szCs w:val="24"/>
        </w:rPr>
        <w:t>Juvan</w:t>
      </w:r>
      <w:proofErr w:type="spellEnd"/>
      <w:r w:rsidRPr="001A7060">
        <w:rPr>
          <w:rStyle w:val="s1"/>
          <w:rFonts w:ascii="Arial" w:hAnsi="Arial" w:cs="Arial"/>
          <w:sz w:val="24"/>
          <w:szCs w:val="24"/>
        </w:rPr>
        <w:t xml:space="preserve">, E., </w:t>
      </w:r>
      <w:proofErr w:type="spellStart"/>
      <w:r w:rsidRPr="001A7060">
        <w:rPr>
          <w:rStyle w:val="s1"/>
          <w:rFonts w:ascii="Arial" w:hAnsi="Arial" w:cs="Arial"/>
          <w:sz w:val="24"/>
          <w:szCs w:val="24"/>
        </w:rPr>
        <w:t>Ineson</w:t>
      </w:r>
      <w:proofErr w:type="spellEnd"/>
      <w:r w:rsidRPr="001A7060">
        <w:rPr>
          <w:rStyle w:val="s1"/>
          <w:rFonts w:ascii="Arial" w:hAnsi="Arial" w:cs="Arial"/>
          <w:sz w:val="24"/>
          <w:szCs w:val="24"/>
        </w:rPr>
        <w:t xml:space="preserve">, E., Yap, M., &amp; </w:t>
      </w:r>
      <w:proofErr w:type="spellStart"/>
      <w:r w:rsidRPr="001A7060">
        <w:rPr>
          <w:rStyle w:val="s1"/>
          <w:rFonts w:ascii="Arial" w:hAnsi="Arial" w:cs="Arial"/>
          <w:sz w:val="24"/>
          <w:szCs w:val="24"/>
        </w:rPr>
        <w:t>Axelsson</w:t>
      </w:r>
      <w:proofErr w:type="spellEnd"/>
      <w:r w:rsidRPr="001A7060">
        <w:rPr>
          <w:rStyle w:val="s1"/>
          <w:rFonts w:ascii="Arial" w:hAnsi="Arial" w:cs="Arial"/>
          <w:sz w:val="24"/>
          <w:szCs w:val="24"/>
        </w:rPr>
        <w:t>, E. (2015). Erasmus student motivation: Why and where to go? Higher Education, 70(5), 845–865.</w:t>
      </w:r>
    </w:p>
    <w:p w14:paraId="4A9B98F6"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Lewicka</w:t>
      </w:r>
      <w:proofErr w:type="spellEnd"/>
      <w:r w:rsidRPr="001A7060">
        <w:rPr>
          <w:rStyle w:val="s1"/>
          <w:rFonts w:ascii="Arial" w:hAnsi="Arial" w:cs="Arial"/>
          <w:sz w:val="24"/>
          <w:szCs w:val="24"/>
        </w:rPr>
        <w:t>, M. (2011). Place attachment: How far have we come in the last 40 years? Journal of Environmental Psychology, 31(3), 207-230.</w:t>
      </w:r>
    </w:p>
    <w:p w14:paraId="4E4800BD"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Marx, K. (1867). the capital. </w:t>
      </w:r>
      <w:proofErr w:type="spellStart"/>
      <w:r w:rsidRPr="001A7060">
        <w:rPr>
          <w:rStyle w:val="s1"/>
          <w:rFonts w:ascii="Arial" w:hAnsi="Arial" w:cs="Arial"/>
          <w:sz w:val="24"/>
          <w:szCs w:val="24"/>
        </w:rPr>
        <w:t>Verlag</w:t>
      </w:r>
      <w:proofErr w:type="spellEnd"/>
      <w:r w:rsidRPr="001A7060">
        <w:rPr>
          <w:rStyle w:val="s1"/>
          <w:rFonts w:ascii="Arial" w:hAnsi="Arial" w:cs="Arial"/>
          <w:sz w:val="24"/>
          <w:szCs w:val="24"/>
        </w:rPr>
        <w:t xml:space="preserve"> von Otto Meisner.</w:t>
      </w:r>
    </w:p>
    <w:p w14:paraId="3B5137AA"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lastRenderedPageBreak/>
        <w:t>Maslow, A. H. (1943). A theory of human motivation. Psychological Review, 50(4), 370-396.</w:t>
      </w:r>
    </w:p>
    <w:p w14:paraId="35D148E7"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Mazzei</w:t>
      </w:r>
      <w:proofErr w:type="spellEnd"/>
      <w:r w:rsidRPr="001A7060">
        <w:rPr>
          <w:rStyle w:val="s1"/>
          <w:rFonts w:ascii="Arial" w:hAnsi="Arial" w:cs="Arial"/>
          <w:sz w:val="24"/>
          <w:szCs w:val="24"/>
        </w:rPr>
        <w:t xml:space="preserve">, A., &amp; </w:t>
      </w:r>
      <w:proofErr w:type="spellStart"/>
      <w:r w:rsidRPr="001A7060">
        <w:rPr>
          <w:rStyle w:val="s1"/>
          <w:rFonts w:ascii="Arial" w:hAnsi="Arial" w:cs="Arial"/>
          <w:sz w:val="24"/>
          <w:szCs w:val="24"/>
        </w:rPr>
        <w:t>Tzortzaki</w:t>
      </w:r>
      <w:proofErr w:type="spellEnd"/>
      <w:r w:rsidRPr="001A7060">
        <w:rPr>
          <w:rStyle w:val="s1"/>
          <w:rFonts w:ascii="Arial" w:hAnsi="Arial" w:cs="Arial"/>
          <w:sz w:val="24"/>
          <w:szCs w:val="24"/>
        </w:rPr>
        <w:t>, A. (2019). Enhancing Attendee Satisfaction: The Role of Venue Accessibility and Logistics. Journal of Event Management, 5(2), 127-141.</w:t>
      </w:r>
    </w:p>
    <w:p w14:paraId="38E69F15"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McCroskey</w:t>
      </w:r>
      <w:proofErr w:type="spellEnd"/>
      <w:r w:rsidRPr="001A7060">
        <w:rPr>
          <w:rStyle w:val="s1"/>
          <w:rFonts w:ascii="Arial" w:hAnsi="Arial" w:cs="Arial"/>
          <w:sz w:val="24"/>
          <w:szCs w:val="24"/>
        </w:rPr>
        <w:t xml:space="preserve">, J. C., &amp; </w:t>
      </w:r>
      <w:proofErr w:type="spellStart"/>
      <w:r w:rsidRPr="001A7060">
        <w:rPr>
          <w:rStyle w:val="s1"/>
          <w:rFonts w:ascii="Arial" w:hAnsi="Arial" w:cs="Arial"/>
          <w:sz w:val="24"/>
          <w:szCs w:val="24"/>
        </w:rPr>
        <w:t>McCroskey</w:t>
      </w:r>
      <w:proofErr w:type="spellEnd"/>
      <w:r w:rsidRPr="001A7060">
        <w:rPr>
          <w:rStyle w:val="s1"/>
          <w:rFonts w:ascii="Arial" w:hAnsi="Arial" w:cs="Arial"/>
          <w:sz w:val="24"/>
          <w:szCs w:val="24"/>
        </w:rPr>
        <w:t>, L. L. (1988). Self-report as an approach to measuring communication competence. Communication Research Reports, 5(2), 108-113.</w:t>
      </w:r>
    </w:p>
    <w:p w14:paraId="0271C851"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McPhee, R. D., &amp; Poole, M. S. (2001). Organisational Communication: Traditional Themes and New Directions. Sage Publications.</w:t>
      </w:r>
    </w:p>
    <w:p w14:paraId="621E7D2D"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Merton, R. K. (1938). Social structure and anomie. American Sociological Review, 3(5), 672-682.</w:t>
      </w:r>
    </w:p>
    <w:p w14:paraId="46B51891"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Miller, R. L., Rutherford, M. A., &amp; </w:t>
      </w:r>
      <w:proofErr w:type="spellStart"/>
      <w:r w:rsidRPr="001A7060">
        <w:rPr>
          <w:rStyle w:val="s1"/>
          <w:rFonts w:ascii="Arial" w:hAnsi="Arial" w:cs="Arial"/>
          <w:sz w:val="24"/>
          <w:szCs w:val="24"/>
        </w:rPr>
        <w:t>Kolb</w:t>
      </w:r>
      <w:proofErr w:type="spellEnd"/>
      <w:r w:rsidRPr="001A7060">
        <w:rPr>
          <w:rStyle w:val="s1"/>
          <w:rFonts w:ascii="Arial" w:hAnsi="Arial" w:cs="Arial"/>
          <w:sz w:val="24"/>
          <w:szCs w:val="24"/>
        </w:rPr>
        <w:t xml:space="preserve">, D. (2018). Planning and managing public relations campaigns: A strategic approach. </w:t>
      </w:r>
      <w:proofErr w:type="spellStart"/>
      <w:r w:rsidRPr="001A7060">
        <w:rPr>
          <w:rStyle w:val="s1"/>
          <w:rFonts w:ascii="Arial" w:hAnsi="Arial" w:cs="Arial"/>
          <w:sz w:val="24"/>
          <w:szCs w:val="24"/>
        </w:rPr>
        <w:t>Routledge</w:t>
      </w:r>
      <w:proofErr w:type="spellEnd"/>
      <w:r w:rsidRPr="001A7060">
        <w:rPr>
          <w:rStyle w:val="s1"/>
          <w:rFonts w:ascii="Arial" w:hAnsi="Arial" w:cs="Arial"/>
          <w:sz w:val="24"/>
          <w:szCs w:val="24"/>
        </w:rPr>
        <w:t>.</w:t>
      </w:r>
    </w:p>
    <w:p w14:paraId="2C7C4EC4"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Morrison, A. M. (2012). Hospitality and Travel Marketing (4th ed.). </w:t>
      </w:r>
      <w:proofErr w:type="spellStart"/>
      <w:r w:rsidRPr="001A7060">
        <w:rPr>
          <w:rStyle w:val="s1"/>
          <w:rFonts w:ascii="Arial" w:hAnsi="Arial" w:cs="Arial"/>
          <w:sz w:val="24"/>
          <w:szCs w:val="24"/>
        </w:rPr>
        <w:t>Cengage</w:t>
      </w:r>
      <w:proofErr w:type="spellEnd"/>
      <w:r w:rsidRPr="001A7060">
        <w:rPr>
          <w:rStyle w:val="s1"/>
          <w:rFonts w:ascii="Arial" w:hAnsi="Arial" w:cs="Arial"/>
          <w:sz w:val="24"/>
          <w:szCs w:val="24"/>
        </w:rPr>
        <w:t xml:space="preserve"> Learning.</w:t>
      </w:r>
    </w:p>
    <w:p w14:paraId="37E671BF"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Morrison, A. M. (2012). Marketing and Managing Tourism Destinations. </w:t>
      </w:r>
      <w:proofErr w:type="spellStart"/>
      <w:r w:rsidRPr="001A7060">
        <w:rPr>
          <w:rStyle w:val="s1"/>
          <w:rFonts w:ascii="Arial" w:hAnsi="Arial" w:cs="Arial"/>
          <w:sz w:val="24"/>
          <w:szCs w:val="24"/>
        </w:rPr>
        <w:t>Routledge</w:t>
      </w:r>
      <w:proofErr w:type="spellEnd"/>
      <w:r w:rsidRPr="001A7060">
        <w:rPr>
          <w:rStyle w:val="s1"/>
          <w:rFonts w:ascii="Arial" w:hAnsi="Arial" w:cs="Arial"/>
          <w:sz w:val="24"/>
          <w:szCs w:val="24"/>
        </w:rPr>
        <w:t>.</w:t>
      </w:r>
    </w:p>
    <w:p w14:paraId="1EA67D3D"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Neely, A., Adams, C., &amp; </w:t>
      </w:r>
      <w:proofErr w:type="spellStart"/>
      <w:r w:rsidRPr="001A7060">
        <w:rPr>
          <w:rStyle w:val="s1"/>
          <w:rFonts w:ascii="Arial" w:hAnsi="Arial" w:cs="Arial"/>
          <w:sz w:val="24"/>
          <w:szCs w:val="24"/>
        </w:rPr>
        <w:t>Kennerley</w:t>
      </w:r>
      <w:proofErr w:type="spellEnd"/>
      <w:r w:rsidRPr="001A7060">
        <w:rPr>
          <w:rStyle w:val="s1"/>
          <w:rFonts w:ascii="Arial" w:hAnsi="Arial" w:cs="Arial"/>
          <w:sz w:val="24"/>
          <w:szCs w:val="24"/>
        </w:rPr>
        <w:t>, M. (2002). The performance prism: The scorecard for measuring and managing business success. Prentice Hall.</w:t>
      </w:r>
    </w:p>
    <w:p w14:paraId="741F4042"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Nonaka</w:t>
      </w:r>
      <w:proofErr w:type="spellEnd"/>
      <w:r w:rsidRPr="001A7060">
        <w:rPr>
          <w:rStyle w:val="s1"/>
          <w:rFonts w:ascii="Arial" w:hAnsi="Arial" w:cs="Arial"/>
          <w:sz w:val="24"/>
          <w:szCs w:val="24"/>
        </w:rPr>
        <w:t>, I., &amp; Takeuchi, H. (1995). The knowledge-creating company: How Japanese companies create the dynamics of innovation. Oxford University Press.</w:t>
      </w:r>
    </w:p>
    <w:p w14:paraId="6DF11F88"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Oliver, R. L. (1980). A cognitive model of the antecedents and consequences of satisfaction decisions. Journal of Marketing Research, 17(4), 460-469.</w:t>
      </w:r>
    </w:p>
    <w:p w14:paraId="5653927A"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Page, S. J., &amp; Connell, J. (2014). Tourism: A modern synthesis. </w:t>
      </w:r>
      <w:proofErr w:type="spellStart"/>
      <w:r w:rsidRPr="001A7060">
        <w:rPr>
          <w:rStyle w:val="s1"/>
          <w:rFonts w:ascii="Arial" w:hAnsi="Arial" w:cs="Arial"/>
          <w:sz w:val="24"/>
          <w:szCs w:val="24"/>
        </w:rPr>
        <w:t>Cengage</w:t>
      </w:r>
      <w:proofErr w:type="spellEnd"/>
      <w:r w:rsidRPr="001A7060">
        <w:rPr>
          <w:rStyle w:val="s1"/>
          <w:rFonts w:ascii="Arial" w:hAnsi="Arial" w:cs="Arial"/>
          <w:sz w:val="24"/>
          <w:szCs w:val="24"/>
        </w:rPr>
        <w:t xml:space="preserve"> Learning.</w:t>
      </w:r>
    </w:p>
    <w:p w14:paraId="5F2725B7"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Perrow</w:t>
      </w:r>
      <w:proofErr w:type="spellEnd"/>
      <w:r w:rsidRPr="001A7060">
        <w:rPr>
          <w:rStyle w:val="s1"/>
          <w:rFonts w:ascii="Arial" w:hAnsi="Arial" w:cs="Arial"/>
          <w:sz w:val="24"/>
          <w:szCs w:val="24"/>
        </w:rPr>
        <w:t>, C. (1984). Normal accidents: Living with high-risk technologies. Princeton University Press.</w:t>
      </w:r>
    </w:p>
    <w:p w14:paraId="7BDEBDAF"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Putnam, R. (2000). Bowling Alone: The Collapse and Revival of American Community. Simon and </w:t>
      </w:r>
      <w:proofErr w:type="spellStart"/>
      <w:r w:rsidRPr="001A7060">
        <w:rPr>
          <w:rStyle w:val="s1"/>
          <w:rFonts w:ascii="Arial" w:hAnsi="Arial" w:cs="Arial"/>
          <w:sz w:val="24"/>
          <w:szCs w:val="24"/>
        </w:rPr>
        <w:t>Schuster</w:t>
      </w:r>
      <w:proofErr w:type="spellEnd"/>
      <w:r w:rsidRPr="001A7060">
        <w:rPr>
          <w:rStyle w:val="s1"/>
          <w:rFonts w:ascii="Arial" w:hAnsi="Arial" w:cs="Arial"/>
          <w:sz w:val="24"/>
          <w:szCs w:val="24"/>
        </w:rPr>
        <w:t>.</w:t>
      </w:r>
    </w:p>
    <w:p w14:paraId="2B1FEB78"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lastRenderedPageBreak/>
        <w:t>Raj, M., &amp; Walters, P. G. (2010). Marketing metrics and financial performance. Journal of Business Research, 63(11), 1187-1194.</w:t>
      </w:r>
    </w:p>
    <w:p w14:paraId="02992F0B"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Reynolds, B., &amp; Seeger, M. W. (2005). Crisis and Emergency Risk Communication as an Integrative Model. Journal of Health Communication, 10(1), 43–55.</w:t>
      </w:r>
    </w:p>
    <w:p w14:paraId="49AE614F"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Ritchie, B. W., &amp; Ritchie, J. R. B. (1998). The Travel Career Ladder: An Appraisal of Past Research. Tourism Management, 19(5), 399-408.</w:t>
      </w:r>
    </w:p>
    <w:p w14:paraId="41D7E2E7"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Ritchie, J. R. B., &amp; Crouch, G. I. (2003). The Competitive Destination: A Sustainable Tourism Perspective. CABI.</w:t>
      </w:r>
    </w:p>
    <w:p w14:paraId="1228822D"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Rogers, E. M. (2003). Diffusion of Innovations. Free Press.</w:t>
      </w:r>
    </w:p>
    <w:p w14:paraId="3716AC0D"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Rogoff</w:t>
      </w:r>
      <w:proofErr w:type="spellEnd"/>
      <w:r w:rsidRPr="001A7060">
        <w:rPr>
          <w:rStyle w:val="s1"/>
          <w:rFonts w:ascii="Arial" w:hAnsi="Arial" w:cs="Arial"/>
          <w:sz w:val="24"/>
          <w:szCs w:val="24"/>
        </w:rPr>
        <w:t>, B. (1990). Apprenticeship in Thinking: Cognitive Development in Social Context. Oxford University Press.</w:t>
      </w:r>
    </w:p>
    <w:p w14:paraId="7BD32EEF"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Runyan</w:t>
      </w:r>
      <w:proofErr w:type="spellEnd"/>
      <w:r w:rsidRPr="001A7060">
        <w:rPr>
          <w:rStyle w:val="s1"/>
          <w:rFonts w:ascii="Arial" w:hAnsi="Arial" w:cs="Arial"/>
          <w:sz w:val="24"/>
          <w:szCs w:val="24"/>
        </w:rPr>
        <w:t xml:space="preserve">, C. W., </w:t>
      </w:r>
      <w:proofErr w:type="spellStart"/>
      <w:r w:rsidRPr="001A7060">
        <w:rPr>
          <w:rStyle w:val="s1"/>
          <w:rFonts w:ascii="Arial" w:hAnsi="Arial" w:cs="Arial"/>
          <w:sz w:val="24"/>
          <w:szCs w:val="24"/>
        </w:rPr>
        <w:t>Perkis</w:t>
      </w:r>
      <w:proofErr w:type="spellEnd"/>
      <w:r w:rsidRPr="001A7060">
        <w:rPr>
          <w:rStyle w:val="s1"/>
          <w:rFonts w:ascii="Arial" w:hAnsi="Arial" w:cs="Arial"/>
          <w:sz w:val="24"/>
          <w:szCs w:val="24"/>
        </w:rPr>
        <w:t xml:space="preserve">, D., Marshall, S. W., Johnson, R. M., </w:t>
      </w:r>
      <w:proofErr w:type="spellStart"/>
      <w:r w:rsidRPr="001A7060">
        <w:rPr>
          <w:rStyle w:val="s1"/>
          <w:rFonts w:ascii="Arial" w:hAnsi="Arial" w:cs="Arial"/>
          <w:sz w:val="24"/>
          <w:szCs w:val="24"/>
        </w:rPr>
        <w:t>Coyne-Beasley</w:t>
      </w:r>
      <w:proofErr w:type="spellEnd"/>
      <w:r w:rsidRPr="001A7060">
        <w:rPr>
          <w:rStyle w:val="s1"/>
          <w:rFonts w:ascii="Arial" w:hAnsi="Arial" w:cs="Arial"/>
          <w:sz w:val="24"/>
          <w:szCs w:val="24"/>
        </w:rPr>
        <w:t>, T., Waller, A. E., &amp; Black, C. (1998). Describing and Measuring the Social Context of Injury: An Examination of Methodological Issues. Injury Prevention, 4(S1), i9–i16.</w:t>
      </w:r>
    </w:p>
    <w:p w14:paraId="6FBC7A36"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Samu</w:t>
      </w:r>
      <w:proofErr w:type="spellEnd"/>
      <w:r w:rsidRPr="001A7060">
        <w:rPr>
          <w:rStyle w:val="s1"/>
          <w:rFonts w:ascii="Arial" w:hAnsi="Arial" w:cs="Arial"/>
          <w:sz w:val="24"/>
          <w:szCs w:val="24"/>
        </w:rPr>
        <w:t xml:space="preserve">, S. and Shanker </w:t>
      </w:r>
      <w:proofErr w:type="spellStart"/>
      <w:r w:rsidRPr="001A7060">
        <w:rPr>
          <w:rStyle w:val="s1"/>
          <w:rFonts w:ascii="Arial" w:hAnsi="Arial" w:cs="Arial"/>
          <w:sz w:val="24"/>
          <w:szCs w:val="24"/>
        </w:rPr>
        <w:t>Krishnan</w:t>
      </w:r>
      <w:proofErr w:type="spellEnd"/>
      <w:r w:rsidRPr="001A7060">
        <w:rPr>
          <w:rStyle w:val="s1"/>
          <w:rFonts w:ascii="Arial" w:hAnsi="Arial" w:cs="Arial"/>
          <w:sz w:val="24"/>
          <w:szCs w:val="24"/>
        </w:rPr>
        <w:t xml:space="preserve">, H. (2009) ‘Brand related information as context: The impact of brand name characteristics on memory and choice’, Journal of the Academy of Marketing Science, 38(4), pp. 456–470. </w:t>
      </w:r>
      <w:proofErr w:type="spellStart"/>
      <w:r w:rsidRPr="001A7060">
        <w:rPr>
          <w:rStyle w:val="s1"/>
          <w:rFonts w:ascii="Arial" w:hAnsi="Arial" w:cs="Arial"/>
          <w:sz w:val="24"/>
          <w:szCs w:val="24"/>
        </w:rPr>
        <w:t>doi:10.1007</w:t>
      </w:r>
      <w:proofErr w:type="spellEnd"/>
      <w:r w:rsidRPr="001A7060">
        <w:rPr>
          <w:rStyle w:val="s1"/>
          <w:rFonts w:ascii="Arial" w:hAnsi="Arial" w:cs="Arial"/>
          <w:sz w:val="24"/>
          <w:szCs w:val="24"/>
        </w:rPr>
        <w:t>/s11747-009-0175-8.</w:t>
      </w:r>
    </w:p>
    <w:p w14:paraId="2CA95F55"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Schnaiberg</w:t>
      </w:r>
      <w:proofErr w:type="spellEnd"/>
      <w:r w:rsidRPr="001A7060">
        <w:rPr>
          <w:rStyle w:val="s1"/>
          <w:rFonts w:ascii="Arial" w:hAnsi="Arial" w:cs="Arial"/>
          <w:sz w:val="24"/>
          <w:szCs w:val="24"/>
        </w:rPr>
        <w:t>, A. (1980). The environment: From surplus to scarcity. Oxford University Press.</w:t>
      </w:r>
    </w:p>
    <w:p w14:paraId="78BB0123"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Shone, A., &amp; Parry, B. (2010). Successful Event Management: A Practical Handbook (3rd ed.). </w:t>
      </w:r>
      <w:proofErr w:type="spellStart"/>
      <w:r w:rsidRPr="001A7060">
        <w:rPr>
          <w:rStyle w:val="s1"/>
          <w:rFonts w:ascii="Arial" w:hAnsi="Arial" w:cs="Arial"/>
          <w:sz w:val="24"/>
          <w:szCs w:val="24"/>
        </w:rPr>
        <w:t>Cengage</w:t>
      </w:r>
      <w:proofErr w:type="spellEnd"/>
      <w:r w:rsidRPr="001A7060">
        <w:rPr>
          <w:rStyle w:val="s1"/>
          <w:rFonts w:ascii="Arial" w:hAnsi="Arial" w:cs="Arial"/>
          <w:sz w:val="24"/>
          <w:szCs w:val="24"/>
        </w:rPr>
        <w:t xml:space="preserve"> Learning EMEA.</w:t>
      </w:r>
    </w:p>
    <w:p w14:paraId="3927A3EF"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Smith, M. F. (2007). Event Management: An Introduction. </w:t>
      </w:r>
      <w:proofErr w:type="spellStart"/>
      <w:r w:rsidRPr="001A7060">
        <w:rPr>
          <w:rStyle w:val="s1"/>
          <w:rFonts w:ascii="Arial" w:hAnsi="Arial" w:cs="Arial"/>
          <w:sz w:val="24"/>
          <w:szCs w:val="24"/>
        </w:rPr>
        <w:t>Routledge</w:t>
      </w:r>
      <w:proofErr w:type="spellEnd"/>
      <w:r w:rsidRPr="001A7060">
        <w:rPr>
          <w:rStyle w:val="s1"/>
          <w:rFonts w:ascii="Arial" w:hAnsi="Arial" w:cs="Arial"/>
          <w:sz w:val="24"/>
          <w:szCs w:val="24"/>
        </w:rPr>
        <w:t>.</w:t>
      </w:r>
    </w:p>
    <w:p w14:paraId="40C8EA35"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Smith, M. K. (2007). Tourism, culture and regeneration. CABI.</w:t>
      </w:r>
    </w:p>
    <w:p w14:paraId="76CDB9AF"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Smith, M. K. (2010). 'Key concepts in event management', in The </w:t>
      </w:r>
      <w:proofErr w:type="spellStart"/>
      <w:r w:rsidRPr="001A7060">
        <w:rPr>
          <w:rStyle w:val="s1"/>
          <w:rFonts w:ascii="Arial" w:hAnsi="Arial" w:cs="Arial"/>
          <w:sz w:val="24"/>
          <w:szCs w:val="24"/>
        </w:rPr>
        <w:t>Routledge</w:t>
      </w:r>
      <w:proofErr w:type="spellEnd"/>
      <w:r w:rsidRPr="001A7060">
        <w:rPr>
          <w:rStyle w:val="s1"/>
          <w:rFonts w:ascii="Arial" w:hAnsi="Arial" w:cs="Arial"/>
          <w:sz w:val="24"/>
          <w:szCs w:val="24"/>
        </w:rPr>
        <w:t xml:space="preserve"> Handbook of Events (pp. 8-20). </w:t>
      </w:r>
      <w:proofErr w:type="spellStart"/>
      <w:r w:rsidRPr="001A7060">
        <w:rPr>
          <w:rStyle w:val="s1"/>
          <w:rFonts w:ascii="Arial" w:hAnsi="Arial" w:cs="Arial"/>
          <w:sz w:val="24"/>
          <w:szCs w:val="24"/>
        </w:rPr>
        <w:t>Routledge</w:t>
      </w:r>
      <w:proofErr w:type="spellEnd"/>
      <w:r w:rsidRPr="001A7060">
        <w:rPr>
          <w:rStyle w:val="s1"/>
          <w:rFonts w:ascii="Arial" w:hAnsi="Arial" w:cs="Arial"/>
          <w:sz w:val="24"/>
          <w:szCs w:val="24"/>
        </w:rPr>
        <w:t>.</w:t>
      </w:r>
    </w:p>
    <w:p w14:paraId="4D5964E3"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lastRenderedPageBreak/>
        <w:t>Super, D. E. (1957). The Psychology of Careers: An Introduction to Vocational Development. Harper &amp; Row.</w:t>
      </w:r>
    </w:p>
    <w:p w14:paraId="79802B1C"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Super, D. E. (1990). A life-span, life-space approach to career development. In D. Brown &amp; L. Brooks (Eds.), Career choice and development (2nd ed., pp. 197-261). </w:t>
      </w:r>
      <w:proofErr w:type="spellStart"/>
      <w:r w:rsidRPr="001A7060">
        <w:rPr>
          <w:rStyle w:val="s1"/>
          <w:rFonts w:ascii="Arial" w:hAnsi="Arial" w:cs="Arial"/>
          <w:sz w:val="24"/>
          <w:szCs w:val="24"/>
        </w:rPr>
        <w:t>Jossey-Bass</w:t>
      </w:r>
      <w:proofErr w:type="spellEnd"/>
      <w:r w:rsidRPr="001A7060">
        <w:rPr>
          <w:rStyle w:val="s1"/>
          <w:rFonts w:ascii="Arial" w:hAnsi="Arial" w:cs="Arial"/>
          <w:sz w:val="24"/>
          <w:szCs w:val="24"/>
        </w:rPr>
        <w:t>.</w:t>
      </w:r>
    </w:p>
    <w:p w14:paraId="4502B86C"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Tajfel</w:t>
      </w:r>
      <w:proofErr w:type="spellEnd"/>
      <w:r w:rsidRPr="001A7060">
        <w:rPr>
          <w:rStyle w:val="s1"/>
          <w:rFonts w:ascii="Arial" w:hAnsi="Arial" w:cs="Arial"/>
          <w:sz w:val="24"/>
          <w:szCs w:val="24"/>
        </w:rPr>
        <w:t>, H., &amp; Turner, J. C. (1986). The Social Identity Theory of Intergroup Behaviour. Psychology of Intergroup Relations.</w:t>
      </w:r>
    </w:p>
    <w:p w14:paraId="1469EC9E"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The venue (2023) Swansea Arena. Available at: https://www.swansea-arena.co.uk/about-us/the-venue#:~:text=Boasting%20the%20ability%20to%20host,be%20realised%20easily%20and%20effectively. (Accessed: 10 April 2024).</w:t>
      </w:r>
    </w:p>
    <w:p w14:paraId="3EA713A9"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Things to see and do in Swansea (2024) VisitWales. Available at: https://www.visitwales.com/destinations/west-wales/swansea-bay/things-see-and-do-swansea (Accessed: 11 April 2024).</w:t>
      </w:r>
    </w:p>
    <w:p w14:paraId="2AA9FEF5"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UNEP. (2019). Sustainable Events: A Practical Guide. United Nations Environment Programme.</w:t>
      </w:r>
    </w:p>
    <w:p w14:paraId="56A6B832"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Van </w:t>
      </w:r>
      <w:proofErr w:type="spellStart"/>
      <w:r w:rsidRPr="001A7060">
        <w:rPr>
          <w:rStyle w:val="s1"/>
          <w:rFonts w:ascii="Arial" w:hAnsi="Arial" w:cs="Arial"/>
          <w:sz w:val="24"/>
          <w:szCs w:val="24"/>
        </w:rPr>
        <w:t>der</w:t>
      </w:r>
      <w:proofErr w:type="spellEnd"/>
      <w:r w:rsidRPr="001A7060">
        <w:rPr>
          <w:rStyle w:val="s1"/>
          <w:rFonts w:ascii="Arial" w:hAnsi="Arial" w:cs="Arial"/>
          <w:sz w:val="24"/>
          <w:szCs w:val="24"/>
        </w:rPr>
        <w:t xml:space="preserve"> Borg, J., &amp; Costa, S. (2021). Sustainable Event Management: A Systematic Literature Review. Sustainability, 13(1), 345.</w:t>
      </w:r>
    </w:p>
    <w:p w14:paraId="54F54309"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von </w:t>
      </w:r>
      <w:proofErr w:type="spellStart"/>
      <w:r w:rsidRPr="001A7060">
        <w:rPr>
          <w:rStyle w:val="s1"/>
          <w:rFonts w:ascii="Arial" w:hAnsi="Arial" w:cs="Arial"/>
          <w:sz w:val="24"/>
          <w:szCs w:val="24"/>
        </w:rPr>
        <w:t>Bertalanffy</w:t>
      </w:r>
      <w:proofErr w:type="spellEnd"/>
      <w:r w:rsidRPr="001A7060">
        <w:rPr>
          <w:rStyle w:val="s1"/>
          <w:rFonts w:ascii="Arial" w:hAnsi="Arial" w:cs="Arial"/>
          <w:sz w:val="24"/>
          <w:szCs w:val="24"/>
        </w:rPr>
        <w:t xml:space="preserve">, L. (1968). General System Theory: Foundations, Development, Applications. George </w:t>
      </w:r>
      <w:proofErr w:type="spellStart"/>
      <w:r w:rsidRPr="001A7060">
        <w:rPr>
          <w:rStyle w:val="s1"/>
          <w:rFonts w:ascii="Arial" w:hAnsi="Arial" w:cs="Arial"/>
          <w:sz w:val="24"/>
          <w:szCs w:val="24"/>
        </w:rPr>
        <w:t>Braziller</w:t>
      </w:r>
      <w:proofErr w:type="spellEnd"/>
      <w:r w:rsidRPr="001A7060">
        <w:rPr>
          <w:rStyle w:val="s1"/>
          <w:rFonts w:ascii="Arial" w:hAnsi="Arial" w:cs="Arial"/>
          <w:sz w:val="24"/>
          <w:szCs w:val="24"/>
        </w:rPr>
        <w:t>.</w:t>
      </w:r>
    </w:p>
    <w:p w14:paraId="6019872F"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Vroom, V. H. (1964). Work and Motivation. Wiley.</w:t>
      </w:r>
    </w:p>
    <w:p w14:paraId="4E640AE3" w14:textId="77777777" w:rsidR="001A7060" w:rsidRPr="001A7060" w:rsidRDefault="001A7060" w:rsidP="001A7060">
      <w:pPr>
        <w:pStyle w:val="p1"/>
        <w:spacing w:before="240" w:line="360" w:lineRule="auto"/>
        <w:jc w:val="both"/>
        <w:divId w:val="1832259846"/>
        <w:rPr>
          <w:rFonts w:ascii="Arial" w:hAnsi="Arial" w:cs="Arial"/>
          <w:sz w:val="24"/>
          <w:szCs w:val="24"/>
        </w:rPr>
      </w:pPr>
      <w:proofErr w:type="spellStart"/>
      <w:r w:rsidRPr="001A7060">
        <w:rPr>
          <w:rStyle w:val="s1"/>
          <w:rFonts w:ascii="Arial" w:hAnsi="Arial" w:cs="Arial"/>
          <w:sz w:val="24"/>
          <w:szCs w:val="24"/>
        </w:rPr>
        <w:t>Vygotsky</w:t>
      </w:r>
      <w:proofErr w:type="spellEnd"/>
      <w:r w:rsidRPr="001A7060">
        <w:rPr>
          <w:rStyle w:val="s1"/>
          <w:rFonts w:ascii="Arial" w:hAnsi="Arial" w:cs="Arial"/>
          <w:sz w:val="24"/>
          <w:szCs w:val="24"/>
        </w:rPr>
        <w:t>, L. S. (1978). Mind in Society: The Development of Higher Psychological Processes. Harvard University Press.</w:t>
      </w:r>
    </w:p>
    <w:p w14:paraId="6F02871F"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WCED. (1987). Our Common Future. Oxford University Press.</w:t>
      </w:r>
    </w:p>
    <w:p w14:paraId="4F06963D"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 xml:space="preserve">Weber, M. (1922). Economy and society. University of California </w:t>
      </w:r>
      <w:proofErr w:type="spellStart"/>
      <w:r w:rsidRPr="001A7060">
        <w:rPr>
          <w:rStyle w:val="s1"/>
          <w:rFonts w:ascii="Arial" w:hAnsi="Arial" w:cs="Arial"/>
          <w:sz w:val="24"/>
          <w:szCs w:val="24"/>
        </w:rPr>
        <w:t>Pres</w:t>
      </w:r>
      <w:proofErr w:type="spellEnd"/>
    </w:p>
    <w:p w14:paraId="4ABE843E"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t>Wenger, D. (2000). Organisational resilience: Sustained institutional effectiveness in a changing world. CRC Press.</w:t>
      </w:r>
    </w:p>
    <w:p w14:paraId="09E40F73" w14:textId="77777777" w:rsidR="001A7060" w:rsidRPr="001A7060" w:rsidRDefault="001A7060" w:rsidP="001A7060">
      <w:pPr>
        <w:pStyle w:val="p1"/>
        <w:spacing w:before="240" w:line="360" w:lineRule="auto"/>
        <w:jc w:val="both"/>
        <w:divId w:val="1832259846"/>
        <w:rPr>
          <w:rFonts w:ascii="Arial" w:hAnsi="Arial" w:cs="Arial"/>
          <w:sz w:val="24"/>
          <w:szCs w:val="24"/>
        </w:rPr>
      </w:pPr>
      <w:r w:rsidRPr="001A7060">
        <w:rPr>
          <w:rStyle w:val="s1"/>
          <w:rFonts w:ascii="Arial" w:hAnsi="Arial" w:cs="Arial"/>
          <w:sz w:val="24"/>
          <w:szCs w:val="24"/>
        </w:rPr>
        <w:lastRenderedPageBreak/>
        <w:t>Williamson, O. E. (1985). The economic institutions of capitalism: Firms, markets, relational contracting. Free Press.</w:t>
      </w:r>
    </w:p>
    <w:p w14:paraId="0D3168DA" w14:textId="61EDEBA6" w:rsidR="00B97152" w:rsidRDefault="001A7060" w:rsidP="001A7060">
      <w:pPr>
        <w:pStyle w:val="p1"/>
        <w:spacing w:before="240" w:line="360" w:lineRule="auto"/>
        <w:jc w:val="both"/>
        <w:divId w:val="1832259846"/>
        <w:rPr>
          <w:rStyle w:val="s1"/>
          <w:rFonts w:ascii="Arial" w:hAnsi="Arial" w:cs="Arial"/>
          <w:sz w:val="24"/>
          <w:szCs w:val="24"/>
        </w:rPr>
      </w:pPr>
      <w:r w:rsidRPr="001A7060">
        <w:rPr>
          <w:rStyle w:val="s1"/>
          <w:rFonts w:ascii="Arial" w:hAnsi="Arial" w:cs="Arial"/>
          <w:sz w:val="24"/>
          <w:szCs w:val="24"/>
        </w:rPr>
        <w:t>Witt, S. F., &amp; Moutinho, L. (1994). Tourism Marketing and Management Handbook. Prentice Hall.</w:t>
      </w:r>
    </w:p>
    <w:p w14:paraId="7F762102" w14:textId="77777777" w:rsidR="00B97152" w:rsidRDefault="00B97152">
      <w:pPr>
        <w:rPr>
          <w:rStyle w:val="s1"/>
          <w:rFonts w:ascii="Arial" w:hAnsi="Arial" w:cs="Arial"/>
          <w:kern w:val="0"/>
          <w:sz w:val="24"/>
          <w:szCs w:val="24"/>
          <w14:ligatures w14:val="none"/>
        </w:rPr>
      </w:pPr>
      <w:r>
        <w:rPr>
          <w:rStyle w:val="s1"/>
          <w:rFonts w:ascii="Arial" w:hAnsi="Arial" w:cs="Arial"/>
          <w:sz w:val="24"/>
          <w:szCs w:val="24"/>
        </w:rPr>
        <w:br w:type="page"/>
      </w:r>
    </w:p>
    <w:p w14:paraId="71DD4488" w14:textId="77777777" w:rsidR="00B97152" w:rsidRPr="008C71A2" w:rsidRDefault="00B97152" w:rsidP="45A2756A">
      <w:pPr>
        <w:pStyle w:val="Heading1"/>
        <w:rPr>
          <w:rFonts w:ascii="Arial" w:eastAsia="Arial" w:hAnsi="Arial" w:cs="Arial"/>
          <w:color w:val="auto"/>
          <w:sz w:val="24"/>
          <w:szCs w:val="24"/>
        </w:rPr>
      </w:pPr>
      <w:bookmarkStart w:id="93" w:name="_Toc744042983"/>
      <w:bookmarkStart w:id="94" w:name="_Toc137962880"/>
      <w:bookmarkStart w:id="95" w:name="_Toc1789719568"/>
      <w:r w:rsidRPr="45A2756A">
        <w:rPr>
          <w:rFonts w:ascii="Arial" w:eastAsia="Arial" w:hAnsi="Arial" w:cs="Arial"/>
          <w:color w:val="auto"/>
          <w:sz w:val="24"/>
          <w:szCs w:val="24"/>
        </w:rPr>
        <w:lastRenderedPageBreak/>
        <w:t>Appendices</w:t>
      </w:r>
      <w:bookmarkEnd w:id="93"/>
      <w:bookmarkEnd w:id="94"/>
      <w:bookmarkEnd w:id="95"/>
    </w:p>
    <w:p w14:paraId="509B0A85" w14:textId="77777777" w:rsidR="00B97152" w:rsidRPr="008C71A2" w:rsidRDefault="00B97152" w:rsidP="00805BB3">
      <w:pPr>
        <w:rPr>
          <w:rFonts w:ascii="Arial" w:hAnsi="Arial" w:cs="Arial"/>
          <w:sz w:val="24"/>
          <w:szCs w:val="24"/>
        </w:rPr>
      </w:pPr>
    </w:p>
    <w:p w14:paraId="66EF668F" w14:textId="77777777" w:rsidR="00B97152" w:rsidRPr="008C71A2" w:rsidRDefault="00B97152" w:rsidP="00805BB3">
      <w:pPr>
        <w:rPr>
          <w:rFonts w:ascii="Arial" w:hAnsi="Arial" w:cs="Arial"/>
          <w:sz w:val="24"/>
          <w:szCs w:val="24"/>
        </w:rPr>
      </w:pPr>
      <w:r w:rsidRPr="008C71A2">
        <w:rPr>
          <w:rFonts w:ascii="Arial" w:hAnsi="Arial" w:cs="Arial"/>
          <w:sz w:val="24"/>
          <w:szCs w:val="24"/>
        </w:rPr>
        <w:t xml:space="preserve">A1- conference schedule </w:t>
      </w:r>
    </w:p>
    <w:p w14:paraId="093E586A" w14:textId="77777777" w:rsidR="00B97152" w:rsidRPr="008C71A2" w:rsidRDefault="00B97152" w:rsidP="00805BB3">
      <w:pPr>
        <w:rPr>
          <w:rFonts w:ascii="Arial" w:hAnsi="Arial" w:cs="Arial"/>
          <w:sz w:val="24"/>
          <w:szCs w:val="24"/>
        </w:rPr>
      </w:pPr>
    </w:p>
    <w:tbl>
      <w:tblPr>
        <w:tblStyle w:val="TableGrid"/>
        <w:tblW w:w="9634" w:type="dxa"/>
        <w:tblLook w:val="04A0" w:firstRow="1" w:lastRow="0" w:firstColumn="1" w:lastColumn="0" w:noHBand="0" w:noVBand="1"/>
      </w:tblPr>
      <w:tblGrid>
        <w:gridCol w:w="988"/>
        <w:gridCol w:w="2551"/>
        <w:gridCol w:w="6095"/>
      </w:tblGrid>
      <w:tr w:rsidR="00B97152" w:rsidRPr="008C71A2" w14:paraId="36FA1087" w14:textId="77777777" w:rsidTr="00805BB3">
        <w:tc>
          <w:tcPr>
            <w:tcW w:w="988" w:type="dxa"/>
          </w:tcPr>
          <w:p w14:paraId="37D29387" w14:textId="77777777" w:rsidR="00B97152" w:rsidRPr="008C71A2" w:rsidRDefault="00B97152" w:rsidP="00805BB3">
            <w:pPr>
              <w:rPr>
                <w:rFonts w:ascii="Arial" w:hAnsi="Arial" w:cs="Arial"/>
                <w:sz w:val="24"/>
                <w:szCs w:val="24"/>
              </w:rPr>
            </w:pPr>
            <w:r w:rsidRPr="008C71A2">
              <w:rPr>
                <w:rFonts w:ascii="Arial" w:hAnsi="Arial" w:cs="Arial"/>
                <w:sz w:val="24"/>
                <w:szCs w:val="24"/>
              </w:rPr>
              <w:t>11:00</w:t>
            </w:r>
          </w:p>
        </w:tc>
        <w:tc>
          <w:tcPr>
            <w:tcW w:w="2551" w:type="dxa"/>
          </w:tcPr>
          <w:p w14:paraId="247284A7" w14:textId="77777777" w:rsidR="00B97152" w:rsidRPr="008C71A2" w:rsidRDefault="00B97152" w:rsidP="00805BB3">
            <w:pPr>
              <w:rPr>
                <w:rFonts w:ascii="Arial" w:hAnsi="Arial" w:cs="Arial"/>
                <w:sz w:val="24"/>
                <w:szCs w:val="24"/>
              </w:rPr>
            </w:pPr>
            <w:r w:rsidRPr="008C71A2">
              <w:rPr>
                <w:rFonts w:ascii="Arial" w:hAnsi="Arial" w:cs="Arial"/>
                <w:sz w:val="24"/>
                <w:szCs w:val="24"/>
              </w:rPr>
              <w:t>Jacqui Jones</w:t>
            </w:r>
          </w:p>
        </w:tc>
        <w:tc>
          <w:tcPr>
            <w:tcW w:w="6095" w:type="dxa"/>
          </w:tcPr>
          <w:p w14:paraId="5857AFA4" w14:textId="77777777" w:rsidR="00B97152" w:rsidRPr="008C71A2" w:rsidRDefault="00B97152" w:rsidP="00805BB3">
            <w:pPr>
              <w:rPr>
                <w:rFonts w:ascii="Arial" w:hAnsi="Arial" w:cs="Arial"/>
                <w:sz w:val="24"/>
                <w:szCs w:val="24"/>
              </w:rPr>
            </w:pPr>
            <w:r w:rsidRPr="008C71A2">
              <w:rPr>
                <w:rFonts w:ascii="Arial" w:hAnsi="Arial" w:cs="Arial"/>
                <w:sz w:val="24"/>
                <w:szCs w:val="24"/>
              </w:rPr>
              <w:t>Introduction to the conference &amp; Swansea tourism</w:t>
            </w:r>
          </w:p>
        </w:tc>
      </w:tr>
      <w:tr w:rsidR="00B97152" w:rsidRPr="008C71A2" w14:paraId="748E9362" w14:textId="77777777" w:rsidTr="00805BB3">
        <w:tc>
          <w:tcPr>
            <w:tcW w:w="988" w:type="dxa"/>
          </w:tcPr>
          <w:p w14:paraId="3258DEBD" w14:textId="77777777" w:rsidR="00B97152" w:rsidRPr="008C71A2" w:rsidRDefault="00B97152" w:rsidP="00805BB3">
            <w:pPr>
              <w:rPr>
                <w:rFonts w:ascii="Arial" w:hAnsi="Arial" w:cs="Arial"/>
                <w:sz w:val="24"/>
                <w:szCs w:val="24"/>
              </w:rPr>
            </w:pPr>
          </w:p>
        </w:tc>
        <w:tc>
          <w:tcPr>
            <w:tcW w:w="2551" w:type="dxa"/>
          </w:tcPr>
          <w:p w14:paraId="1665CE62" w14:textId="77777777" w:rsidR="00B97152" w:rsidRPr="008C71A2" w:rsidRDefault="00B97152" w:rsidP="00805BB3">
            <w:pPr>
              <w:rPr>
                <w:rFonts w:ascii="Arial" w:hAnsi="Arial" w:cs="Arial"/>
                <w:sz w:val="24"/>
                <w:szCs w:val="24"/>
              </w:rPr>
            </w:pPr>
            <w:r w:rsidRPr="008C71A2">
              <w:rPr>
                <w:rFonts w:ascii="Arial" w:hAnsi="Arial" w:cs="Arial"/>
                <w:sz w:val="24"/>
                <w:szCs w:val="24"/>
              </w:rPr>
              <w:t>2023 recap</w:t>
            </w:r>
          </w:p>
        </w:tc>
        <w:tc>
          <w:tcPr>
            <w:tcW w:w="6095" w:type="dxa"/>
          </w:tcPr>
          <w:p w14:paraId="5AAB3149" w14:textId="77777777" w:rsidR="00B97152" w:rsidRPr="008C71A2" w:rsidRDefault="00B97152" w:rsidP="00805BB3">
            <w:pPr>
              <w:rPr>
                <w:rFonts w:ascii="Arial" w:hAnsi="Arial" w:cs="Arial"/>
                <w:sz w:val="24"/>
                <w:szCs w:val="24"/>
              </w:rPr>
            </w:pPr>
            <w:r w:rsidRPr="008C71A2">
              <w:rPr>
                <w:rFonts w:ascii="Arial" w:hAnsi="Arial" w:cs="Arial"/>
                <w:sz w:val="24"/>
                <w:szCs w:val="24"/>
              </w:rPr>
              <w:t xml:space="preserve">3 minute video of the 2023 ITT make a splash conference </w:t>
            </w:r>
          </w:p>
        </w:tc>
      </w:tr>
      <w:tr w:rsidR="00B97152" w:rsidRPr="008C71A2" w14:paraId="701DB823" w14:textId="77777777" w:rsidTr="00805BB3">
        <w:tc>
          <w:tcPr>
            <w:tcW w:w="988" w:type="dxa"/>
          </w:tcPr>
          <w:p w14:paraId="1CB91CF3" w14:textId="77777777" w:rsidR="00B97152" w:rsidRPr="008C71A2" w:rsidRDefault="00B97152" w:rsidP="00805BB3">
            <w:pPr>
              <w:rPr>
                <w:rFonts w:ascii="Arial" w:hAnsi="Arial" w:cs="Arial"/>
                <w:sz w:val="24"/>
                <w:szCs w:val="24"/>
              </w:rPr>
            </w:pPr>
            <w:r w:rsidRPr="008C71A2">
              <w:rPr>
                <w:rFonts w:ascii="Arial" w:hAnsi="Arial" w:cs="Arial"/>
                <w:sz w:val="24"/>
                <w:szCs w:val="24"/>
              </w:rPr>
              <w:t>11:10</w:t>
            </w:r>
          </w:p>
        </w:tc>
        <w:tc>
          <w:tcPr>
            <w:tcW w:w="2551" w:type="dxa"/>
          </w:tcPr>
          <w:p w14:paraId="049863FB" w14:textId="77777777" w:rsidR="00B97152" w:rsidRPr="008C71A2" w:rsidRDefault="00B97152" w:rsidP="00805BB3">
            <w:pPr>
              <w:rPr>
                <w:rFonts w:ascii="Arial" w:hAnsi="Arial" w:cs="Arial"/>
                <w:sz w:val="24"/>
                <w:szCs w:val="24"/>
              </w:rPr>
            </w:pPr>
            <w:r w:rsidRPr="008C71A2">
              <w:rPr>
                <w:rFonts w:ascii="Arial" w:hAnsi="Arial" w:cs="Arial"/>
                <w:sz w:val="24"/>
                <w:szCs w:val="24"/>
              </w:rPr>
              <w:t>Introduction to the hosts</w:t>
            </w:r>
          </w:p>
        </w:tc>
        <w:tc>
          <w:tcPr>
            <w:tcW w:w="6095" w:type="dxa"/>
          </w:tcPr>
          <w:p w14:paraId="65405585" w14:textId="77777777" w:rsidR="00B97152" w:rsidRPr="008C71A2" w:rsidRDefault="00B97152" w:rsidP="00805BB3">
            <w:pPr>
              <w:rPr>
                <w:rFonts w:ascii="Arial" w:hAnsi="Arial" w:cs="Arial"/>
                <w:sz w:val="24"/>
                <w:szCs w:val="24"/>
              </w:rPr>
            </w:pPr>
            <w:r w:rsidRPr="008C71A2">
              <w:rPr>
                <w:rFonts w:ascii="Arial" w:hAnsi="Arial" w:cs="Arial"/>
                <w:sz w:val="24"/>
                <w:szCs w:val="24"/>
              </w:rPr>
              <w:t>3 minute video introducing the experiences of the three hosts</w:t>
            </w:r>
          </w:p>
        </w:tc>
      </w:tr>
      <w:tr w:rsidR="00B97152" w:rsidRPr="008C71A2" w14:paraId="3E42C227" w14:textId="77777777" w:rsidTr="00805BB3">
        <w:tc>
          <w:tcPr>
            <w:tcW w:w="988" w:type="dxa"/>
          </w:tcPr>
          <w:p w14:paraId="3F2E1B57" w14:textId="77777777" w:rsidR="00B97152" w:rsidRPr="008C71A2" w:rsidRDefault="00B97152" w:rsidP="00805BB3">
            <w:pPr>
              <w:rPr>
                <w:rFonts w:ascii="Arial" w:hAnsi="Arial" w:cs="Arial"/>
                <w:sz w:val="24"/>
                <w:szCs w:val="24"/>
              </w:rPr>
            </w:pPr>
            <w:r w:rsidRPr="008C71A2">
              <w:rPr>
                <w:rFonts w:ascii="Arial" w:hAnsi="Arial" w:cs="Arial"/>
                <w:sz w:val="24"/>
                <w:szCs w:val="24"/>
              </w:rPr>
              <w:t>11:20</w:t>
            </w:r>
          </w:p>
        </w:tc>
        <w:tc>
          <w:tcPr>
            <w:tcW w:w="2551" w:type="dxa"/>
          </w:tcPr>
          <w:p w14:paraId="66DB9F69" w14:textId="77777777" w:rsidR="00B97152" w:rsidRPr="008C71A2" w:rsidRDefault="00B97152" w:rsidP="00805BB3">
            <w:pPr>
              <w:rPr>
                <w:rFonts w:ascii="Arial" w:hAnsi="Arial" w:cs="Arial"/>
                <w:sz w:val="24"/>
                <w:szCs w:val="24"/>
              </w:rPr>
            </w:pPr>
            <w:r w:rsidRPr="008C71A2">
              <w:rPr>
                <w:rFonts w:ascii="Arial" w:hAnsi="Arial" w:cs="Arial"/>
                <w:sz w:val="24"/>
                <w:szCs w:val="24"/>
              </w:rPr>
              <w:t xml:space="preserve">Claire Steiner </w:t>
            </w:r>
          </w:p>
        </w:tc>
        <w:tc>
          <w:tcPr>
            <w:tcW w:w="6095" w:type="dxa"/>
          </w:tcPr>
          <w:p w14:paraId="127F71F0" w14:textId="77777777" w:rsidR="00B97152" w:rsidRPr="008C71A2" w:rsidRDefault="00B97152" w:rsidP="00805BB3">
            <w:pPr>
              <w:rPr>
                <w:rFonts w:ascii="Arial" w:hAnsi="Arial" w:cs="Arial"/>
                <w:sz w:val="24"/>
                <w:szCs w:val="24"/>
              </w:rPr>
            </w:pPr>
            <w:r w:rsidRPr="008C71A2">
              <w:rPr>
                <w:rFonts w:ascii="Arial" w:hAnsi="Arial" w:cs="Arial"/>
                <w:sz w:val="24"/>
                <w:szCs w:val="24"/>
              </w:rPr>
              <w:t>Introduction to The Institute of Travel and Tourism</w:t>
            </w:r>
          </w:p>
        </w:tc>
      </w:tr>
      <w:tr w:rsidR="00B97152" w:rsidRPr="008C71A2" w14:paraId="26E76E26" w14:textId="77777777" w:rsidTr="00805BB3">
        <w:tc>
          <w:tcPr>
            <w:tcW w:w="988" w:type="dxa"/>
          </w:tcPr>
          <w:p w14:paraId="221F3454" w14:textId="77777777" w:rsidR="00B97152" w:rsidRPr="008C71A2" w:rsidRDefault="00B97152" w:rsidP="00805BB3">
            <w:pPr>
              <w:rPr>
                <w:rFonts w:ascii="Arial" w:hAnsi="Arial" w:cs="Arial"/>
                <w:sz w:val="24"/>
                <w:szCs w:val="24"/>
              </w:rPr>
            </w:pPr>
            <w:r w:rsidRPr="008C71A2">
              <w:rPr>
                <w:rFonts w:ascii="Arial" w:hAnsi="Arial" w:cs="Arial"/>
                <w:sz w:val="24"/>
                <w:szCs w:val="24"/>
              </w:rPr>
              <w:t>11:25</w:t>
            </w:r>
          </w:p>
        </w:tc>
        <w:tc>
          <w:tcPr>
            <w:tcW w:w="2551" w:type="dxa"/>
          </w:tcPr>
          <w:p w14:paraId="22272C0C" w14:textId="77777777" w:rsidR="00B97152" w:rsidRPr="008C71A2" w:rsidRDefault="00B97152" w:rsidP="00805BB3">
            <w:pPr>
              <w:rPr>
                <w:rFonts w:ascii="Arial" w:hAnsi="Arial" w:cs="Arial"/>
                <w:sz w:val="24"/>
                <w:szCs w:val="24"/>
              </w:rPr>
            </w:pPr>
            <w:r w:rsidRPr="008C71A2">
              <w:rPr>
                <w:rFonts w:ascii="Arial" w:hAnsi="Arial" w:cs="Arial"/>
                <w:sz w:val="24"/>
                <w:szCs w:val="24"/>
              </w:rPr>
              <w:t>Amanda Lewis</w:t>
            </w:r>
          </w:p>
        </w:tc>
        <w:tc>
          <w:tcPr>
            <w:tcW w:w="6095" w:type="dxa"/>
          </w:tcPr>
          <w:p w14:paraId="53D17E4F" w14:textId="77777777" w:rsidR="00B97152" w:rsidRPr="008C71A2" w:rsidRDefault="00B97152" w:rsidP="00805BB3">
            <w:pPr>
              <w:rPr>
                <w:rFonts w:ascii="Arial" w:hAnsi="Arial" w:cs="Arial"/>
                <w:sz w:val="24"/>
                <w:szCs w:val="24"/>
              </w:rPr>
            </w:pPr>
            <w:r w:rsidRPr="008C71A2">
              <w:rPr>
                <w:rFonts w:ascii="Arial" w:hAnsi="Arial" w:cs="Arial"/>
                <w:sz w:val="24"/>
                <w:szCs w:val="24"/>
              </w:rPr>
              <w:t xml:space="preserve">Events assistant with </w:t>
            </w:r>
            <w:proofErr w:type="spellStart"/>
            <w:r w:rsidRPr="008C71A2">
              <w:rPr>
                <w:rFonts w:ascii="Arial" w:hAnsi="Arial" w:cs="Arial"/>
                <w:sz w:val="24"/>
                <w:szCs w:val="24"/>
              </w:rPr>
              <w:t>4thRegion</w:t>
            </w:r>
            <w:proofErr w:type="spellEnd"/>
            <w:r w:rsidRPr="008C71A2">
              <w:rPr>
                <w:rFonts w:ascii="Arial" w:hAnsi="Arial" w:cs="Arial"/>
                <w:sz w:val="24"/>
                <w:szCs w:val="24"/>
              </w:rPr>
              <w:t xml:space="preserve"> &amp; previous student</w:t>
            </w:r>
          </w:p>
        </w:tc>
      </w:tr>
      <w:tr w:rsidR="00B97152" w:rsidRPr="008C71A2" w14:paraId="23DF6209" w14:textId="77777777" w:rsidTr="00805BB3">
        <w:tc>
          <w:tcPr>
            <w:tcW w:w="988" w:type="dxa"/>
          </w:tcPr>
          <w:p w14:paraId="17796C4B" w14:textId="77777777" w:rsidR="00B97152" w:rsidRPr="008C71A2" w:rsidRDefault="00B97152" w:rsidP="00805BB3">
            <w:pPr>
              <w:rPr>
                <w:rFonts w:ascii="Arial" w:hAnsi="Arial" w:cs="Arial"/>
                <w:sz w:val="24"/>
                <w:szCs w:val="24"/>
              </w:rPr>
            </w:pPr>
            <w:r w:rsidRPr="008C71A2">
              <w:rPr>
                <w:rFonts w:ascii="Arial" w:hAnsi="Arial" w:cs="Arial"/>
                <w:sz w:val="24"/>
                <w:szCs w:val="24"/>
              </w:rPr>
              <w:t>11:30</w:t>
            </w:r>
          </w:p>
        </w:tc>
        <w:tc>
          <w:tcPr>
            <w:tcW w:w="2551" w:type="dxa"/>
          </w:tcPr>
          <w:p w14:paraId="283C2D79" w14:textId="77777777" w:rsidR="00B97152" w:rsidRPr="008C71A2" w:rsidRDefault="00B97152" w:rsidP="00805BB3">
            <w:pPr>
              <w:rPr>
                <w:rFonts w:ascii="Arial" w:hAnsi="Arial" w:cs="Arial"/>
                <w:sz w:val="24"/>
                <w:szCs w:val="24"/>
              </w:rPr>
            </w:pPr>
            <w:r w:rsidRPr="008C71A2">
              <w:rPr>
                <w:rFonts w:ascii="Arial" w:hAnsi="Arial" w:cs="Arial"/>
                <w:sz w:val="24"/>
                <w:szCs w:val="24"/>
              </w:rPr>
              <w:t>Mel Bourke</w:t>
            </w:r>
          </w:p>
        </w:tc>
        <w:tc>
          <w:tcPr>
            <w:tcW w:w="6095" w:type="dxa"/>
          </w:tcPr>
          <w:p w14:paraId="27A94596" w14:textId="77777777" w:rsidR="00B97152" w:rsidRPr="008C71A2" w:rsidRDefault="00B97152" w:rsidP="00805BB3">
            <w:pPr>
              <w:rPr>
                <w:rFonts w:ascii="Arial" w:hAnsi="Arial" w:cs="Arial"/>
                <w:sz w:val="24"/>
                <w:szCs w:val="24"/>
              </w:rPr>
            </w:pPr>
            <w:r w:rsidRPr="008C71A2">
              <w:rPr>
                <w:rFonts w:ascii="Arial" w:hAnsi="Arial" w:cs="Arial"/>
                <w:sz w:val="24"/>
                <w:szCs w:val="24"/>
              </w:rPr>
              <w:t xml:space="preserve">Meetings &amp; Events coordinator for principality stadium </w:t>
            </w:r>
          </w:p>
        </w:tc>
      </w:tr>
      <w:tr w:rsidR="00B97152" w:rsidRPr="008C71A2" w14:paraId="74F637DB" w14:textId="77777777" w:rsidTr="00805BB3">
        <w:tc>
          <w:tcPr>
            <w:tcW w:w="988" w:type="dxa"/>
          </w:tcPr>
          <w:p w14:paraId="4BC0C53E" w14:textId="77777777" w:rsidR="00B97152" w:rsidRPr="008C71A2" w:rsidRDefault="00B97152" w:rsidP="00805BB3">
            <w:pPr>
              <w:rPr>
                <w:rFonts w:ascii="Arial" w:hAnsi="Arial" w:cs="Arial"/>
                <w:sz w:val="24"/>
                <w:szCs w:val="24"/>
              </w:rPr>
            </w:pPr>
            <w:r w:rsidRPr="008C71A2">
              <w:rPr>
                <w:rFonts w:ascii="Arial" w:hAnsi="Arial" w:cs="Arial"/>
                <w:sz w:val="24"/>
                <w:szCs w:val="24"/>
              </w:rPr>
              <w:t>11:35</w:t>
            </w:r>
          </w:p>
        </w:tc>
        <w:tc>
          <w:tcPr>
            <w:tcW w:w="2551" w:type="dxa"/>
          </w:tcPr>
          <w:p w14:paraId="3D5BAA6C" w14:textId="77777777" w:rsidR="00B97152" w:rsidRPr="008C71A2" w:rsidRDefault="00B97152" w:rsidP="00805BB3">
            <w:pPr>
              <w:rPr>
                <w:rFonts w:ascii="Arial" w:hAnsi="Arial" w:cs="Arial"/>
                <w:sz w:val="24"/>
                <w:szCs w:val="24"/>
              </w:rPr>
            </w:pPr>
            <w:r w:rsidRPr="008C71A2">
              <w:rPr>
                <w:rFonts w:ascii="Arial" w:hAnsi="Arial" w:cs="Arial"/>
                <w:sz w:val="24"/>
                <w:szCs w:val="24"/>
              </w:rPr>
              <w:t>Aggie Grover</w:t>
            </w:r>
          </w:p>
        </w:tc>
        <w:tc>
          <w:tcPr>
            <w:tcW w:w="6095" w:type="dxa"/>
          </w:tcPr>
          <w:p w14:paraId="00A5D558" w14:textId="77777777" w:rsidR="00B97152" w:rsidRPr="008C71A2" w:rsidRDefault="00B97152" w:rsidP="00805BB3">
            <w:pPr>
              <w:rPr>
                <w:rFonts w:ascii="Arial" w:hAnsi="Arial" w:cs="Arial"/>
                <w:sz w:val="24"/>
                <w:szCs w:val="24"/>
              </w:rPr>
            </w:pPr>
            <w:r w:rsidRPr="008C71A2">
              <w:rPr>
                <w:rFonts w:ascii="Arial" w:hAnsi="Arial" w:cs="Arial"/>
                <w:sz w:val="24"/>
                <w:szCs w:val="24"/>
              </w:rPr>
              <w:t>Talent acquisition partner for TUI</w:t>
            </w:r>
          </w:p>
        </w:tc>
      </w:tr>
      <w:tr w:rsidR="00B97152" w:rsidRPr="008C71A2" w14:paraId="26FA6AF1" w14:textId="77777777" w:rsidTr="00805BB3">
        <w:tc>
          <w:tcPr>
            <w:tcW w:w="988" w:type="dxa"/>
          </w:tcPr>
          <w:p w14:paraId="24C9B0D1" w14:textId="77777777" w:rsidR="00B97152" w:rsidRPr="008C71A2" w:rsidRDefault="00B97152" w:rsidP="00805BB3">
            <w:pPr>
              <w:rPr>
                <w:rFonts w:ascii="Arial" w:hAnsi="Arial" w:cs="Arial"/>
                <w:sz w:val="24"/>
                <w:szCs w:val="24"/>
              </w:rPr>
            </w:pPr>
            <w:r w:rsidRPr="008C71A2">
              <w:rPr>
                <w:rFonts w:ascii="Arial" w:hAnsi="Arial" w:cs="Arial"/>
                <w:sz w:val="24"/>
                <w:szCs w:val="24"/>
              </w:rPr>
              <w:t>11:50</w:t>
            </w:r>
          </w:p>
        </w:tc>
        <w:tc>
          <w:tcPr>
            <w:tcW w:w="2551" w:type="dxa"/>
          </w:tcPr>
          <w:p w14:paraId="68910249" w14:textId="77777777" w:rsidR="00B97152" w:rsidRPr="008C71A2" w:rsidRDefault="00B97152" w:rsidP="00805BB3">
            <w:pPr>
              <w:rPr>
                <w:rFonts w:ascii="Arial" w:hAnsi="Arial" w:cs="Arial"/>
                <w:sz w:val="24"/>
                <w:szCs w:val="24"/>
              </w:rPr>
            </w:pPr>
            <w:r w:rsidRPr="008C71A2">
              <w:rPr>
                <w:rFonts w:ascii="Arial" w:hAnsi="Arial" w:cs="Arial"/>
                <w:sz w:val="24"/>
                <w:szCs w:val="24"/>
              </w:rPr>
              <w:t>Royal Caribbean group</w:t>
            </w:r>
          </w:p>
        </w:tc>
        <w:tc>
          <w:tcPr>
            <w:tcW w:w="6095" w:type="dxa"/>
          </w:tcPr>
          <w:p w14:paraId="1E11ABD9" w14:textId="77777777" w:rsidR="00B97152" w:rsidRPr="008C71A2" w:rsidRDefault="00B97152" w:rsidP="00805BB3">
            <w:pPr>
              <w:rPr>
                <w:rFonts w:ascii="Arial" w:hAnsi="Arial" w:cs="Arial"/>
                <w:sz w:val="24"/>
                <w:szCs w:val="24"/>
              </w:rPr>
            </w:pPr>
            <w:r w:rsidRPr="008C71A2">
              <w:rPr>
                <w:rFonts w:ascii="Arial" w:hAnsi="Arial" w:cs="Arial"/>
                <w:sz w:val="24"/>
                <w:szCs w:val="24"/>
              </w:rPr>
              <w:t>Introducing all the groups within the royal Caribbean group</w:t>
            </w:r>
          </w:p>
        </w:tc>
      </w:tr>
      <w:tr w:rsidR="00B97152" w:rsidRPr="008C71A2" w14:paraId="6DD5A9BD" w14:textId="77777777" w:rsidTr="00805BB3">
        <w:tc>
          <w:tcPr>
            <w:tcW w:w="988" w:type="dxa"/>
          </w:tcPr>
          <w:p w14:paraId="6FE5617C" w14:textId="77777777" w:rsidR="00B97152" w:rsidRPr="008C71A2" w:rsidRDefault="00B97152" w:rsidP="00805BB3">
            <w:pPr>
              <w:rPr>
                <w:rFonts w:ascii="Arial" w:hAnsi="Arial" w:cs="Arial"/>
                <w:sz w:val="24"/>
                <w:szCs w:val="24"/>
              </w:rPr>
            </w:pPr>
            <w:r w:rsidRPr="008C71A2">
              <w:rPr>
                <w:rFonts w:ascii="Arial" w:hAnsi="Arial" w:cs="Arial"/>
                <w:sz w:val="24"/>
                <w:szCs w:val="24"/>
              </w:rPr>
              <w:t>12:05</w:t>
            </w:r>
          </w:p>
        </w:tc>
        <w:tc>
          <w:tcPr>
            <w:tcW w:w="2551" w:type="dxa"/>
          </w:tcPr>
          <w:p w14:paraId="4DD9CC41" w14:textId="77777777" w:rsidR="00B97152" w:rsidRPr="008C71A2" w:rsidRDefault="00B97152" w:rsidP="00805BB3">
            <w:pPr>
              <w:rPr>
                <w:rFonts w:ascii="Arial" w:hAnsi="Arial" w:cs="Arial"/>
                <w:sz w:val="24"/>
                <w:szCs w:val="24"/>
              </w:rPr>
            </w:pPr>
            <w:r w:rsidRPr="008C71A2">
              <w:rPr>
                <w:rFonts w:ascii="Arial" w:hAnsi="Arial" w:cs="Arial"/>
                <w:sz w:val="24"/>
                <w:szCs w:val="24"/>
              </w:rPr>
              <w:t>Joshua Wilson</w:t>
            </w:r>
          </w:p>
        </w:tc>
        <w:tc>
          <w:tcPr>
            <w:tcW w:w="6095" w:type="dxa"/>
          </w:tcPr>
          <w:p w14:paraId="377DBD58" w14:textId="77777777" w:rsidR="00B97152" w:rsidRPr="008C71A2" w:rsidRDefault="00B97152" w:rsidP="00805BB3">
            <w:pPr>
              <w:rPr>
                <w:rFonts w:ascii="Arial" w:hAnsi="Arial" w:cs="Arial"/>
                <w:sz w:val="24"/>
                <w:szCs w:val="24"/>
              </w:rPr>
            </w:pPr>
            <w:r w:rsidRPr="008C71A2">
              <w:rPr>
                <w:rFonts w:ascii="Arial" w:hAnsi="Arial" w:cs="Arial"/>
                <w:sz w:val="24"/>
                <w:szCs w:val="24"/>
              </w:rPr>
              <w:t>Shore excursion representative on celebrity cruise ships</w:t>
            </w:r>
          </w:p>
        </w:tc>
      </w:tr>
      <w:tr w:rsidR="00B97152" w:rsidRPr="008C71A2" w14:paraId="3C5D30F0" w14:textId="77777777" w:rsidTr="00805BB3">
        <w:tc>
          <w:tcPr>
            <w:tcW w:w="988" w:type="dxa"/>
          </w:tcPr>
          <w:p w14:paraId="38DDB085" w14:textId="77777777" w:rsidR="00B97152" w:rsidRPr="008C71A2" w:rsidRDefault="00B97152" w:rsidP="00805BB3">
            <w:pPr>
              <w:rPr>
                <w:rFonts w:ascii="Arial" w:hAnsi="Arial" w:cs="Arial"/>
                <w:sz w:val="24"/>
                <w:szCs w:val="24"/>
              </w:rPr>
            </w:pPr>
            <w:r w:rsidRPr="008C71A2">
              <w:rPr>
                <w:rFonts w:ascii="Arial" w:hAnsi="Arial" w:cs="Arial"/>
                <w:sz w:val="24"/>
                <w:szCs w:val="24"/>
              </w:rPr>
              <w:t>12:10</w:t>
            </w:r>
          </w:p>
        </w:tc>
        <w:tc>
          <w:tcPr>
            <w:tcW w:w="2551" w:type="dxa"/>
          </w:tcPr>
          <w:p w14:paraId="2BC9B7B5" w14:textId="77777777" w:rsidR="00B97152" w:rsidRPr="008C71A2" w:rsidRDefault="00B97152" w:rsidP="00805BB3">
            <w:pPr>
              <w:rPr>
                <w:rFonts w:ascii="Arial" w:hAnsi="Arial" w:cs="Arial"/>
                <w:sz w:val="24"/>
                <w:szCs w:val="24"/>
              </w:rPr>
            </w:pPr>
            <w:r w:rsidRPr="008C71A2">
              <w:rPr>
                <w:rFonts w:ascii="Arial" w:hAnsi="Arial" w:cs="Arial"/>
                <w:sz w:val="24"/>
                <w:szCs w:val="24"/>
              </w:rPr>
              <w:t xml:space="preserve">Colorado 2023 </w:t>
            </w:r>
          </w:p>
        </w:tc>
        <w:tc>
          <w:tcPr>
            <w:tcW w:w="6095" w:type="dxa"/>
          </w:tcPr>
          <w:p w14:paraId="749968FA" w14:textId="77777777" w:rsidR="00B97152" w:rsidRPr="008C71A2" w:rsidRDefault="00B97152" w:rsidP="00805BB3">
            <w:pPr>
              <w:rPr>
                <w:rFonts w:ascii="Arial" w:hAnsi="Arial" w:cs="Arial"/>
                <w:sz w:val="24"/>
                <w:szCs w:val="24"/>
              </w:rPr>
            </w:pPr>
            <w:r w:rsidRPr="008C71A2">
              <w:rPr>
                <w:rFonts w:ascii="Arial" w:hAnsi="Arial" w:cs="Arial"/>
                <w:sz w:val="24"/>
                <w:szCs w:val="24"/>
              </w:rPr>
              <w:t xml:space="preserve">2023 trip to Colorado resulting in recruiting </w:t>
            </w:r>
          </w:p>
        </w:tc>
      </w:tr>
      <w:tr w:rsidR="00B97152" w:rsidRPr="008C71A2" w14:paraId="05BE536F" w14:textId="77777777" w:rsidTr="00805BB3">
        <w:tc>
          <w:tcPr>
            <w:tcW w:w="988" w:type="dxa"/>
          </w:tcPr>
          <w:p w14:paraId="5E2B333D" w14:textId="77777777" w:rsidR="00B97152" w:rsidRPr="008C71A2" w:rsidRDefault="00B97152" w:rsidP="00805BB3">
            <w:pPr>
              <w:rPr>
                <w:rFonts w:ascii="Arial" w:hAnsi="Arial" w:cs="Arial"/>
                <w:sz w:val="24"/>
                <w:szCs w:val="24"/>
              </w:rPr>
            </w:pPr>
            <w:r w:rsidRPr="008C71A2">
              <w:rPr>
                <w:rFonts w:ascii="Arial" w:hAnsi="Arial" w:cs="Arial"/>
                <w:sz w:val="24"/>
                <w:szCs w:val="24"/>
              </w:rPr>
              <w:t>12:15</w:t>
            </w:r>
          </w:p>
        </w:tc>
        <w:tc>
          <w:tcPr>
            <w:tcW w:w="2551" w:type="dxa"/>
          </w:tcPr>
          <w:p w14:paraId="3A599303" w14:textId="77777777" w:rsidR="00B97152" w:rsidRPr="008C71A2" w:rsidRDefault="00B97152" w:rsidP="00805BB3">
            <w:pPr>
              <w:rPr>
                <w:rFonts w:ascii="Arial" w:hAnsi="Arial" w:cs="Arial"/>
                <w:sz w:val="24"/>
                <w:szCs w:val="24"/>
              </w:rPr>
            </w:pPr>
            <w:r w:rsidRPr="008C71A2">
              <w:rPr>
                <w:rFonts w:ascii="Arial" w:hAnsi="Arial" w:cs="Arial"/>
                <w:sz w:val="24"/>
                <w:szCs w:val="24"/>
              </w:rPr>
              <w:t>Amy Harris</w:t>
            </w:r>
          </w:p>
        </w:tc>
        <w:tc>
          <w:tcPr>
            <w:tcW w:w="6095" w:type="dxa"/>
          </w:tcPr>
          <w:p w14:paraId="1969AA7E" w14:textId="77777777" w:rsidR="00B97152" w:rsidRPr="008C71A2" w:rsidRDefault="00B97152" w:rsidP="00805BB3">
            <w:pPr>
              <w:rPr>
                <w:rFonts w:ascii="Arial" w:hAnsi="Arial" w:cs="Arial"/>
                <w:sz w:val="24"/>
                <w:szCs w:val="24"/>
              </w:rPr>
            </w:pPr>
            <w:r w:rsidRPr="008C71A2">
              <w:rPr>
                <w:rFonts w:ascii="Arial" w:hAnsi="Arial" w:cs="Arial"/>
                <w:sz w:val="24"/>
                <w:szCs w:val="24"/>
              </w:rPr>
              <w:t xml:space="preserve">Reservations sales assistant at the </w:t>
            </w:r>
            <w:proofErr w:type="spellStart"/>
            <w:r w:rsidRPr="008C71A2">
              <w:rPr>
                <w:rFonts w:ascii="Arial" w:hAnsi="Arial" w:cs="Arial"/>
                <w:sz w:val="24"/>
                <w:szCs w:val="24"/>
              </w:rPr>
              <w:t>sennonalp</w:t>
            </w:r>
            <w:proofErr w:type="spellEnd"/>
            <w:r w:rsidRPr="008C71A2">
              <w:rPr>
                <w:rFonts w:ascii="Arial" w:hAnsi="Arial" w:cs="Arial"/>
                <w:sz w:val="24"/>
                <w:szCs w:val="24"/>
              </w:rPr>
              <w:t xml:space="preserve"> hotel aspen</w:t>
            </w:r>
          </w:p>
        </w:tc>
      </w:tr>
      <w:tr w:rsidR="00B97152" w:rsidRPr="008C71A2" w14:paraId="1BC96222" w14:textId="77777777" w:rsidTr="00805BB3">
        <w:tc>
          <w:tcPr>
            <w:tcW w:w="988" w:type="dxa"/>
          </w:tcPr>
          <w:p w14:paraId="71936A84" w14:textId="77777777" w:rsidR="00B97152" w:rsidRPr="008C71A2" w:rsidRDefault="00B97152" w:rsidP="00805BB3">
            <w:pPr>
              <w:rPr>
                <w:rFonts w:ascii="Arial" w:hAnsi="Arial" w:cs="Arial"/>
                <w:sz w:val="24"/>
                <w:szCs w:val="24"/>
              </w:rPr>
            </w:pPr>
            <w:r w:rsidRPr="008C71A2">
              <w:rPr>
                <w:rFonts w:ascii="Arial" w:hAnsi="Arial" w:cs="Arial"/>
                <w:sz w:val="24"/>
                <w:szCs w:val="24"/>
              </w:rPr>
              <w:t>12:20</w:t>
            </w:r>
          </w:p>
        </w:tc>
        <w:tc>
          <w:tcPr>
            <w:tcW w:w="2551" w:type="dxa"/>
          </w:tcPr>
          <w:p w14:paraId="3F6A35B3" w14:textId="77777777" w:rsidR="00B97152" w:rsidRPr="008C71A2" w:rsidRDefault="00B97152" w:rsidP="00805BB3">
            <w:pPr>
              <w:rPr>
                <w:rFonts w:ascii="Arial" w:hAnsi="Arial" w:cs="Arial"/>
                <w:sz w:val="24"/>
                <w:szCs w:val="24"/>
              </w:rPr>
            </w:pPr>
            <w:r w:rsidRPr="008C71A2">
              <w:rPr>
                <w:rFonts w:ascii="Arial" w:hAnsi="Arial" w:cs="Arial"/>
                <w:sz w:val="24"/>
                <w:szCs w:val="24"/>
              </w:rPr>
              <w:t>Industry panel</w:t>
            </w:r>
          </w:p>
        </w:tc>
        <w:tc>
          <w:tcPr>
            <w:tcW w:w="6095" w:type="dxa"/>
          </w:tcPr>
          <w:p w14:paraId="689AF582" w14:textId="77777777" w:rsidR="00B97152" w:rsidRPr="008C71A2" w:rsidRDefault="00B97152" w:rsidP="00805BB3">
            <w:pPr>
              <w:rPr>
                <w:rFonts w:ascii="Arial" w:hAnsi="Arial" w:cs="Arial"/>
                <w:sz w:val="24"/>
                <w:szCs w:val="24"/>
              </w:rPr>
            </w:pPr>
            <w:proofErr w:type="spellStart"/>
            <w:r w:rsidRPr="008C71A2">
              <w:rPr>
                <w:rFonts w:ascii="Arial" w:hAnsi="Arial" w:cs="Arial"/>
                <w:sz w:val="24"/>
                <w:szCs w:val="24"/>
              </w:rPr>
              <w:t>Heledd</w:t>
            </w:r>
            <w:proofErr w:type="spellEnd"/>
            <w:r w:rsidRPr="008C71A2">
              <w:rPr>
                <w:rFonts w:ascii="Arial" w:hAnsi="Arial" w:cs="Arial"/>
                <w:sz w:val="24"/>
                <w:szCs w:val="24"/>
              </w:rPr>
              <w:t xml:space="preserve"> Williams, Thomas </w:t>
            </w:r>
            <w:proofErr w:type="spellStart"/>
            <w:r w:rsidRPr="008C71A2">
              <w:rPr>
                <w:rFonts w:ascii="Arial" w:hAnsi="Arial" w:cs="Arial"/>
                <w:sz w:val="24"/>
                <w:szCs w:val="24"/>
              </w:rPr>
              <w:t>Ferrante</w:t>
            </w:r>
            <w:proofErr w:type="spellEnd"/>
            <w:r w:rsidRPr="008C71A2">
              <w:rPr>
                <w:rFonts w:ascii="Arial" w:hAnsi="Arial" w:cs="Arial"/>
                <w:sz w:val="24"/>
                <w:szCs w:val="24"/>
              </w:rPr>
              <w:t xml:space="preserve"> &amp; Emily </w:t>
            </w:r>
            <w:proofErr w:type="spellStart"/>
            <w:r w:rsidRPr="008C71A2">
              <w:rPr>
                <w:rFonts w:ascii="Arial" w:hAnsi="Arial" w:cs="Arial"/>
                <w:sz w:val="24"/>
                <w:szCs w:val="24"/>
              </w:rPr>
              <w:t>Boscoe</w:t>
            </w:r>
            <w:proofErr w:type="spellEnd"/>
          </w:p>
        </w:tc>
      </w:tr>
      <w:tr w:rsidR="00B97152" w:rsidRPr="008C71A2" w14:paraId="5F1BDBFC" w14:textId="77777777" w:rsidTr="00805BB3">
        <w:tc>
          <w:tcPr>
            <w:tcW w:w="988" w:type="dxa"/>
          </w:tcPr>
          <w:p w14:paraId="17C66707" w14:textId="77777777" w:rsidR="00B97152" w:rsidRPr="008C71A2" w:rsidRDefault="00B97152" w:rsidP="00805BB3">
            <w:pPr>
              <w:rPr>
                <w:rFonts w:ascii="Arial" w:hAnsi="Arial" w:cs="Arial"/>
                <w:sz w:val="24"/>
                <w:szCs w:val="24"/>
              </w:rPr>
            </w:pPr>
            <w:r w:rsidRPr="008C71A2">
              <w:rPr>
                <w:rFonts w:ascii="Arial" w:hAnsi="Arial" w:cs="Arial"/>
                <w:sz w:val="24"/>
                <w:szCs w:val="24"/>
              </w:rPr>
              <w:t>12:40</w:t>
            </w:r>
          </w:p>
        </w:tc>
        <w:tc>
          <w:tcPr>
            <w:tcW w:w="2551" w:type="dxa"/>
          </w:tcPr>
          <w:p w14:paraId="316B459F" w14:textId="77777777" w:rsidR="00B97152" w:rsidRPr="008C71A2" w:rsidRDefault="00B97152" w:rsidP="00805BB3">
            <w:pPr>
              <w:rPr>
                <w:rFonts w:ascii="Arial" w:hAnsi="Arial" w:cs="Arial"/>
                <w:sz w:val="24"/>
                <w:szCs w:val="24"/>
              </w:rPr>
            </w:pPr>
            <w:r w:rsidRPr="008C71A2">
              <w:rPr>
                <w:rFonts w:ascii="Arial" w:hAnsi="Arial" w:cs="Arial"/>
                <w:sz w:val="24"/>
                <w:szCs w:val="24"/>
              </w:rPr>
              <w:t>2025 takeover</w:t>
            </w:r>
          </w:p>
        </w:tc>
        <w:tc>
          <w:tcPr>
            <w:tcW w:w="6095" w:type="dxa"/>
          </w:tcPr>
          <w:p w14:paraId="7B5AA293" w14:textId="77777777" w:rsidR="00B97152" w:rsidRPr="008C71A2" w:rsidRDefault="00B97152" w:rsidP="00805BB3">
            <w:pPr>
              <w:rPr>
                <w:rFonts w:ascii="Arial" w:hAnsi="Arial" w:cs="Arial"/>
                <w:sz w:val="24"/>
                <w:szCs w:val="24"/>
              </w:rPr>
            </w:pPr>
            <w:r w:rsidRPr="008C71A2">
              <w:rPr>
                <w:rFonts w:ascii="Arial" w:hAnsi="Arial" w:cs="Arial"/>
                <w:sz w:val="24"/>
                <w:szCs w:val="24"/>
              </w:rPr>
              <w:t>Introduction to the future conference holders</w:t>
            </w:r>
          </w:p>
        </w:tc>
      </w:tr>
      <w:tr w:rsidR="00B97152" w:rsidRPr="008C71A2" w14:paraId="159DC292" w14:textId="77777777" w:rsidTr="00805BB3">
        <w:tc>
          <w:tcPr>
            <w:tcW w:w="988" w:type="dxa"/>
          </w:tcPr>
          <w:p w14:paraId="4AD332AE" w14:textId="77777777" w:rsidR="00B97152" w:rsidRPr="008C71A2" w:rsidRDefault="00B97152" w:rsidP="00805BB3">
            <w:pPr>
              <w:rPr>
                <w:rFonts w:ascii="Arial" w:hAnsi="Arial" w:cs="Arial"/>
                <w:sz w:val="24"/>
                <w:szCs w:val="24"/>
              </w:rPr>
            </w:pPr>
            <w:r w:rsidRPr="008C71A2">
              <w:rPr>
                <w:rFonts w:ascii="Arial" w:hAnsi="Arial" w:cs="Arial"/>
                <w:sz w:val="24"/>
                <w:szCs w:val="24"/>
              </w:rPr>
              <w:t>12:45</w:t>
            </w:r>
          </w:p>
        </w:tc>
        <w:tc>
          <w:tcPr>
            <w:tcW w:w="2551" w:type="dxa"/>
          </w:tcPr>
          <w:p w14:paraId="234C18C6" w14:textId="77777777" w:rsidR="00B97152" w:rsidRPr="008C71A2" w:rsidRDefault="00B97152" w:rsidP="00805BB3">
            <w:pPr>
              <w:rPr>
                <w:rFonts w:ascii="Arial" w:hAnsi="Arial" w:cs="Arial"/>
                <w:sz w:val="24"/>
                <w:szCs w:val="24"/>
              </w:rPr>
            </w:pPr>
            <w:r w:rsidRPr="008C71A2">
              <w:rPr>
                <w:rFonts w:ascii="Arial" w:hAnsi="Arial" w:cs="Arial"/>
                <w:sz w:val="24"/>
                <w:szCs w:val="24"/>
              </w:rPr>
              <w:t>Careers fair &amp; final thanks</w:t>
            </w:r>
          </w:p>
        </w:tc>
        <w:tc>
          <w:tcPr>
            <w:tcW w:w="6095" w:type="dxa"/>
          </w:tcPr>
          <w:p w14:paraId="395F3C6C" w14:textId="77777777" w:rsidR="00B97152" w:rsidRPr="008C71A2" w:rsidRDefault="00B97152" w:rsidP="00805BB3">
            <w:pPr>
              <w:rPr>
                <w:rFonts w:ascii="Arial" w:hAnsi="Arial" w:cs="Arial"/>
                <w:sz w:val="24"/>
                <w:szCs w:val="24"/>
              </w:rPr>
            </w:pPr>
            <w:r w:rsidRPr="008C71A2">
              <w:rPr>
                <w:rFonts w:ascii="Arial" w:hAnsi="Arial" w:cs="Arial"/>
                <w:sz w:val="24"/>
                <w:szCs w:val="24"/>
              </w:rPr>
              <w:t>Stalls at the careers fair, social media competition &amp; thanks to all</w:t>
            </w:r>
          </w:p>
        </w:tc>
      </w:tr>
      <w:tr w:rsidR="00B97152" w:rsidRPr="008C71A2" w14:paraId="559A1C11" w14:textId="77777777" w:rsidTr="00805BB3">
        <w:tc>
          <w:tcPr>
            <w:tcW w:w="988" w:type="dxa"/>
          </w:tcPr>
          <w:p w14:paraId="603E0B84" w14:textId="77777777" w:rsidR="00B97152" w:rsidRPr="008C71A2" w:rsidRDefault="00B97152" w:rsidP="00805BB3">
            <w:pPr>
              <w:rPr>
                <w:rFonts w:ascii="Arial" w:hAnsi="Arial" w:cs="Arial"/>
                <w:sz w:val="24"/>
                <w:szCs w:val="24"/>
              </w:rPr>
            </w:pPr>
          </w:p>
        </w:tc>
        <w:tc>
          <w:tcPr>
            <w:tcW w:w="2551" w:type="dxa"/>
          </w:tcPr>
          <w:p w14:paraId="474CB4CC" w14:textId="77777777" w:rsidR="00B97152" w:rsidRPr="008C71A2" w:rsidRDefault="00B97152" w:rsidP="00805BB3">
            <w:pPr>
              <w:rPr>
                <w:rFonts w:ascii="Arial" w:hAnsi="Arial" w:cs="Arial"/>
                <w:sz w:val="24"/>
                <w:szCs w:val="24"/>
              </w:rPr>
            </w:pPr>
          </w:p>
        </w:tc>
        <w:tc>
          <w:tcPr>
            <w:tcW w:w="6095" w:type="dxa"/>
          </w:tcPr>
          <w:p w14:paraId="64C0DAE3" w14:textId="77777777" w:rsidR="00B97152" w:rsidRPr="008C71A2" w:rsidRDefault="00B97152" w:rsidP="00805BB3">
            <w:pPr>
              <w:rPr>
                <w:rFonts w:ascii="Arial" w:hAnsi="Arial" w:cs="Arial"/>
                <w:sz w:val="24"/>
                <w:szCs w:val="24"/>
              </w:rPr>
            </w:pPr>
          </w:p>
        </w:tc>
      </w:tr>
    </w:tbl>
    <w:p w14:paraId="14339DB5" w14:textId="77777777" w:rsidR="00B97152" w:rsidRPr="008C71A2" w:rsidRDefault="00B97152" w:rsidP="00805BB3">
      <w:pPr>
        <w:rPr>
          <w:rFonts w:ascii="Arial" w:hAnsi="Arial" w:cs="Arial"/>
          <w:sz w:val="24"/>
          <w:szCs w:val="24"/>
        </w:rPr>
      </w:pPr>
    </w:p>
    <w:p w14:paraId="1B35E0F4" w14:textId="77777777" w:rsidR="00B97152" w:rsidRPr="008C71A2" w:rsidRDefault="00B97152" w:rsidP="00805BB3">
      <w:pPr>
        <w:rPr>
          <w:rFonts w:ascii="Arial" w:hAnsi="Arial" w:cs="Arial"/>
          <w:sz w:val="24"/>
          <w:szCs w:val="24"/>
        </w:rPr>
      </w:pPr>
    </w:p>
    <w:p w14:paraId="7D03ACF4" w14:textId="77777777" w:rsidR="00B97152" w:rsidRPr="008C71A2" w:rsidRDefault="00B97152" w:rsidP="00805BB3">
      <w:pPr>
        <w:rPr>
          <w:rFonts w:ascii="Arial" w:hAnsi="Arial" w:cs="Arial"/>
          <w:sz w:val="24"/>
          <w:szCs w:val="24"/>
        </w:rPr>
      </w:pPr>
    </w:p>
    <w:p w14:paraId="110F1550" w14:textId="77777777" w:rsidR="00B97152" w:rsidRPr="008C71A2" w:rsidRDefault="00B97152" w:rsidP="00805BB3">
      <w:pPr>
        <w:rPr>
          <w:rFonts w:ascii="Arial" w:hAnsi="Arial" w:cs="Arial"/>
          <w:sz w:val="24"/>
          <w:szCs w:val="24"/>
        </w:rPr>
      </w:pPr>
    </w:p>
    <w:p w14:paraId="0AB15D88" w14:textId="77777777" w:rsidR="00B97152" w:rsidRPr="008C71A2" w:rsidRDefault="00B97152" w:rsidP="00805BB3">
      <w:pPr>
        <w:rPr>
          <w:rFonts w:ascii="Arial" w:hAnsi="Arial" w:cs="Arial"/>
          <w:sz w:val="24"/>
          <w:szCs w:val="24"/>
        </w:rPr>
      </w:pPr>
    </w:p>
    <w:p w14:paraId="515DD81D" w14:textId="77777777" w:rsidR="00B97152" w:rsidRPr="008C71A2" w:rsidRDefault="00B97152" w:rsidP="00805BB3">
      <w:pPr>
        <w:rPr>
          <w:rFonts w:ascii="Arial" w:hAnsi="Arial" w:cs="Arial"/>
          <w:sz w:val="24"/>
          <w:szCs w:val="24"/>
        </w:rPr>
      </w:pPr>
      <w:r w:rsidRPr="008C71A2">
        <w:rPr>
          <w:rFonts w:ascii="Arial" w:hAnsi="Arial" w:cs="Arial"/>
          <w:sz w:val="24"/>
          <w:szCs w:val="24"/>
        </w:rPr>
        <w:t>A2- planning list</w:t>
      </w:r>
    </w:p>
    <w:p w14:paraId="1838A2BC" w14:textId="77777777" w:rsidR="00B97152" w:rsidRPr="008C71A2" w:rsidRDefault="00B97152" w:rsidP="00805BB3">
      <w:pPr>
        <w:pStyle w:val="ListParagraph"/>
        <w:numPr>
          <w:ilvl w:val="0"/>
          <w:numId w:val="1"/>
        </w:numPr>
        <w:rPr>
          <w:rFonts w:ascii="Arial" w:hAnsi="Arial" w:cs="Arial"/>
          <w:sz w:val="24"/>
          <w:szCs w:val="24"/>
        </w:rPr>
      </w:pPr>
      <w:r w:rsidRPr="008C71A2">
        <w:rPr>
          <w:rFonts w:ascii="Arial" w:hAnsi="Arial" w:cs="Arial"/>
          <w:sz w:val="24"/>
          <w:szCs w:val="24"/>
        </w:rPr>
        <w:t>Define objectives and scope.</w:t>
      </w:r>
    </w:p>
    <w:p w14:paraId="4FC7C3BD" w14:textId="77777777" w:rsidR="00B97152" w:rsidRPr="008C71A2" w:rsidRDefault="00B97152" w:rsidP="00805BB3">
      <w:pPr>
        <w:pStyle w:val="ListParagraph"/>
        <w:numPr>
          <w:ilvl w:val="0"/>
          <w:numId w:val="1"/>
        </w:numPr>
        <w:rPr>
          <w:rFonts w:ascii="Arial" w:hAnsi="Arial" w:cs="Arial"/>
          <w:sz w:val="24"/>
          <w:szCs w:val="24"/>
        </w:rPr>
      </w:pPr>
      <w:r w:rsidRPr="008C71A2">
        <w:rPr>
          <w:rFonts w:ascii="Arial" w:hAnsi="Arial" w:cs="Arial"/>
          <w:sz w:val="24"/>
          <w:szCs w:val="24"/>
        </w:rPr>
        <w:t>Identify key stakeholders and partners.</w:t>
      </w:r>
    </w:p>
    <w:p w14:paraId="3DAD0167" w14:textId="77777777" w:rsidR="00B97152" w:rsidRPr="008C71A2" w:rsidRDefault="00B97152" w:rsidP="00805BB3">
      <w:pPr>
        <w:pStyle w:val="ListParagraph"/>
        <w:numPr>
          <w:ilvl w:val="0"/>
          <w:numId w:val="1"/>
        </w:numPr>
        <w:rPr>
          <w:rFonts w:ascii="Arial" w:hAnsi="Arial" w:cs="Arial"/>
          <w:sz w:val="24"/>
          <w:szCs w:val="24"/>
        </w:rPr>
      </w:pPr>
      <w:r w:rsidRPr="008C71A2">
        <w:rPr>
          <w:rFonts w:ascii="Arial" w:hAnsi="Arial" w:cs="Arial"/>
          <w:sz w:val="24"/>
          <w:szCs w:val="24"/>
        </w:rPr>
        <w:t>Develop program agenda and content.</w:t>
      </w:r>
    </w:p>
    <w:p w14:paraId="311B9ACB" w14:textId="77777777" w:rsidR="00B97152" w:rsidRPr="008C71A2" w:rsidRDefault="00B97152" w:rsidP="00805BB3">
      <w:pPr>
        <w:pStyle w:val="ListParagraph"/>
        <w:numPr>
          <w:ilvl w:val="0"/>
          <w:numId w:val="1"/>
        </w:numPr>
        <w:rPr>
          <w:rFonts w:ascii="Arial" w:hAnsi="Arial" w:cs="Arial"/>
          <w:sz w:val="24"/>
          <w:szCs w:val="24"/>
        </w:rPr>
      </w:pPr>
      <w:r w:rsidRPr="008C71A2">
        <w:rPr>
          <w:rFonts w:ascii="Arial" w:hAnsi="Arial" w:cs="Arial"/>
          <w:sz w:val="24"/>
          <w:szCs w:val="24"/>
        </w:rPr>
        <w:t>Secure venue and logistics.</w:t>
      </w:r>
    </w:p>
    <w:p w14:paraId="0B0E3770" w14:textId="77777777" w:rsidR="00B97152" w:rsidRPr="008C71A2" w:rsidRDefault="00B97152" w:rsidP="00805BB3">
      <w:pPr>
        <w:pStyle w:val="ListParagraph"/>
        <w:numPr>
          <w:ilvl w:val="0"/>
          <w:numId w:val="1"/>
        </w:numPr>
        <w:rPr>
          <w:rFonts w:ascii="Arial" w:hAnsi="Arial" w:cs="Arial"/>
          <w:sz w:val="24"/>
          <w:szCs w:val="24"/>
        </w:rPr>
      </w:pPr>
      <w:r w:rsidRPr="008C71A2">
        <w:rPr>
          <w:rFonts w:ascii="Arial" w:hAnsi="Arial" w:cs="Arial"/>
          <w:sz w:val="24"/>
          <w:szCs w:val="24"/>
        </w:rPr>
        <w:t>Promote and market the conference.</w:t>
      </w:r>
    </w:p>
    <w:p w14:paraId="3B71876C" w14:textId="77777777" w:rsidR="00B97152" w:rsidRPr="008C71A2" w:rsidRDefault="00B97152" w:rsidP="00805BB3">
      <w:pPr>
        <w:pStyle w:val="ListParagraph"/>
        <w:numPr>
          <w:ilvl w:val="0"/>
          <w:numId w:val="1"/>
        </w:numPr>
        <w:rPr>
          <w:rFonts w:ascii="Arial" w:hAnsi="Arial" w:cs="Arial"/>
          <w:sz w:val="24"/>
          <w:szCs w:val="24"/>
        </w:rPr>
      </w:pPr>
      <w:r w:rsidRPr="008C71A2">
        <w:rPr>
          <w:rFonts w:ascii="Arial" w:hAnsi="Arial" w:cs="Arial"/>
          <w:sz w:val="24"/>
          <w:szCs w:val="24"/>
        </w:rPr>
        <w:t>Manage registration and attendee communication.</w:t>
      </w:r>
    </w:p>
    <w:p w14:paraId="0D651BDF" w14:textId="77777777" w:rsidR="00B97152" w:rsidRPr="008C71A2" w:rsidRDefault="00B97152" w:rsidP="00805BB3">
      <w:pPr>
        <w:pStyle w:val="ListParagraph"/>
        <w:numPr>
          <w:ilvl w:val="0"/>
          <w:numId w:val="1"/>
        </w:numPr>
        <w:rPr>
          <w:rFonts w:ascii="Arial" w:hAnsi="Arial" w:cs="Arial"/>
          <w:sz w:val="24"/>
          <w:szCs w:val="24"/>
        </w:rPr>
      </w:pPr>
      <w:r w:rsidRPr="008C71A2">
        <w:rPr>
          <w:rFonts w:ascii="Arial" w:hAnsi="Arial" w:cs="Arial"/>
          <w:sz w:val="24"/>
          <w:szCs w:val="24"/>
        </w:rPr>
        <w:t>Coordinate speakers and presenters.</w:t>
      </w:r>
    </w:p>
    <w:p w14:paraId="7AEAE11F" w14:textId="77777777" w:rsidR="00B97152" w:rsidRPr="008C71A2" w:rsidRDefault="00B97152" w:rsidP="00805BB3">
      <w:pPr>
        <w:pStyle w:val="ListParagraph"/>
        <w:numPr>
          <w:ilvl w:val="0"/>
          <w:numId w:val="1"/>
        </w:numPr>
        <w:rPr>
          <w:rFonts w:ascii="Arial" w:hAnsi="Arial" w:cs="Arial"/>
          <w:sz w:val="24"/>
          <w:szCs w:val="24"/>
        </w:rPr>
      </w:pPr>
      <w:r w:rsidRPr="008C71A2">
        <w:rPr>
          <w:rFonts w:ascii="Arial" w:hAnsi="Arial" w:cs="Arial"/>
          <w:sz w:val="24"/>
          <w:szCs w:val="24"/>
        </w:rPr>
        <w:t>Manage on-site operations and logistics.</w:t>
      </w:r>
    </w:p>
    <w:p w14:paraId="1FCB5B6C" w14:textId="77777777" w:rsidR="00B97152" w:rsidRPr="008C71A2" w:rsidRDefault="00B97152" w:rsidP="00805BB3">
      <w:pPr>
        <w:pStyle w:val="ListParagraph"/>
        <w:numPr>
          <w:ilvl w:val="0"/>
          <w:numId w:val="1"/>
        </w:numPr>
        <w:rPr>
          <w:rFonts w:ascii="Arial" w:hAnsi="Arial" w:cs="Arial"/>
          <w:sz w:val="24"/>
          <w:szCs w:val="24"/>
        </w:rPr>
      </w:pPr>
      <w:r w:rsidRPr="008C71A2">
        <w:rPr>
          <w:rFonts w:ascii="Arial" w:hAnsi="Arial" w:cs="Arial"/>
          <w:sz w:val="24"/>
          <w:szCs w:val="24"/>
        </w:rPr>
        <w:t>Evaluate and follow-up.</w:t>
      </w:r>
    </w:p>
    <w:p w14:paraId="577F0D22" w14:textId="77777777" w:rsidR="00B97152" w:rsidRPr="008C71A2" w:rsidRDefault="00B97152" w:rsidP="00805BB3">
      <w:pPr>
        <w:rPr>
          <w:rFonts w:ascii="Arial" w:hAnsi="Arial" w:cs="Arial"/>
          <w:sz w:val="24"/>
          <w:szCs w:val="24"/>
        </w:rPr>
      </w:pPr>
    </w:p>
    <w:p w14:paraId="4027B575" w14:textId="77777777" w:rsidR="00B97152" w:rsidRPr="008C71A2" w:rsidRDefault="00B97152" w:rsidP="00805BB3">
      <w:pPr>
        <w:rPr>
          <w:rFonts w:ascii="Arial" w:hAnsi="Arial" w:cs="Arial"/>
          <w:sz w:val="24"/>
          <w:szCs w:val="24"/>
        </w:rPr>
      </w:pPr>
    </w:p>
    <w:p w14:paraId="4E6916C1" w14:textId="77777777" w:rsidR="00B97152" w:rsidRPr="008C71A2" w:rsidRDefault="00B97152" w:rsidP="00805BB3">
      <w:pPr>
        <w:rPr>
          <w:rFonts w:ascii="Arial" w:hAnsi="Arial" w:cs="Arial"/>
          <w:sz w:val="24"/>
          <w:szCs w:val="24"/>
        </w:rPr>
      </w:pPr>
    </w:p>
    <w:p w14:paraId="309ACE5E" w14:textId="77777777" w:rsidR="00B97152" w:rsidRPr="008C71A2" w:rsidRDefault="00B97152" w:rsidP="00805BB3">
      <w:pPr>
        <w:rPr>
          <w:rFonts w:ascii="Arial" w:hAnsi="Arial" w:cs="Arial"/>
          <w:sz w:val="24"/>
          <w:szCs w:val="24"/>
        </w:rPr>
      </w:pPr>
    </w:p>
    <w:p w14:paraId="3DEBC756" w14:textId="77777777" w:rsidR="00B97152" w:rsidRPr="008C71A2" w:rsidRDefault="00B97152" w:rsidP="00805BB3">
      <w:pPr>
        <w:rPr>
          <w:rFonts w:ascii="Arial" w:hAnsi="Arial" w:cs="Arial"/>
          <w:sz w:val="24"/>
          <w:szCs w:val="24"/>
        </w:rPr>
      </w:pPr>
    </w:p>
    <w:p w14:paraId="194B0A42" w14:textId="77777777" w:rsidR="00B97152" w:rsidRPr="008C71A2" w:rsidRDefault="00B97152" w:rsidP="00805BB3">
      <w:pPr>
        <w:rPr>
          <w:rFonts w:ascii="Arial" w:hAnsi="Arial" w:cs="Arial"/>
          <w:sz w:val="24"/>
          <w:szCs w:val="24"/>
        </w:rPr>
      </w:pPr>
    </w:p>
    <w:p w14:paraId="6ED53B8C" w14:textId="77777777" w:rsidR="00B97152" w:rsidRPr="008C71A2" w:rsidRDefault="00B97152" w:rsidP="00805BB3">
      <w:pPr>
        <w:rPr>
          <w:rFonts w:ascii="Arial" w:hAnsi="Arial" w:cs="Arial"/>
          <w:sz w:val="24"/>
          <w:szCs w:val="24"/>
        </w:rPr>
      </w:pPr>
    </w:p>
    <w:p w14:paraId="055A6532" w14:textId="77777777" w:rsidR="00B97152" w:rsidRPr="008C71A2" w:rsidRDefault="00B97152" w:rsidP="00805BB3">
      <w:pPr>
        <w:rPr>
          <w:rFonts w:ascii="Arial" w:hAnsi="Arial" w:cs="Arial"/>
          <w:sz w:val="24"/>
          <w:szCs w:val="24"/>
        </w:rPr>
      </w:pPr>
    </w:p>
    <w:p w14:paraId="77E8E1E3" w14:textId="77777777" w:rsidR="00B97152" w:rsidRPr="008C71A2" w:rsidRDefault="00B97152" w:rsidP="00805BB3">
      <w:pPr>
        <w:rPr>
          <w:rFonts w:ascii="Arial" w:hAnsi="Arial" w:cs="Arial"/>
          <w:sz w:val="24"/>
          <w:szCs w:val="24"/>
        </w:rPr>
      </w:pPr>
    </w:p>
    <w:p w14:paraId="3C2EC08B" w14:textId="77777777" w:rsidR="00B97152" w:rsidRPr="008C71A2" w:rsidRDefault="00B97152" w:rsidP="00805BB3">
      <w:pPr>
        <w:rPr>
          <w:rFonts w:ascii="Arial" w:hAnsi="Arial" w:cs="Arial"/>
          <w:sz w:val="24"/>
          <w:szCs w:val="24"/>
        </w:rPr>
      </w:pPr>
      <w:r w:rsidRPr="008C71A2">
        <w:rPr>
          <w:rFonts w:ascii="Arial" w:hAnsi="Arial" w:cs="Arial"/>
          <w:sz w:val="24"/>
          <w:szCs w:val="24"/>
        </w:rPr>
        <w:lastRenderedPageBreak/>
        <w:t xml:space="preserve">A3- risk assessment </w:t>
      </w:r>
    </w:p>
    <w:p w14:paraId="689D70BB" w14:textId="77777777" w:rsidR="00B97152" w:rsidRPr="008C71A2" w:rsidRDefault="00B97152" w:rsidP="00805BB3">
      <w:pPr>
        <w:rPr>
          <w:rFonts w:ascii="Arial" w:hAnsi="Arial" w:cs="Arial"/>
          <w:sz w:val="24"/>
          <w:szCs w:val="24"/>
        </w:rPr>
      </w:pPr>
      <w:r w:rsidRPr="008C71A2">
        <w:rPr>
          <w:rFonts w:ascii="Arial" w:hAnsi="Arial" w:cs="Arial"/>
          <w:sz w:val="24"/>
          <w:szCs w:val="24"/>
        </w:rPr>
        <w:t xml:space="preserve"> </w:t>
      </w:r>
    </w:p>
    <w:p w14:paraId="425AAEA1" w14:textId="77777777" w:rsidR="00B97152" w:rsidRPr="008C71A2" w:rsidRDefault="00B97152" w:rsidP="00805BB3">
      <w:pPr>
        <w:rPr>
          <w:rFonts w:ascii="Arial" w:hAnsi="Arial" w:cs="Arial"/>
          <w:sz w:val="24"/>
          <w:szCs w:val="24"/>
        </w:rPr>
      </w:pPr>
    </w:p>
    <w:p w14:paraId="4AC425E0" w14:textId="77777777" w:rsidR="001A7060" w:rsidRPr="001A7060" w:rsidRDefault="001A7060" w:rsidP="001A7060">
      <w:pPr>
        <w:pStyle w:val="p1"/>
        <w:spacing w:before="240" w:line="360" w:lineRule="auto"/>
        <w:jc w:val="both"/>
        <w:divId w:val="1832259846"/>
        <w:rPr>
          <w:rFonts w:ascii="Arial" w:hAnsi="Arial" w:cs="Arial"/>
          <w:sz w:val="24"/>
          <w:szCs w:val="24"/>
        </w:rPr>
      </w:pPr>
    </w:p>
    <w:tbl>
      <w:tblPr>
        <w:tblpPr w:leftFromText="180" w:rightFromText="180" w:vertAnchor="page" w:horzAnchor="margin" w:tblpY="2817"/>
        <w:tblW w:w="0" w:type="auto"/>
        <w:tblLook w:val="04A0" w:firstRow="1" w:lastRow="0" w:firstColumn="1" w:lastColumn="0" w:noHBand="0" w:noVBand="1"/>
      </w:tblPr>
      <w:tblGrid>
        <w:gridCol w:w="1327"/>
        <w:gridCol w:w="1683"/>
        <w:gridCol w:w="4234"/>
        <w:gridCol w:w="1772"/>
      </w:tblGrid>
      <w:tr w:rsidR="00251409" w:rsidRPr="001C5C52" w14:paraId="4BA3282F" w14:textId="77777777" w:rsidTr="00251409">
        <w:trPr>
          <w:trHeight w:val="300"/>
          <w:tblHeader/>
        </w:trPr>
        <w:tc>
          <w:tcPr>
            <w:tcW w:w="0" w:type="auto"/>
            <w:tcBorders>
              <w:top w:val="single" w:sz="4" w:space="0" w:color="auto"/>
              <w:left w:val="single" w:sz="4" w:space="0" w:color="auto"/>
              <w:bottom w:val="single" w:sz="4" w:space="0" w:color="auto"/>
              <w:right w:val="nil"/>
            </w:tcBorders>
            <w:shd w:val="clear" w:color="000000" w:fill="D9D9D9"/>
            <w:noWrap/>
            <w:vAlign w:val="center"/>
            <w:hideMark/>
          </w:tcPr>
          <w:p w14:paraId="0136D302" w14:textId="77777777" w:rsidR="00251409" w:rsidRPr="001C5C52" w:rsidRDefault="00251409" w:rsidP="00251409">
            <w:pPr>
              <w:jc w:val="center"/>
              <w:rPr>
                <w:rFonts w:ascii="Arial" w:eastAsiaTheme="majorEastAsia" w:hAnsi="Arial" w:cs="Arial"/>
                <w:b/>
                <w:bCs/>
                <w:color w:val="2F5496" w:themeColor="accent1" w:themeShade="BF"/>
                <w:kern w:val="0"/>
                <w:sz w:val="20"/>
                <w:szCs w:val="20"/>
                <w:lang w:eastAsia="en-US"/>
                <w14:ligatures w14:val="none"/>
              </w:rPr>
            </w:pPr>
            <w:r w:rsidRPr="001C5C52">
              <w:rPr>
                <w:rFonts w:ascii="Arial" w:eastAsiaTheme="majorEastAsia" w:hAnsi="Arial" w:cs="Arial"/>
                <w:b/>
                <w:bCs/>
                <w:color w:val="2F5496" w:themeColor="accent1" w:themeShade="BF"/>
                <w:kern w:val="0"/>
                <w:sz w:val="20"/>
                <w:szCs w:val="20"/>
                <w:lang w:eastAsia="en-US"/>
                <w14:ligatures w14:val="none"/>
              </w:rPr>
              <w:t>HAZARD</w:t>
            </w:r>
          </w:p>
        </w:tc>
        <w:tc>
          <w:tcPr>
            <w:tcW w:w="0" w:type="auto"/>
            <w:tcBorders>
              <w:top w:val="single" w:sz="4" w:space="0" w:color="auto"/>
              <w:left w:val="single" w:sz="4" w:space="0" w:color="auto"/>
              <w:bottom w:val="single" w:sz="4" w:space="0" w:color="auto"/>
              <w:right w:val="single" w:sz="4" w:space="0" w:color="000000"/>
            </w:tcBorders>
            <w:shd w:val="clear" w:color="000000" w:fill="D9D9D9"/>
            <w:noWrap/>
            <w:vAlign w:val="center"/>
            <w:hideMark/>
          </w:tcPr>
          <w:p w14:paraId="2F49A58E" w14:textId="77777777" w:rsidR="00251409" w:rsidRPr="001C5C52" w:rsidRDefault="00251409" w:rsidP="00251409">
            <w:pPr>
              <w:jc w:val="center"/>
              <w:rPr>
                <w:rFonts w:ascii="Arial" w:eastAsiaTheme="majorEastAsia" w:hAnsi="Arial" w:cs="Arial"/>
                <w:b/>
                <w:bCs/>
                <w:color w:val="2F5496" w:themeColor="accent1" w:themeShade="BF"/>
                <w:kern w:val="0"/>
                <w:sz w:val="20"/>
                <w:szCs w:val="20"/>
                <w:lang w:eastAsia="en-US"/>
                <w14:ligatures w14:val="none"/>
              </w:rPr>
            </w:pPr>
            <w:r w:rsidRPr="001C5C52">
              <w:rPr>
                <w:rFonts w:ascii="Arial" w:eastAsiaTheme="majorEastAsia" w:hAnsi="Arial" w:cs="Arial"/>
                <w:b/>
                <w:bCs/>
                <w:color w:val="2F5496" w:themeColor="accent1" w:themeShade="BF"/>
                <w:kern w:val="0"/>
                <w:sz w:val="20"/>
                <w:szCs w:val="20"/>
                <w:lang w:eastAsia="en-US"/>
                <w14:ligatures w14:val="none"/>
              </w:rPr>
              <w:t xml:space="preserve">PRE-CONTROL </w:t>
            </w:r>
          </w:p>
          <w:p w14:paraId="37610A69" w14:textId="77777777" w:rsidR="00251409" w:rsidRPr="001C5C52" w:rsidRDefault="00251409" w:rsidP="00251409">
            <w:pPr>
              <w:jc w:val="center"/>
              <w:rPr>
                <w:rFonts w:ascii="Arial" w:eastAsiaTheme="majorEastAsia" w:hAnsi="Arial" w:cs="Arial"/>
                <w:b/>
                <w:bCs/>
                <w:color w:val="2F5496" w:themeColor="accent1" w:themeShade="BF"/>
                <w:kern w:val="0"/>
                <w:sz w:val="20"/>
                <w:szCs w:val="20"/>
                <w:lang w:eastAsia="en-US"/>
                <w14:ligatures w14:val="none"/>
              </w:rPr>
            </w:pPr>
            <w:r w:rsidRPr="001C5C52">
              <w:rPr>
                <w:rFonts w:ascii="Arial" w:eastAsiaTheme="majorEastAsia" w:hAnsi="Arial" w:cs="Arial"/>
                <w:b/>
                <w:bCs/>
                <w:color w:val="2F5496" w:themeColor="accent1" w:themeShade="BF"/>
                <w:kern w:val="0"/>
                <w:sz w:val="20"/>
                <w:szCs w:val="20"/>
                <w:lang w:eastAsia="en-US"/>
                <w14:ligatures w14:val="none"/>
              </w:rPr>
              <w:t>RISK</w:t>
            </w:r>
          </w:p>
        </w:tc>
        <w:tc>
          <w:tcPr>
            <w:tcW w:w="0" w:type="auto"/>
            <w:tcBorders>
              <w:top w:val="single" w:sz="4" w:space="0" w:color="auto"/>
              <w:left w:val="nil"/>
              <w:bottom w:val="single" w:sz="4" w:space="0" w:color="auto"/>
              <w:right w:val="single" w:sz="4" w:space="0" w:color="auto"/>
            </w:tcBorders>
            <w:shd w:val="clear" w:color="000000" w:fill="D9D9D9"/>
            <w:vAlign w:val="center"/>
            <w:hideMark/>
          </w:tcPr>
          <w:p w14:paraId="20D92A9C" w14:textId="77777777" w:rsidR="00251409" w:rsidRPr="001C5C52" w:rsidRDefault="00251409" w:rsidP="00251409">
            <w:pPr>
              <w:jc w:val="center"/>
              <w:rPr>
                <w:rFonts w:ascii="Arial" w:eastAsiaTheme="majorEastAsia" w:hAnsi="Arial" w:cs="Arial"/>
                <w:b/>
                <w:bCs/>
                <w:color w:val="2F5496" w:themeColor="accent1" w:themeShade="BF"/>
                <w:kern w:val="0"/>
                <w:sz w:val="20"/>
                <w:szCs w:val="20"/>
                <w:lang w:eastAsia="en-US"/>
                <w14:ligatures w14:val="none"/>
              </w:rPr>
            </w:pPr>
            <w:r w:rsidRPr="001C5C52">
              <w:rPr>
                <w:rFonts w:ascii="Arial" w:eastAsiaTheme="majorEastAsia" w:hAnsi="Arial" w:cs="Arial"/>
                <w:b/>
                <w:bCs/>
                <w:color w:val="2F5496" w:themeColor="accent1" w:themeShade="BF"/>
                <w:kern w:val="0"/>
                <w:sz w:val="20"/>
                <w:szCs w:val="20"/>
                <w:lang w:eastAsia="en-US"/>
                <w14:ligatures w14:val="none"/>
              </w:rPr>
              <w:t>CONTROLS</w:t>
            </w:r>
          </w:p>
        </w:tc>
        <w:tc>
          <w:tcPr>
            <w:tcW w:w="0" w:type="auto"/>
            <w:tcBorders>
              <w:top w:val="single" w:sz="4" w:space="0" w:color="auto"/>
              <w:left w:val="nil"/>
              <w:bottom w:val="single" w:sz="4" w:space="0" w:color="auto"/>
              <w:right w:val="single" w:sz="4" w:space="0" w:color="auto"/>
            </w:tcBorders>
            <w:shd w:val="clear" w:color="000000" w:fill="D9D9D9"/>
            <w:noWrap/>
            <w:vAlign w:val="center"/>
            <w:hideMark/>
          </w:tcPr>
          <w:p w14:paraId="46447757" w14:textId="77777777" w:rsidR="00251409" w:rsidRPr="001C5C52" w:rsidRDefault="00251409" w:rsidP="00251409">
            <w:pPr>
              <w:jc w:val="center"/>
              <w:rPr>
                <w:rFonts w:ascii="Arial" w:eastAsiaTheme="majorEastAsia" w:hAnsi="Arial" w:cs="Arial"/>
                <w:b/>
                <w:bCs/>
                <w:color w:val="2F5496" w:themeColor="accent1" w:themeShade="BF"/>
                <w:kern w:val="0"/>
                <w:sz w:val="20"/>
                <w:szCs w:val="20"/>
                <w:lang w:eastAsia="en-US"/>
                <w14:ligatures w14:val="none"/>
              </w:rPr>
            </w:pPr>
            <w:r w:rsidRPr="001C5C52">
              <w:rPr>
                <w:rFonts w:ascii="Arial" w:eastAsiaTheme="majorEastAsia" w:hAnsi="Arial" w:cs="Arial"/>
                <w:b/>
                <w:bCs/>
                <w:color w:val="2F5496" w:themeColor="accent1" w:themeShade="BF"/>
                <w:kern w:val="0"/>
                <w:sz w:val="20"/>
                <w:szCs w:val="20"/>
                <w:lang w:eastAsia="en-US"/>
                <w14:ligatures w14:val="none"/>
              </w:rPr>
              <w:t>RESIDUAL RISK</w:t>
            </w:r>
          </w:p>
        </w:tc>
      </w:tr>
      <w:tr w:rsidR="00251409" w:rsidRPr="001C5C52" w14:paraId="5ECBFD6A" w14:textId="77777777" w:rsidTr="00251409">
        <w:trPr>
          <w:cantSplit/>
          <w:trHeight w:val="567"/>
        </w:trPr>
        <w:tc>
          <w:tcPr>
            <w:tcW w:w="0" w:type="auto"/>
            <w:tcBorders>
              <w:top w:val="single" w:sz="4" w:space="0" w:color="auto"/>
              <w:left w:val="single" w:sz="4" w:space="0" w:color="auto"/>
              <w:bottom w:val="single" w:sz="4" w:space="0" w:color="auto"/>
              <w:right w:val="single" w:sz="4" w:space="0" w:color="auto"/>
            </w:tcBorders>
            <w:shd w:val="clear" w:color="auto" w:fill="auto"/>
            <w:vAlign w:val="center"/>
          </w:tcPr>
          <w:p w14:paraId="4D497C46" w14:textId="77777777" w:rsidR="00251409" w:rsidRPr="001C5C52" w:rsidRDefault="00251409" w:rsidP="00251409">
            <w:pPr>
              <w:spacing w:before="240" w:after="160"/>
              <w:jc w:val="center"/>
              <w:rPr>
                <w:rFonts w:ascii="Arial" w:eastAsia="Times New Roman" w:hAnsi="Arial" w:cs="Arial"/>
                <w:kern w:val="0"/>
                <w:sz w:val="20"/>
                <w:szCs w:val="20"/>
                <w:lang w:eastAsia="zh-CN"/>
                <w14:ligatures w14:val="none"/>
              </w:rPr>
            </w:pPr>
            <w:r w:rsidRPr="001C5C52">
              <w:rPr>
                <w:rFonts w:ascii="Arial" w:eastAsia="Times New Roman" w:hAnsi="Arial" w:cs="Arial"/>
                <w:b/>
                <w:bCs/>
                <w:kern w:val="0"/>
                <w:sz w:val="20"/>
                <w:szCs w:val="20"/>
                <w:lang w:eastAsia="zh-CN"/>
                <w14:ligatures w14:val="none"/>
              </w:rPr>
              <w:t>Slips, Trips, Falls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center"/>
          </w:tcPr>
          <w:p w14:paraId="1731642C" w14:textId="77777777" w:rsidR="00251409" w:rsidRPr="001C5C52" w:rsidRDefault="00251409" w:rsidP="00251409">
            <w:pPr>
              <w:spacing w:before="240" w:after="160"/>
              <w:jc w:val="center"/>
              <w:rPr>
                <w:rFonts w:ascii="Arial" w:eastAsia="Times New Roman" w:hAnsi="Arial" w:cs="Arial"/>
                <w:b/>
                <w:bCs/>
                <w:kern w:val="0"/>
                <w:sz w:val="20"/>
                <w:szCs w:val="20"/>
                <w:lang w:eastAsia="zh-CN"/>
                <w14:ligatures w14:val="none"/>
              </w:rPr>
            </w:pPr>
            <w:r w:rsidRPr="001C5C52">
              <w:rPr>
                <w:rFonts w:ascii="Arial" w:eastAsia="Times New Roman" w:hAnsi="Arial" w:cs="Arial"/>
                <w:b/>
                <w:bCs/>
                <w:kern w:val="0"/>
                <w:sz w:val="20"/>
                <w:szCs w:val="20"/>
                <w:lang w:eastAsia="zh-CN"/>
                <w14:ligatures w14:val="none"/>
              </w:rPr>
              <w:t>Moderate</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tcPr>
          <w:p w14:paraId="5CDC9E2F" w14:textId="77777777" w:rsidR="00251409" w:rsidRPr="001C5C52" w:rsidRDefault="00251409" w:rsidP="00251409">
            <w:pPr>
              <w:numPr>
                <w:ilvl w:val="0"/>
                <w:numId w:val="2"/>
              </w:numPr>
              <w:spacing w:before="120" w:after="120"/>
              <w:contextualSpacing/>
              <w:rPr>
                <w:rFonts w:ascii="Arial" w:eastAsiaTheme="minorHAnsi" w:hAnsi="Arial" w:cs="Arial"/>
                <w:kern w:val="0"/>
                <w:sz w:val="20"/>
                <w:szCs w:val="20"/>
                <w:lang w:eastAsia="en-US"/>
                <w14:ligatures w14:val="none"/>
              </w:rPr>
            </w:pPr>
            <w:r w:rsidRPr="001C5C52">
              <w:rPr>
                <w:rFonts w:ascii="Arial" w:eastAsiaTheme="minorHAnsi" w:hAnsi="Arial" w:cs="Arial"/>
                <w:kern w:val="0"/>
                <w:sz w:val="20"/>
                <w:szCs w:val="20"/>
                <w:lang w:eastAsia="en-US"/>
                <w14:ligatures w14:val="none"/>
              </w:rPr>
              <w:t>Floor signage will be in use e.g when wet or cleaning in progress</w:t>
            </w:r>
          </w:p>
          <w:p w14:paraId="16AD65BE" w14:textId="77777777" w:rsidR="00251409" w:rsidRPr="001C5C52" w:rsidRDefault="00251409" w:rsidP="00251409">
            <w:pPr>
              <w:numPr>
                <w:ilvl w:val="0"/>
                <w:numId w:val="2"/>
              </w:numPr>
              <w:spacing w:before="120" w:after="120"/>
              <w:contextualSpacing/>
              <w:rPr>
                <w:rFonts w:ascii="Arial" w:eastAsiaTheme="minorHAnsi" w:hAnsi="Arial" w:cs="Arial"/>
                <w:kern w:val="0"/>
                <w:sz w:val="20"/>
                <w:szCs w:val="20"/>
                <w:lang w:eastAsia="en-US"/>
                <w14:ligatures w14:val="none"/>
              </w:rPr>
            </w:pPr>
            <w:r w:rsidRPr="001C5C52">
              <w:rPr>
                <w:rFonts w:ascii="Arial" w:eastAsiaTheme="minorHAnsi" w:hAnsi="Arial" w:cs="Arial"/>
                <w:kern w:val="0"/>
                <w:sz w:val="20"/>
                <w:szCs w:val="20"/>
                <w:lang w:eastAsia="en-US"/>
                <w14:ligatures w14:val="none"/>
              </w:rPr>
              <w:t xml:space="preserve">Spillages cleaned up immediately </w:t>
            </w:r>
          </w:p>
          <w:p w14:paraId="1524D662" w14:textId="77777777" w:rsidR="00251409" w:rsidRPr="001C5C52" w:rsidRDefault="00251409" w:rsidP="00251409">
            <w:pPr>
              <w:numPr>
                <w:ilvl w:val="0"/>
                <w:numId w:val="2"/>
              </w:numPr>
              <w:spacing w:before="120" w:after="120"/>
              <w:contextualSpacing/>
              <w:rPr>
                <w:rFonts w:ascii="Arial" w:eastAsiaTheme="minorHAnsi" w:hAnsi="Arial" w:cs="Arial"/>
                <w:kern w:val="0"/>
                <w:sz w:val="20"/>
                <w:szCs w:val="20"/>
                <w:lang w:eastAsia="en-US"/>
                <w14:ligatures w14:val="none"/>
              </w:rPr>
            </w:pPr>
            <w:r w:rsidRPr="001C5C52">
              <w:rPr>
                <w:rFonts w:ascii="Arial" w:eastAsiaTheme="minorHAnsi" w:hAnsi="Arial" w:cs="Arial"/>
                <w:kern w:val="0"/>
                <w:sz w:val="20"/>
                <w:szCs w:val="20"/>
                <w:lang w:eastAsia="en-US"/>
                <w14:ligatures w14:val="none"/>
              </w:rPr>
              <w:t xml:space="preserve">Wires and Cables will not obstruct walkways or exits, any cables needs will be secured to the ground and signed </w:t>
            </w:r>
          </w:p>
          <w:p w14:paraId="41413575" w14:textId="77777777" w:rsidR="00251409" w:rsidRPr="001C5C52" w:rsidRDefault="00251409" w:rsidP="00251409">
            <w:pPr>
              <w:numPr>
                <w:ilvl w:val="0"/>
                <w:numId w:val="2"/>
              </w:numPr>
              <w:spacing w:before="120" w:after="120"/>
              <w:contextualSpacing/>
              <w:rPr>
                <w:rFonts w:ascii="Arial" w:eastAsiaTheme="minorHAnsi" w:hAnsi="Arial" w:cs="Arial"/>
                <w:kern w:val="0"/>
                <w:sz w:val="20"/>
                <w:szCs w:val="20"/>
                <w:lang w:eastAsia="en-US"/>
                <w14:ligatures w14:val="none"/>
              </w:rPr>
            </w:pPr>
            <w:r w:rsidRPr="001C5C52">
              <w:rPr>
                <w:rFonts w:ascii="Arial" w:eastAsiaTheme="minorHAnsi" w:hAnsi="Arial" w:cs="Arial"/>
                <w:kern w:val="0"/>
                <w:sz w:val="20"/>
                <w:szCs w:val="20"/>
                <w:lang w:eastAsia="en-US"/>
                <w14:ligatures w14:val="none"/>
              </w:rPr>
              <w:t>Any items not being used will be stored away</w:t>
            </w:r>
          </w:p>
          <w:p w14:paraId="7DACAAC2" w14:textId="77777777" w:rsidR="00251409" w:rsidRPr="001C5C52" w:rsidRDefault="00251409" w:rsidP="00251409">
            <w:pPr>
              <w:numPr>
                <w:ilvl w:val="0"/>
                <w:numId w:val="2"/>
              </w:numPr>
              <w:spacing w:before="120" w:after="120"/>
              <w:contextualSpacing/>
              <w:rPr>
                <w:rFonts w:ascii="Arial" w:eastAsiaTheme="minorHAnsi" w:hAnsi="Arial" w:cs="Arial"/>
                <w:kern w:val="0"/>
                <w:sz w:val="20"/>
                <w:szCs w:val="20"/>
                <w:lang w:eastAsia="en-US"/>
                <w14:ligatures w14:val="none"/>
              </w:rPr>
            </w:pPr>
            <w:r w:rsidRPr="001C5C52">
              <w:rPr>
                <w:rFonts w:ascii="Arial" w:eastAsiaTheme="minorHAnsi" w:hAnsi="Arial" w:cs="Arial"/>
                <w:kern w:val="0"/>
                <w:sz w:val="20"/>
                <w:szCs w:val="20"/>
                <w:lang w:eastAsia="en-US"/>
                <w14:ligatures w14:val="none"/>
              </w:rPr>
              <w:t xml:space="preserve">Lighting issues will be reported to Swansea Arena </w:t>
            </w:r>
          </w:p>
          <w:p w14:paraId="641FCBD6" w14:textId="77777777" w:rsidR="00251409" w:rsidRPr="001C5C52" w:rsidRDefault="00251409" w:rsidP="00251409">
            <w:pPr>
              <w:numPr>
                <w:ilvl w:val="0"/>
                <w:numId w:val="2"/>
              </w:numPr>
              <w:spacing w:before="120" w:after="120"/>
              <w:contextualSpacing/>
              <w:rPr>
                <w:rFonts w:ascii="Arial" w:eastAsia="Times New Roman" w:hAnsi="Arial" w:cs="Arial"/>
                <w:b/>
                <w:bCs/>
                <w:kern w:val="0"/>
                <w:sz w:val="20"/>
                <w:szCs w:val="20"/>
                <w:lang w:eastAsia="zh-CN"/>
                <w14:ligatures w14:val="none"/>
              </w:rPr>
            </w:pPr>
            <w:r w:rsidRPr="001C5C52">
              <w:rPr>
                <w:rFonts w:ascii="Arial" w:eastAsiaTheme="minorHAnsi" w:hAnsi="Arial" w:cs="Arial"/>
                <w:kern w:val="0"/>
                <w:sz w:val="20"/>
                <w:szCs w:val="20"/>
                <w:lang w:eastAsia="en-US"/>
                <w14:ligatures w14:val="none"/>
              </w:rPr>
              <w:t xml:space="preserve">Regular Rubbish removal </w:t>
            </w:r>
          </w:p>
          <w:p w14:paraId="32DBB838" w14:textId="77777777" w:rsidR="00251409" w:rsidRPr="001C5C52" w:rsidRDefault="00251409" w:rsidP="00251409">
            <w:pPr>
              <w:numPr>
                <w:ilvl w:val="0"/>
                <w:numId w:val="2"/>
              </w:numPr>
              <w:spacing w:before="120" w:after="120"/>
              <w:contextualSpacing/>
              <w:rPr>
                <w:rFonts w:ascii="Arial" w:eastAsia="Times New Roman" w:hAnsi="Arial" w:cs="Arial"/>
                <w:b/>
                <w:bCs/>
                <w:kern w:val="0"/>
                <w:sz w:val="20"/>
                <w:szCs w:val="20"/>
                <w:lang w:eastAsia="zh-CN"/>
                <w14:ligatures w14:val="none"/>
              </w:rPr>
            </w:pPr>
            <w:r w:rsidRPr="001C5C52">
              <w:rPr>
                <w:rFonts w:ascii="Arial" w:eastAsiaTheme="minorHAnsi" w:hAnsi="Arial" w:cs="Arial"/>
                <w:kern w:val="0"/>
                <w:sz w:val="20"/>
                <w:szCs w:val="20"/>
                <w:lang w:eastAsia="en-US"/>
                <w14:ligatures w14:val="none"/>
              </w:rPr>
              <w:t xml:space="preserve">No attendees to go on the stage </w:t>
            </w:r>
          </w:p>
          <w:p w14:paraId="32371044" w14:textId="77777777" w:rsidR="00251409" w:rsidRPr="001C5C52" w:rsidRDefault="00251409" w:rsidP="00251409">
            <w:pPr>
              <w:numPr>
                <w:ilvl w:val="0"/>
                <w:numId w:val="2"/>
              </w:numPr>
              <w:spacing w:before="120" w:after="120"/>
              <w:contextualSpacing/>
              <w:rPr>
                <w:rFonts w:ascii="Arial" w:eastAsia="Times New Roman" w:hAnsi="Arial" w:cs="Arial"/>
                <w:b/>
                <w:bCs/>
                <w:kern w:val="0"/>
                <w:sz w:val="20"/>
                <w:szCs w:val="20"/>
                <w:lang w:eastAsia="zh-CN"/>
                <w14:ligatures w14:val="none"/>
              </w:rPr>
            </w:pPr>
            <w:r w:rsidRPr="001C5C52">
              <w:rPr>
                <w:rFonts w:ascii="Arial" w:eastAsiaTheme="minorHAnsi" w:hAnsi="Arial" w:cs="Arial"/>
                <w:kern w:val="0"/>
                <w:sz w:val="20"/>
                <w:szCs w:val="20"/>
                <w:lang w:eastAsia="en-US"/>
                <w14:ligatures w14:val="none"/>
              </w:rPr>
              <w:t xml:space="preserve">Stage approved by Swansea Arena </w:t>
            </w:r>
          </w:p>
        </w:tc>
        <w:tc>
          <w:tcPr>
            <w:tcW w:w="0" w:type="auto"/>
            <w:tcBorders>
              <w:top w:val="single" w:sz="4" w:space="0" w:color="auto"/>
              <w:left w:val="single" w:sz="4" w:space="0" w:color="auto"/>
              <w:bottom w:val="single" w:sz="4" w:space="0" w:color="auto"/>
              <w:right w:val="single" w:sz="4" w:space="0" w:color="auto"/>
            </w:tcBorders>
            <w:shd w:val="clear" w:color="000000" w:fill="00B050"/>
            <w:noWrap/>
            <w:vAlign w:val="center"/>
          </w:tcPr>
          <w:p w14:paraId="0577C4F7" w14:textId="77777777" w:rsidR="00251409" w:rsidRPr="001C5C52" w:rsidRDefault="00251409" w:rsidP="00251409">
            <w:pPr>
              <w:spacing w:before="240" w:after="160"/>
              <w:jc w:val="center"/>
              <w:rPr>
                <w:rFonts w:ascii="Arial" w:eastAsia="Times New Roman" w:hAnsi="Arial" w:cs="Arial"/>
                <w:b/>
                <w:bCs/>
                <w:color w:val="000000"/>
                <w:kern w:val="0"/>
                <w:sz w:val="20"/>
                <w:szCs w:val="20"/>
                <w:lang w:eastAsia="zh-CN"/>
                <w14:ligatures w14:val="none"/>
              </w:rPr>
            </w:pPr>
            <w:r w:rsidRPr="001C5C52">
              <w:rPr>
                <w:rFonts w:ascii="Arial" w:eastAsia="Times New Roman" w:hAnsi="Arial" w:cs="Arial"/>
                <w:b/>
                <w:bCs/>
                <w:color w:val="000000"/>
                <w:kern w:val="0"/>
                <w:sz w:val="20"/>
                <w:szCs w:val="20"/>
                <w:lang w:eastAsia="zh-CN"/>
                <w14:ligatures w14:val="none"/>
              </w:rPr>
              <w:t>Low</w:t>
            </w:r>
          </w:p>
        </w:tc>
      </w:tr>
      <w:tr w:rsidR="00251409" w:rsidRPr="001C5C52" w14:paraId="5C9167AC" w14:textId="77777777" w:rsidTr="00251409">
        <w:trPr>
          <w:cantSplit/>
          <w:trHeight w:val="567"/>
        </w:trPr>
        <w:tc>
          <w:tcPr>
            <w:tcW w:w="0" w:type="auto"/>
            <w:tcBorders>
              <w:top w:val="single" w:sz="4" w:space="0" w:color="auto"/>
              <w:left w:val="single" w:sz="4" w:space="0" w:color="auto"/>
              <w:bottom w:val="single" w:sz="4" w:space="0" w:color="auto"/>
              <w:right w:val="single" w:sz="4" w:space="0" w:color="auto"/>
            </w:tcBorders>
            <w:shd w:val="clear" w:color="auto" w:fill="auto"/>
            <w:vAlign w:val="center"/>
          </w:tcPr>
          <w:p w14:paraId="52C5A280" w14:textId="77777777" w:rsidR="00251409" w:rsidRPr="001C5C52" w:rsidRDefault="00251409" w:rsidP="00251409">
            <w:pPr>
              <w:spacing w:before="240" w:after="160"/>
              <w:jc w:val="center"/>
              <w:rPr>
                <w:rFonts w:ascii="Arial" w:eastAsia="Times New Roman" w:hAnsi="Arial" w:cs="Arial"/>
                <w:b/>
                <w:bCs/>
                <w:kern w:val="0"/>
                <w:sz w:val="20"/>
                <w:szCs w:val="20"/>
                <w:lang w:eastAsia="zh-CN"/>
                <w14:ligatures w14:val="none"/>
              </w:rPr>
            </w:pPr>
            <w:r w:rsidRPr="001C5C52">
              <w:rPr>
                <w:rFonts w:ascii="Arial" w:eastAsia="Times New Roman" w:hAnsi="Arial" w:cs="Arial"/>
                <w:b/>
                <w:bCs/>
                <w:kern w:val="0"/>
                <w:sz w:val="20"/>
                <w:szCs w:val="20"/>
                <w:lang w:eastAsia="zh-CN"/>
                <w14:ligatures w14:val="none"/>
              </w:rPr>
              <w:t xml:space="preserve">Fire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center"/>
          </w:tcPr>
          <w:p w14:paraId="02F7DDEC" w14:textId="77777777" w:rsidR="00251409" w:rsidRPr="001C5C52" w:rsidRDefault="00251409" w:rsidP="00251409">
            <w:pPr>
              <w:spacing w:before="240" w:after="160"/>
              <w:jc w:val="center"/>
              <w:rPr>
                <w:rFonts w:ascii="Arial" w:eastAsia="Times New Roman" w:hAnsi="Arial" w:cs="Arial"/>
                <w:b/>
                <w:bCs/>
                <w:kern w:val="0"/>
                <w:sz w:val="20"/>
                <w:szCs w:val="20"/>
                <w:lang w:eastAsia="zh-CN"/>
                <w14:ligatures w14:val="none"/>
              </w:rPr>
            </w:pPr>
            <w:r w:rsidRPr="001C5C52">
              <w:rPr>
                <w:rFonts w:ascii="Arial" w:eastAsia="Times New Roman" w:hAnsi="Arial" w:cs="Arial"/>
                <w:b/>
                <w:bCs/>
                <w:kern w:val="0"/>
                <w:sz w:val="20"/>
                <w:szCs w:val="20"/>
                <w:lang w:eastAsia="zh-CN"/>
                <w14:ligatures w14:val="none"/>
              </w:rPr>
              <w:t>High</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tcPr>
          <w:p w14:paraId="7A095CE8" w14:textId="77777777" w:rsidR="00251409" w:rsidRPr="001C5C52" w:rsidRDefault="00251409" w:rsidP="00251409">
            <w:pPr>
              <w:numPr>
                <w:ilvl w:val="0"/>
                <w:numId w:val="2"/>
              </w:numPr>
              <w:spacing w:before="120" w:after="120"/>
              <w:contextualSpacing/>
              <w:rPr>
                <w:rFonts w:ascii="Arial" w:eastAsia="Times New Roman" w:hAnsi="Arial" w:cs="Arial"/>
                <w:kern w:val="0"/>
                <w:sz w:val="20"/>
                <w:szCs w:val="20"/>
                <w:lang w:eastAsia="zh-CN"/>
                <w14:ligatures w14:val="none"/>
              </w:rPr>
            </w:pPr>
            <w:r w:rsidRPr="001C5C52">
              <w:rPr>
                <w:rFonts w:ascii="Arial" w:eastAsia="Times New Roman" w:hAnsi="Arial" w:cs="Arial"/>
                <w:kern w:val="0"/>
                <w:sz w:val="20"/>
                <w:szCs w:val="20"/>
                <w:lang w:eastAsia="zh-CN"/>
                <w14:ligatures w14:val="none"/>
              </w:rPr>
              <w:t xml:space="preserve">All aisle kept clear </w:t>
            </w:r>
          </w:p>
          <w:p w14:paraId="543E16A2" w14:textId="77777777" w:rsidR="00251409" w:rsidRPr="001C5C52" w:rsidRDefault="00251409" w:rsidP="00251409">
            <w:pPr>
              <w:numPr>
                <w:ilvl w:val="0"/>
                <w:numId w:val="2"/>
              </w:numPr>
              <w:spacing w:before="120" w:after="120"/>
              <w:contextualSpacing/>
              <w:rPr>
                <w:rFonts w:ascii="Arial" w:eastAsia="Times New Roman" w:hAnsi="Arial" w:cs="Arial"/>
                <w:kern w:val="0"/>
                <w:sz w:val="20"/>
                <w:szCs w:val="20"/>
                <w:lang w:eastAsia="zh-CN"/>
                <w14:ligatures w14:val="none"/>
              </w:rPr>
            </w:pPr>
            <w:r w:rsidRPr="001C5C52">
              <w:rPr>
                <w:rFonts w:ascii="Arial" w:eastAsia="Times New Roman" w:hAnsi="Arial" w:cs="Arial"/>
                <w:kern w:val="0"/>
                <w:sz w:val="20"/>
                <w:szCs w:val="20"/>
                <w:lang w:eastAsia="zh-CN"/>
                <w14:ligatures w14:val="none"/>
              </w:rPr>
              <w:t>All aisle have a distance of 3m walkway</w:t>
            </w:r>
          </w:p>
          <w:p w14:paraId="6CF73A43" w14:textId="77777777" w:rsidR="00251409" w:rsidRPr="001C5C52" w:rsidRDefault="00251409" w:rsidP="00251409">
            <w:pPr>
              <w:numPr>
                <w:ilvl w:val="0"/>
                <w:numId w:val="2"/>
              </w:numPr>
              <w:spacing w:before="120" w:after="120"/>
              <w:contextualSpacing/>
              <w:rPr>
                <w:rFonts w:ascii="Arial" w:eastAsia="Times New Roman" w:hAnsi="Arial" w:cs="Arial"/>
                <w:kern w:val="0"/>
                <w:sz w:val="20"/>
                <w:szCs w:val="20"/>
                <w:lang w:eastAsia="zh-CN"/>
                <w14:ligatures w14:val="none"/>
              </w:rPr>
            </w:pPr>
            <w:r w:rsidRPr="001C5C52">
              <w:rPr>
                <w:rFonts w:ascii="Arial" w:eastAsia="Times New Roman" w:hAnsi="Arial" w:cs="Arial"/>
                <w:kern w:val="0"/>
                <w:sz w:val="20"/>
                <w:szCs w:val="20"/>
                <w:lang w:eastAsia="zh-CN"/>
                <w14:ligatures w14:val="none"/>
              </w:rPr>
              <w:t>All speakers and attendees informed of evacuation procedure with meeting point by golden gate</w:t>
            </w:r>
          </w:p>
          <w:p w14:paraId="63830E61" w14:textId="77777777" w:rsidR="00251409" w:rsidRPr="001C5C52" w:rsidRDefault="00251409" w:rsidP="00251409">
            <w:pPr>
              <w:numPr>
                <w:ilvl w:val="0"/>
                <w:numId w:val="2"/>
              </w:numPr>
              <w:spacing w:before="120" w:after="120"/>
              <w:contextualSpacing/>
              <w:jc w:val="both"/>
              <w:rPr>
                <w:rFonts w:ascii="Arial" w:eastAsia="Times New Roman" w:hAnsi="Arial" w:cs="Arial"/>
                <w:kern w:val="0"/>
                <w:sz w:val="20"/>
                <w:szCs w:val="20"/>
                <w:lang w:eastAsia="zh-CN"/>
                <w14:ligatures w14:val="none"/>
              </w:rPr>
            </w:pPr>
            <w:r w:rsidRPr="001C5C52">
              <w:rPr>
                <w:rFonts w:ascii="Arial" w:eastAsia="Times New Roman" w:hAnsi="Arial" w:cs="Arial"/>
                <w:kern w:val="0"/>
                <w:sz w:val="20"/>
                <w:szCs w:val="20"/>
                <w:lang w:eastAsia="zh-CN"/>
                <w14:ligatures w14:val="none"/>
              </w:rPr>
              <w:t xml:space="preserve">Arena Staff aware of fire procedures </w:t>
            </w:r>
          </w:p>
        </w:tc>
        <w:tc>
          <w:tcPr>
            <w:tcW w:w="0" w:type="auto"/>
            <w:tcBorders>
              <w:top w:val="single" w:sz="4" w:space="0" w:color="auto"/>
              <w:left w:val="single" w:sz="4" w:space="0" w:color="auto"/>
              <w:bottom w:val="single" w:sz="4" w:space="0" w:color="auto"/>
              <w:right w:val="single" w:sz="4" w:space="0" w:color="auto"/>
            </w:tcBorders>
            <w:shd w:val="clear" w:color="000000" w:fill="00B050"/>
            <w:noWrap/>
            <w:vAlign w:val="center"/>
          </w:tcPr>
          <w:p w14:paraId="35CB8A9D" w14:textId="77777777" w:rsidR="00251409" w:rsidRPr="001C5C52" w:rsidRDefault="00251409" w:rsidP="00251409">
            <w:pPr>
              <w:spacing w:before="240" w:after="160"/>
              <w:jc w:val="center"/>
              <w:rPr>
                <w:rFonts w:ascii="Arial" w:eastAsia="Times New Roman" w:hAnsi="Arial" w:cs="Arial"/>
                <w:b/>
                <w:bCs/>
                <w:color w:val="000000"/>
                <w:kern w:val="0"/>
                <w:sz w:val="20"/>
                <w:szCs w:val="20"/>
                <w:lang w:eastAsia="zh-CN"/>
                <w14:ligatures w14:val="none"/>
              </w:rPr>
            </w:pPr>
            <w:r w:rsidRPr="001C5C52">
              <w:rPr>
                <w:rFonts w:ascii="Arial" w:eastAsia="Times New Roman" w:hAnsi="Arial" w:cs="Arial"/>
                <w:b/>
                <w:bCs/>
                <w:color w:val="000000"/>
                <w:kern w:val="0"/>
                <w:sz w:val="20"/>
                <w:szCs w:val="20"/>
                <w:lang w:eastAsia="zh-CN"/>
                <w14:ligatures w14:val="none"/>
              </w:rPr>
              <w:t>Low</w:t>
            </w:r>
          </w:p>
        </w:tc>
      </w:tr>
      <w:tr w:rsidR="00251409" w:rsidRPr="001C5C52" w14:paraId="3A08D6B2" w14:textId="77777777" w:rsidTr="00251409">
        <w:trPr>
          <w:cantSplit/>
          <w:trHeight w:val="567"/>
        </w:trPr>
        <w:tc>
          <w:tcPr>
            <w:tcW w:w="0" w:type="auto"/>
            <w:tcBorders>
              <w:top w:val="single" w:sz="4" w:space="0" w:color="auto"/>
              <w:left w:val="single" w:sz="4" w:space="0" w:color="auto"/>
              <w:bottom w:val="single" w:sz="4" w:space="0" w:color="auto"/>
              <w:right w:val="single" w:sz="4" w:space="0" w:color="auto"/>
            </w:tcBorders>
            <w:shd w:val="clear" w:color="auto" w:fill="auto"/>
            <w:vAlign w:val="center"/>
          </w:tcPr>
          <w:p w14:paraId="51432BFE" w14:textId="77777777" w:rsidR="00251409" w:rsidRPr="001C5C52" w:rsidRDefault="00251409" w:rsidP="00251409">
            <w:pPr>
              <w:spacing w:before="240" w:after="160"/>
              <w:jc w:val="center"/>
              <w:rPr>
                <w:rFonts w:ascii="Arial" w:eastAsia="Times New Roman" w:hAnsi="Arial" w:cs="Arial"/>
                <w:b/>
                <w:bCs/>
                <w:color w:val="000000"/>
                <w:kern w:val="0"/>
                <w:sz w:val="20"/>
                <w:szCs w:val="20"/>
                <w:lang w:eastAsia="zh-CN"/>
                <w14:ligatures w14:val="none"/>
              </w:rPr>
            </w:pPr>
            <w:r w:rsidRPr="001C5C52">
              <w:rPr>
                <w:rFonts w:ascii="Arial" w:eastAsia="Times New Roman" w:hAnsi="Arial" w:cs="Arial"/>
                <w:b/>
                <w:bCs/>
                <w:color w:val="000000"/>
                <w:kern w:val="0"/>
                <w:sz w:val="20"/>
                <w:szCs w:val="20"/>
                <w:lang w:eastAsia="zh-CN"/>
                <w14:ligatures w14:val="none"/>
              </w:rPr>
              <w:t xml:space="preserve">Manual Handling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center"/>
          </w:tcPr>
          <w:p w14:paraId="18FB8871" w14:textId="77777777" w:rsidR="00251409" w:rsidRPr="001C5C52" w:rsidRDefault="00251409" w:rsidP="00251409">
            <w:pPr>
              <w:spacing w:before="240" w:after="160"/>
              <w:jc w:val="center"/>
              <w:rPr>
                <w:rFonts w:ascii="Arial" w:eastAsia="Times New Roman" w:hAnsi="Arial" w:cs="Arial"/>
                <w:b/>
                <w:bCs/>
                <w:color w:val="000000"/>
                <w:kern w:val="0"/>
                <w:sz w:val="20"/>
                <w:szCs w:val="20"/>
                <w:lang w:eastAsia="zh-CN"/>
                <w14:ligatures w14:val="none"/>
              </w:rPr>
            </w:pPr>
            <w:r w:rsidRPr="001C5C52">
              <w:rPr>
                <w:rFonts w:ascii="Arial" w:eastAsia="Times New Roman" w:hAnsi="Arial" w:cs="Arial"/>
                <w:b/>
                <w:bCs/>
                <w:color w:val="000000"/>
                <w:kern w:val="0"/>
                <w:sz w:val="20"/>
                <w:szCs w:val="20"/>
                <w:lang w:eastAsia="zh-CN"/>
                <w14:ligatures w14:val="none"/>
              </w:rPr>
              <w:t>Moderate</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tcPr>
          <w:p w14:paraId="04AE1060" w14:textId="77777777" w:rsidR="00251409" w:rsidRPr="001C5C52" w:rsidRDefault="00251409" w:rsidP="00251409">
            <w:pPr>
              <w:numPr>
                <w:ilvl w:val="0"/>
                <w:numId w:val="2"/>
              </w:numPr>
              <w:spacing w:before="120" w:after="120"/>
              <w:contextualSpacing/>
              <w:rPr>
                <w:rFonts w:ascii="Arial" w:eastAsia="Times New Roman" w:hAnsi="Arial" w:cs="Arial"/>
                <w:color w:val="000000"/>
                <w:kern w:val="0"/>
                <w:sz w:val="20"/>
                <w:szCs w:val="20"/>
                <w:lang w:eastAsia="zh-CN"/>
                <w14:ligatures w14:val="none"/>
              </w:rPr>
            </w:pPr>
            <w:r w:rsidRPr="001C5C52">
              <w:rPr>
                <w:rFonts w:ascii="Arial" w:eastAsia="Times New Roman" w:hAnsi="Arial" w:cs="Arial"/>
                <w:color w:val="000000"/>
                <w:kern w:val="0"/>
                <w:sz w:val="20"/>
                <w:szCs w:val="20"/>
                <w:lang w:eastAsia="zh-CN"/>
                <w14:ligatures w14:val="none"/>
              </w:rPr>
              <w:t xml:space="preserve">All items bought in in manageable quantities </w:t>
            </w:r>
          </w:p>
          <w:p w14:paraId="24B6E4A1" w14:textId="77777777" w:rsidR="00251409" w:rsidRPr="001C5C52" w:rsidRDefault="00251409" w:rsidP="00251409">
            <w:pPr>
              <w:numPr>
                <w:ilvl w:val="0"/>
                <w:numId w:val="2"/>
              </w:numPr>
              <w:spacing w:before="120" w:after="120"/>
              <w:contextualSpacing/>
              <w:rPr>
                <w:rFonts w:ascii="Arial" w:eastAsia="Times New Roman" w:hAnsi="Arial" w:cs="Arial"/>
                <w:color w:val="000000"/>
                <w:kern w:val="0"/>
                <w:sz w:val="20"/>
                <w:szCs w:val="20"/>
                <w:lang w:eastAsia="zh-CN"/>
                <w14:ligatures w14:val="none"/>
              </w:rPr>
            </w:pPr>
            <w:r w:rsidRPr="001C5C52">
              <w:rPr>
                <w:rFonts w:ascii="Arial" w:eastAsia="Times New Roman" w:hAnsi="Arial" w:cs="Arial"/>
                <w:color w:val="000000"/>
                <w:kern w:val="0"/>
                <w:sz w:val="20"/>
                <w:szCs w:val="20"/>
                <w:lang w:eastAsia="zh-CN"/>
                <w14:ligatures w14:val="none"/>
              </w:rPr>
              <w:t xml:space="preserve">No expectation place on volunteers to carry items above their limit </w:t>
            </w:r>
          </w:p>
          <w:p w14:paraId="176DBF58" w14:textId="77777777" w:rsidR="00251409" w:rsidRPr="001C5C52" w:rsidRDefault="00251409" w:rsidP="00251409">
            <w:pPr>
              <w:numPr>
                <w:ilvl w:val="0"/>
                <w:numId w:val="2"/>
              </w:numPr>
              <w:spacing w:before="120" w:after="120"/>
              <w:contextualSpacing/>
              <w:jc w:val="both"/>
              <w:rPr>
                <w:rFonts w:ascii="Arial" w:eastAsiaTheme="minorHAnsi" w:hAnsi="Arial" w:cs="Arial"/>
                <w:kern w:val="0"/>
                <w:sz w:val="20"/>
                <w:szCs w:val="20"/>
                <w:lang w:eastAsia="en-US"/>
                <w14:ligatures w14:val="none"/>
              </w:rPr>
            </w:pPr>
            <w:r w:rsidRPr="001C5C52">
              <w:rPr>
                <w:rFonts w:ascii="Arial" w:eastAsia="Times New Roman" w:hAnsi="Arial" w:cs="Arial"/>
                <w:color w:val="000000"/>
                <w:kern w:val="0"/>
                <w:sz w:val="20"/>
                <w:szCs w:val="20"/>
                <w:lang w:eastAsia="zh-CN"/>
                <w14:ligatures w14:val="none"/>
              </w:rPr>
              <w:t>Two person carrying used when appropriate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center"/>
          </w:tcPr>
          <w:p w14:paraId="6852580D" w14:textId="77777777" w:rsidR="00251409" w:rsidRPr="001C5C52" w:rsidRDefault="00251409" w:rsidP="00251409">
            <w:pPr>
              <w:spacing w:before="240" w:after="160"/>
              <w:jc w:val="center"/>
              <w:rPr>
                <w:rFonts w:ascii="Arial" w:eastAsia="Times New Roman" w:hAnsi="Arial" w:cs="Arial"/>
                <w:b/>
                <w:bCs/>
                <w:color w:val="000000"/>
                <w:kern w:val="0"/>
                <w:sz w:val="20"/>
                <w:szCs w:val="20"/>
                <w:lang w:eastAsia="zh-CN"/>
                <w14:ligatures w14:val="none"/>
              </w:rPr>
            </w:pPr>
            <w:r w:rsidRPr="001C5C52">
              <w:rPr>
                <w:rFonts w:ascii="Arial" w:eastAsia="Times New Roman" w:hAnsi="Arial" w:cs="Arial"/>
                <w:color w:val="000000"/>
                <w:kern w:val="0"/>
                <w:sz w:val="20"/>
                <w:szCs w:val="20"/>
                <w:lang w:eastAsia="zh-CN"/>
                <w14:ligatures w14:val="none"/>
              </w:rPr>
              <w:t xml:space="preserve">Low </w:t>
            </w:r>
          </w:p>
        </w:tc>
      </w:tr>
      <w:tr w:rsidR="00251409" w:rsidRPr="001C5C52" w14:paraId="121CE1F7" w14:textId="77777777" w:rsidTr="00251409">
        <w:trPr>
          <w:cantSplit/>
          <w:trHeight w:val="567"/>
        </w:trPr>
        <w:tc>
          <w:tcPr>
            <w:tcW w:w="0" w:type="auto"/>
            <w:tcBorders>
              <w:top w:val="single" w:sz="4" w:space="0" w:color="auto"/>
              <w:left w:val="single" w:sz="4" w:space="0" w:color="auto"/>
              <w:bottom w:val="single" w:sz="4" w:space="0" w:color="auto"/>
              <w:right w:val="single" w:sz="4" w:space="0" w:color="auto"/>
            </w:tcBorders>
            <w:shd w:val="clear" w:color="auto" w:fill="auto"/>
            <w:vAlign w:val="center"/>
          </w:tcPr>
          <w:p w14:paraId="00213AB1" w14:textId="77777777" w:rsidR="00251409" w:rsidRPr="001C5C52" w:rsidRDefault="00251409" w:rsidP="00251409">
            <w:pPr>
              <w:spacing w:before="240" w:after="160"/>
              <w:jc w:val="center"/>
              <w:rPr>
                <w:rFonts w:ascii="Arial" w:eastAsia="Times New Roman" w:hAnsi="Arial" w:cs="Arial"/>
                <w:b/>
                <w:bCs/>
                <w:color w:val="000000"/>
                <w:kern w:val="0"/>
                <w:sz w:val="20"/>
                <w:szCs w:val="20"/>
                <w:lang w:eastAsia="zh-CN"/>
                <w14:ligatures w14:val="none"/>
              </w:rPr>
            </w:pPr>
            <w:r w:rsidRPr="001C5C52">
              <w:rPr>
                <w:rFonts w:ascii="Arial" w:eastAsia="Times New Roman" w:hAnsi="Arial" w:cs="Arial"/>
                <w:b/>
                <w:bCs/>
                <w:color w:val="000000"/>
                <w:kern w:val="0"/>
                <w:sz w:val="20"/>
                <w:szCs w:val="20"/>
                <w:lang w:eastAsia="zh-CN"/>
                <w14:ligatures w14:val="none"/>
              </w:rPr>
              <w:t xml:space="preserve">Terrorism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center"/>
          </w:tcPr>
          <w:p w14:paraId="15D54B7B" w14:textId="77777777" w:rsidR="00251409" w:rsidRPr="001C5C52" w:rsidRDefault="00251409" w:rsidP="00251409">
            <w:pPr>
              <w:spacing w:before="240" w:after="160"/>
              <w:jc w:val="center"/>
              <w:rPr>
                <w:rFonts w:ascii="Arial" w:eastAsia="Times New Roman" w:hAnsi="Arial" w:cs="Arial"/>
                <w:b/>
                <w:bCs/>
                <w:color w:val="000000"/>
                <w:kern w:val="0"/>
                <w:sz w:val="20"/>
                <w:szCs w:val="20"/>
                <w:lang w:eastAsia="zh-CN"/>
                <w14:ligatures w14:val="none"/>
              </w:rPr>
            </w:pPr>
            <w:r w:rsidRPr="001C5C52">
              <w:rPr>
                <w:rFonts w:ascii="Arial" w:eastAsia="Times New Roman" w:hAnsi="Arial" w:cs="Arial"/>
                <w:b/>
                <w:bCs/>
                <w:color w:val="000000"/>
                <w:kern w:val="0"/>
                <w:sz w:val="20"/>
                <w:szCs w:val="20"/>
                <w:lang w:eastAsia="zh-CN"/>
                <w14:ligatures w14:val="none"/>
              </w:rPr>
              <w:t>Moderate</w:t>
            </w:r>
          </w:p>
        </w:tc>
        <w:tc>
          <w:tcPr>
            <w:tcW w:w="0" w:type="auto"/>
            <w:tcBorders>
              <w:top w:val="single" w:sz="4" w:space="0" w:color="auto"/>
              <w:left w:val="single" w:sz="4" w:space="0" w:color="auto"/>
              <w:bottom w:val="single" w:sz="4" w:space="0" w:color="auto"/>
              <w:right w:val="single" w:sz="4" w:space="0" w:color="auto"/>
            </w:tcBorders>
            <w:shd w:val="clear" w:color="auto" w:fill="auto"/>
            <w:vAlign w:val="center"/>
          </w:tcPr>
          <w:p w14:paraId="32BD637C" w14:textId="77777777" w:rsidR="00251409" w:rsidRPr="001C5C52" w:rsidRDefault="00251409" w:rsidP="00251409">
            <w:pPr>
              <w:numPr>
                <w:ilvl w:val="0"/>
                <w:numId w:val="2"/>
              </w:numPr>
              <w:spacing w:before="120" w:after="120"/>
              <w:contextualSpacing/>
              <w:rPr>
                <w:rFonts w:ascii="Arial" w:eastAsia="Times New Roman" w:hAnsi="Arial" w:cs="Arial"/>
                <w:color w:val="000000"/>
                <w:kern w:val="0"/>
                <w:sz w:val="20"/>
                <w:szCs w:val="20"/>
                <w:lang w:eastAsia="zh-CN"/>
                <w14:ligatures w14:val="none"/>
              </w:rPr>
            </w:pPr>
            <w:r w:rsidRPr="001C5C52">
              <w:rPr>
                <w:rFonts w:ascii="Arial" w:eastAsia="Times New Roman" w:hAnsi="Arial" w:cs="Arial"/>
                <w:color w:val="000000"/>
                <w:kern w:val="0"/>
                <w:sz w:val="20"/>
                <w:szCs w:val="20"/>
                <w:lang w:eastAsia="zh-CN"/>
                <w14:ligatures w14:val="none"/>
              </w:rPr>
              <w:t>Bag search is in operation on entry</w:t>
            </w:r>
          </w:p>
          <w:p w14:paraId="269E5DED" w14:textId="77777777" w:rsidR="00251409" w:rsidRPr="001C5C52" w:rsidRDefault="00251409" w:rsidP="00251409">
            <w:pPr>
              <w:numPr>
                <w:ilvl w:val="0"/>
                <w:numId w:val="2"/>
              </w:numPr>
              <w:spacing w:before="120" w:after="120"/>
              <w:contextualSpacing/>
              <w:rPr>
                <w:rFonts w:ascii="Arial" w:eastAsia="Times New Roman" w:hAnsi="Arial" w:cs="Arial"/>
                <w:b/>
                <w:bCs/>
                <w:color w:val="000000"/>
                <w:kern w:val="0"/>
                <w:sz w:val="20"/>
                <w:szCs w:val="20"/>
                <w:lang w:eastAsia="zh-CN"/>
                <w14:ligatures w14:val="none"/>
              </w:rPr>
            </w:pPr>
            <w:r w:rsidRPr="001C5C52">
              <w:rPr>
                <w:rFonts w:ascii="Arial" w:eastAsia="Times New Roman" w:hAnsi="Arial" w:cs="Arial"/>
                <w:color w:val="000000"/>
                <w:kern w:val="0"/>
                <w:sz w:val="20"/>
                <w:szCs w:val="20"/>
                <w:lang w:eastAsia="zh-CN"/>
                <w14:ligatures w14:val="none"/>
              </w:rPr>
              <w:t xml:space="preserve">Swansea Arena Security Present </w:t>
            </w:r>
          </w:p>
          <w:p w14:paraId="24861CE6" w14:textId="77777777" w:rsidR="00251409" w:rsidRPr="001C5C52" w:rsidRDefault="00251409" w:rsidP="00251409">
            <w:pPr>
              <w:numPr>
                <w:ilvl w:val="0"/>
                <w:numId w:val="2"/>
              </w:numPr>
              <w:spacing w:before="120" w:after="120"/>
              <w:contextualSpacing/>
              <w:rPr>
                <w:rFonts w:ascii="Arial" w:eastAsia="Times New Roman" w:hAnsi="Arial" w:cs="Arial"/>
                <w:b/>
                <w:bCs/>
                <w:color w:val="000000"/>
                <w:kern w:val="0"/>
                <w:sz w:val="20"/>
                <w:szCs w:val="20"/>
                <w:lang w:eastAsia="zh-CN"/>
                <w14:ligatures w14:val="none"/>
              </w:rPr>
            </w:pPr>
            <w:r w:rsidRPr="001C5C52">
              <w:rPr>
                <w:rFonts w:ascii="Arial" w:eastAsia="Times New Roman" w:hAnsi="Arial" w:cs="Arial"/>
                <w:color w:val="000000"/>
                <w:kern w:val="0"/>
                <w:sz w:val="20"/>
                <w:szCs w:val="20"/>
                <w:lang w:eastAsia="zh-CN"/>
                <w14:ligatures w14:val="none"/>
              </w:rPr>
              <w:t xml:space="preserve">Advice followed given by Swansea Arena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center"/>
          </w:tcPr>
          <w:p w14:paraId="480F6830" w14:textId="77777777" w:rsidR="00251409" w:rsidRPr="001C5C52" w:rsidRDefault="00251409" w:rsidP="00251409">
            <w:pPr>
              <w:spacing w:before="240" w:after="160"/>
              <w:jc w:val="center"/>
              <w:rPr>
                <w:rFonts w:ascii="Arial" w:eastAsia="Times New Roman" w:hAnsi="Arial" w:cs="Arial"/>
                <w:color w:val="000000"/>
                <w:kern w:val="0"/>
                <w:sz w:val="20"/>
                <w:szCs w:val="20"/>
                <w:lang w:eastAsia="zh-CN"/>
                <w14:ligatures w14:val="none"/>
              </w:rPr>
            </w:pPr>
            <w:r w:rsidRPr="001C5C52">
              <w:rPr>
                <w:rFonts w:ascii="Arial" w:eastAsia="Times New Roman" w:hAnsi="Arial" w:cs="Arial"/>
                <w:color w:val="000000"/>
                <w:kern w:val="0"/>
                <w:sz w:val="20"/>
                <w:szCs w:val="20"/>
                <w:lang w:eastAsia="zh-CN"/>
                <w14:ligatures w14:val="none"/>
              </w:rPr>
              <w:t>Low</w:t>
            </w:r>
          </w:p>
        </w:tc>
      </w:tr>
    </w:tbl>
    <w:p w14:paraId="1186264F" w14:textId="77777777" w:rsidR="006E67FF" w:rsidRPr="001A7060" w:rsidRDefault="006E67FF" w:rsidP="001A7060">
      <w:pPr>
        <w:spacing w:before="240" w:line="360" w:lineRule="auto"/>
        <w:jc w:val="both"/>
        <w:rPr>
          <w:rFonts w:ascii="Arial" w:eastAsia="Times New Roman" w:hAnsi="Arial" w:cs="Arial"/>
          <w:kern w:val="0"/>
          <w:sz w:val="24"/>
          <w:szCs w:val="24"/>
          <w14:ligatures w14:val="none"/>
        </w:rPr>
      </w:pPr>
    </w:p>
    <w:p w14:paraId="4BC2C9DF" w14:textId="77777777" w:rsidR="006E67FF" w:rsidRPr="001A7060" w:rsidRDefault="006E67FF" w:rsidP="001A7060">
      <w:pPr>
        <w:spacing w:before="240" w:line="360" w:lineRule="auto"/>
        <w:jc w:val="both"/>
        <w:rPr>
          <w:rFonts w:ascii="Arial" w:hAnsi="Arial" w:cs="Arial"/>
          <w:sz w:val="24"/>
          <w:szCs w:val="24"/>
        </w:rPr>
      </w:pPr>
    </w:p>
    <w:p w14:paraId="0E8F12C4" w14:textId="77777777" w:rsidR="00815F55" w:rsidRPr="001A7060" w:rsidRDefault="00815F55" w:rsidP="001A7060">
      <w:pPr>
        <w:spacing w:before="240" w:line="360" w:lineRule="auto"/>
        <w:jc w:val="both"/>
        <w:rPr>
          <w:rFonts w:ascii="Arial" w:hAnsi="Arial" w:cs="Arial"/>
          <w:sz w:val="24"/>
          <w:szCs w:val="24"/>
        </w:rPr>
      </w:pPr>
    </w:p>
    <w:p w14:paraId="2662B21D" w14:textId="77777777" w:rsidR="001F0ADB" w:rsidRPr="001A7060" w:rsidRDefault="001F0ADB" w:rsidP="001A7060">
      <w:pPr>
        <w:spacing w:before="240" w:line="360" w:lineRule="auto"/>
        <w:jc w:val="both"/>
        <w:rPr>
          <w:rFonts w:ascii="Arial" w:hAnsi="Arial" w:cs="Arial"/>
          <w:sz w:val="24"/>
          <w:szCs w:val="24"/>
        </w:rPr>
      </w:pPr>
    </w:p>
    <w:sectPr w:rsidR="001F0ADB" w:rsidRPr="001A7060">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22698" w14:textId="77777777" w:rsidR="00E91735" w:rsidRDefault="00E91735" w:rsidP="007003ED">
      <w:r>
        <w:separator/>
      </w:r>
    </w:p>
  </w:endnote>
  <w:endnote w:type="continuationSeparator" w:id="0">
    <w:p w14:paraId="609E4735" w14:textId="77777777" w:rsidR="00E91735" w:rsidRDefault="00E91735" w:rsidP="007003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1194637"/>
      <w:docPartObj>
        <w:docPartGallery w:val="Page Numbers (Bottom of Page)"/>
        <w:docPartUnique/>
      </w:docPartObj>
    </w:sdtPr>
    <w:sdtEndPr>
      <w:rPr>
        <w:rStyle w:val="PageNumber"/>
      </w:rPr>
    </w:sdtEndPr>
    <w:sdtContent>
      <w:p w14:paraId="071EC356" w14:textId="0965E290" w:rsidR="007003ED" w:rsidRDefault="007003ED" w:rsidP="0097175B">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920217167"/>
      <w:docPartObj>
        <w:docPartGallery w:val="Page Numbers (Bottom of Page)"/>
        <w:docPartUnique/>
      </w:docPartObj>
    </w:sdtPr>
    <w:sdtEndPr>
      <w:rPr>
        <w:rStyle w:val="PageNumber"/>
      </w:rPr>
    </w:sdtEndPr>
    <w:sdtContent>
      <w:p w14:paraId="36A6CF56" w14:textId="4534F375" w:rsidR="007003ED" w:rsidRDefault="007003ED" w:rsidP="007003ED">
        <w:pPr>
          <w:pStyle w:val="Footer"/>
          <w:framePr w:wrap="none" w:vAnchor="text" w:hAnchor="margin" w:y="1"/>
          <w:ind w:firstLine="360"/>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2065713500"/>
      <w:docPartObj>
        <w:docPartGallery w:val="Page Numbers (Bottom of Page)"/>
        <w:docPartUnique/>
      </w:docPartObj>
    </w:sdtPr>
    <w:sdtEndPr>
      <w:rPr>
        <w:rStyle w:val="PageNumber"/>
      </w:rPr>
    </w:sdtEndPr>
    <w:sdtContent>
      <w:p w14:paraId="18CB96D2" w14:textId="3B6D5080" w:rsidR="007003ED" w:rsidRDefault="007003ED" w:rsidP="007003ED">
        <w:pPr>
          <w:pStyle w:val="Foot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C37140" w14:textId="77777777" w:rsidR="007003ED" w:rsidRDefault="007003ED" w:rsidP="007003ED">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3049815"/>
      <w:docPartObj>
        <w:docPartGallery w:val="Page Numbers (Bottom of Page)"/>
        <w:docPartUnique/>
      </w:docPartObj>
    </w:sdtPr>
    <w:sdtEndPr>
      <w:rPr>
        <w:rStyle w:val="PageNumber"/>
      </w:rPr>
    </w:sdtEndPr>
    <w:sdtContent>
      <w:p w14:paraId="350A1A87" w14:textId="4A5B6411" w:rsidR="007003ED" w:rsidRDefault="007003ED" w:rsidP="0097175B">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75056E4" w14:textId="77777777" w:rsidR="007003ED" w:rsidRDefault="007003ED" w:rsidP="007003ED">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107DC" w14:textId="77777777" w:rsidR="00E91735" w:rsidRDefault="00E91735" w:rsidP="007003ED">
      <w:r>
        <w:separator/>
      </w:r>
    </w:p>
  </w:footnote>
  <w:footnote w:type="continuationSeparator" w:id="0">
    <w:p w14:paraId="3B133318" w14:textId="77777777" w:rsidR="00E91735" w:rsidRDefault="00E91735" w:rsidP="007003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395904"/>
    <w:multiLevelType w:val="hybridMultilevel"/>
    <w:tmpl w:val="58FE7D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4D6B09"/>
    <w:multiLevelType w:val="hybridMultilevel"/>
    <w:tmpl w:val="FEF8FB32"/>
    <w:lvl w:ilvl="0" w:tplc="8B96A336">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6710764">
    <w:abstractNumId w:val="0"/>
  </w:num>
  <w:num w:numId="2" w16cid:durableId="20320271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2B6"/>
    <w:rsid w:val="00041095"/>
    <w:rsid w:val="000A6E21"/>
    <w:rsid w:val="000E0A88"/>
    <w:rsid w:val="001A7060"/>
    <w:rsid w:val="001F0ADB"/>
    <w:rsid w:val="00232CFE"/>
    <w:rsid w:val="00251409"/>
    <w:rsid w:val="00303399"/>
    <w:rsid w:val="00307B44"/>
    <w:rsid w:val="003C021D"/>
    <w:rsid w:val="00433AD9"/>
    <w:rsid w:val="00544989"/>
    <w:rsid w:val="00580EA2"/>
    <w:rsid w:val="005A6C2D"/>
    <w:rsid w:val="00642CB2"/>
    <w:rsid w:val="00656F2E"/>
    <w:rsid w:val="006B2624"/>
    <w:rsid w:val="006C682E"/>
    <w:rsid w:val="006E67FF"/>
    <w:rsid w:val="007003ED"/>
    <w:rsid w:val="007463E4"/>
    <w:rsid w:val="007F4169"/>
    <w:rsid w:val="00815F55"/>
    <w:rsid w:val="008D3D82"/>
    <w:rsid w:val="008F125A"/>
    <w:rsid w:val="00976797"/>
    <w:rsid w:val="009C3288"/>
    <w:rsid w:val="00A97697"/>
    <w:rsid w:val="00AC7BCF"/>
    <w:rsid w:val="00AE72B6"/>
    <w:rsid w:val="00B40C17"/>
    <w:rsid w:val="00B97152"/>
    <w:rsid w:val="00BF0E35"/>
    <w:rsid w:val="00D03D88"/>
    <w:rsid w:val="00E07E5C"/>
    <w:rsid w:val="00E91735"/>
    <w:rsid w:val="00EC1377"/>
    <w:rsid w:val="00F857C2"/>
    <w:rsid w:val="00FA4B2C"/>
    <w:rsid w:val="01931ED0"/>
    <w:rsid w:val="05CFD811"/>
    <w:rsid w:val="07BEB30A"/>
    <w:rsid w:val="081D5305"/>
    <w:rsid w:val="08AA8877"/>
    <w:rsid w:val="0C326383"/>
    <w:rsid w:val="11A95D4F"/>
    <w:rsid w:val="13166BCA"/>
    <w:rsid w:val="1EF0EF26"/>
    <w:rsid w:val="2B6876C7"/>
    <w:rsid w:val="2B97C938"/>
    <w:rsid w:val="2DF16DC4"/>
    <w:rsid w:val="367EB2D2"/>
    <w:rsid w:val="39142DD4"/>
    <w:rsid w:val="3A4B8D24"/>
    <w:rsid w:val="3B4B9830"/>
    <w:rsid w:val="400CF3D7"/>
    <w:rsid w:val="433CB86A"/>
    <w:rsid w:val="43652360"/>
    <w:rsid w:val="4437D070"/>
    <w:rsid w:val="44F9063B"/>
    <w:rsid w:val="4500F3C1"/>
    <w:rsid w:val="4547BF02"/>
    <w:rsid w:val="45A2756A"/>
    <w:rsid w:val="45D3A0D1"/>
    <w:rsid w:val="47975111"/>
    <w:rsid w:val="49D464E4"/>
    <w:rsid w:val="5043A668"/>
    <w:rsid w:val="523852BF"/>
    <w:rsid w:val="53621ECD"/>
    <w:rsid w:val="5517178B"/>
    <w:rsid w:val="578D8282"/>
    <w:rsid w:val="58358FF0"/>
    <w:rsid w:val="5B75DE93"/>
    <w:rsid w:val="5C069B37"/>
    <w:rsid w:val="5D02754E"/>
    <w:rsid w:val="644034D2"/>
    <w:rsid w:val="6AC21EB1"/>
    <w:rsid w:val="6C77176F"/>
    <w:rsid w:val="6F5AD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A703CF"/>
  <w15:chartTrackingRefBased/>
  <w15:docId w15:val="{E86576A4-6621-5546-BFD3-75248EBB7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2"/>
    <w:next w:val="Normal"/>
    <w:link w:val="Heading1Char"/>
    <w:uiPriority w:val="9"/>
    <w:qFormat/>
    <w:rsid w:val="45A2756A"/>
    <w:pPr>
      <w:outlineLvl w:val="0"/>
    </w:pPr>
    <w:rPr>
      <w:rFonts w:asciiTheme="majorHAnsi" w:eastAsiaTheme="majorEastAsia" w:hAnsiTheme="majorHAnsi" w:cstheme="majorBidi"/>
      <w:color w:val="2F5496" w:themeColor="accent1" w:themeShade="BF"/>
      <w:sz w:val="26"/>
      <w:szCs w:val="26"/>
    </w:rPr>
  </w:style>
  <w:style w:type="paragraph" w:styleId="Heading2">
    <w:name w:val="heading 2"/>
    <w:basedOn w:val="Normal"/>
    <w:next w:val="Normal"/>
    <w:link w:val="Heading2Char"/>
    <w:uiPriority w:val="9"/>
    <w:unhideWhenUsed/>
    <w:qFormat/>
    <w:rsid w:val="45A2756A"/>
    <w:pPr>
      <w:spacing w:line="360" w:lineRule="auto"/>
      <w:jc w:val="both"/>
      <w:outlineLvl w:val="1"/>
    </w:pPr>
    <w:rPr>
      <w:rFonts w:ascii="Arial" w:eastAsia="Arial" w:hAnsi="Arial" w:cs="Arial"/>
      <w:sz w:val="24"/>
      <w:szCs w:val="24"/>
    </w:rPr>
  </w:style>
  <w:style w:type="paragraph" w:styleId="Heading3">
    <w:name w:val="heading 3"/>
    <w:basedOn w:val="Normal"/>
    <w:next w:val="Normal"/>
    <w:link w:val="Heading3Char"/>
    <w:uiPriority w:val="9"/>
    <w:unhideWhenUsed/>
    <w:qFormat/>
    <w:rsid w:val="45A2756A"/>
    <w:pPr>
      <w:keepNext/>
      <w:keepLines/>
      <w:spacing w:before="40"/>
      <w:outlineLvl w:val="2"/>
    </w:pPr>
    <w:rPr>
      <w:rFonts w:ascii="Arial" w:eastAsia="Arial" w:hAnsi="Arial" w:cs="Arial"/>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2">
    <w:name w:val="p2"/>
    <w:basedOn w:val="Normal"/>
    <w:rsid w:val="00D03D88"/>
    <w:rPr>
      <w:rFonts w:ascii=".AppleSystemUIFont" w:hAnsi=".AppleSystemUIFont" w:cs="Times New Roman"/>
      <w:kern w:val="0"/>
      <w:sz w:val="26"/>
      <w:szCs w:val="26"/>
      <w14:ligatures w14:val="none"/>
    </w:rPr>
  </w:style>
  <w:style w:type="character" w:customStyle="1" w:styleId="apple-converted-space">
    <w:name w:val="apple-converted-space"/>
    <w:basedOn w:val="DefaultParagraphFont"/>
    <w:rsid w:val="00D03D88"/>
  </w:style>
  <w:style w:type="paragraph" w:customStyle="1" w:styleId="p1">
    <w:name w:val="p1"/>
    <w:basedOn w:val="Normal"/>
    <w:rsid w:val="001A7060"/>
    <w:rPr>
      <w:rFonts w:ascii=".AppleSystemUIFont" w:hAnsi=".AppleSystemUIFont" w:cs="Times New Roman"/>
      <w:kern w:val="0"/>
      <w:sz w:val="26"/>
      <w:szCs w:val="26"/>
      <w14:ligatures w14:val="none"/>
    </w:rPr>
  </w:style>
  <w:style w:type="character" w:customStyle="1" w:styleId="s1">
    <w:name w:val="s1"/>
    <w:basedOn w:val="DefaultParagraphFont"/>
    <w:rsid w:val="001A7060"/>
    <w:rPr>
      <w:rFonts w:ascii="UICTFontTextStyleBody" w:hAnsi="UICTFontTextStyleBody" w:hint="default"/>
      <w:b w:val="0"/>
      <w:bCs w:val="0"/>
      <w:i w:val="0"/>
      <w:iCs w:val="0"/>
      <w:sz w:val="26"/>
      <w:szCs w:val="26"/>
    </w:rPr>
  </w:style>
  <w:style w:type="table" w:styleId="TableGrid">
    <w:name w:val="Table Grid"/>
    <w:basedOn w:val="TableNormal"/>
    <w:uiPriority w:val="39"/>
    <w:rsid w:val="00B971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97152"/>
    <w:pPr>
      <w:ind w:left="720"/>
      <w:contextualSpacing/>
    </w:pPr>
  </w:style>
  <w:style w:type="paragraph" w:styleId="Header">
    <w:name w:val="header"/>
    <w:basedOn w:val="Normal"/>
    <w:link w:val="HeaderChar"/>
    <w:uiPriority w:val="99"/>
    <w:unhideWhenUsed/>
    <w:rsid w:val="007003ED"/>
    <w:pPr>
      <w:tabs>
        <w:tab w:val="center" w:pos="4513"/>
        <w:tab w:val="right" w:pos="9026"/>
      </w:tabs>
    </w:pPr>
  </w:style>
  <w:style w:type="character" w:customStyle="1" w:styleId="HeaderChar">
    <w:name w:val="Header Char"/>
    <w:basedOn w:val="DefaultParagraphFont"/>
    <w:link w:val="Header"/>
    <w:uiPriority w:val="99"/>
    <w:rsid w:val="007003ED"/>
  </w:style>
  <w:style w:type="paragraph" w:styleId="Footer">
    <w:name w:val="footer"/>
    <w:basedOn w:val="Normal"/>
    <w:link w:val="FooterChar"/>
    <w:uiPriority w:val="99"/>
    <w:unhideWhenUsed/>
    <w:rsid w:val="007003ED"/>
    <w:pPr>
      <w:tabs>
        <w:tab w:val="center" w:pos="4513"/>
        <w:tab w:val="right" w:pos="9026"/>
      </w:tabs>
    </w:pPr>
  </w:style>
  <w:style w:type="character" w:customStyle="1" w:styleId="FooterChar">
    <w:name w:val="Footer Char"/>
    <w:basedOn w:val="DefaultParagraphFont"/>
    <w:link w:val="Footer"/>
    <w:uiPriority w:val="99"/>
    <w:rsid w:val="007003ED"/>
  </w:style>
  <w:style w:type="character" w:styleId="PageNumber">
    <w:name w:val="page number"/>
    <w:basedOn w:val="DefaultParagraphFont"/>
    <w:uiPriority w:val="99"/>
    <w:semiHidden/>
    <w:unhideWhenUsed/>
    <w:rsid w:val="007003ED"/>
  </w:style>
  <w:style w:type="character" w:customStyle="1" w:styleId="Heading1Char">
    <w:name w:val="Heading 1 Char"/>
    <w:link w:val="Heading1"/>
    <w:uiPriority w:val="9"/>
    <w:rsid w:val="45A2756A"/>
    <w:rPr>
      <w:rFonts w:asciiTheme="majorHAnsi" w:eastAsiaTheme="majorEastAsia" w:hAnsiTheme="majorHAnsi" w:cstheme="majorBidi"/>
      <w:color w:val="2F5496" w:themeColor="accent1" w:themeShade="BF"/>
      <w:sz w:val="26"/>
      <w:szCs w:val="26"/>
    </w:rPr>
  </w:style>
  <w:style w:type="paragraph" w:styleId="EndnoteText">
    <w:name w:val="endnote text"/>
    <w:basedOn w:val="Normal"/>
    <w:link w:val="EndnoteTextChar"/>
    <w:uiPriority w:val="99"/>
    <w:semiHidden/>
    <w:unhideWhenUsed/>
    <w:rsid w:val="008F125A"/>
    <w:rPr>
      <w:sz w:val="20"/>
      <w:szCs w:val="20"/>
    </w:rPr>
  </w:style>
  <w:style w:type="character" w:customStyle="1" w:styleId="EndnoteTextChar">
    <w:name w:val="Endnote Text Char"/>
    <w:basedOn w:val="DefaultParagraphFont"/>
    <w:link w:val="EndnoteText"/>
    <w:uiPriority w:val="99"/>
    <w:semiHidden/>
    <w:rsid w:val="008F125A"/>
    <w:rPr>
      <w:sz w:val="20"/>
      <w:szCs w:val="20"/>
    </w:rPr>
  </w:style>
  <w:style w:type="character" w:styleId="EndnoteReference">
    <w:name w:val="endnote reference"/>
    <w:basedOn w:val="DefaultParagraphFont"/>
    <w:uiPriority w:val="99"/>
    <w:semiHidden/>
    <w:unhideWhenUsed/>
    <w:rsid w:val="008F125A"/>
    <w:rPr>
      <w:vertAlign w:val="superscript"/>
    </w:rPr>
  </w:style>
  <w:style w:type="paragraph" w:styleId="FootnoteText">
    <w:name w:val="footnote text"/>
    <w:basedOn w:val="Normal"/>
    <w:link w:val="FootnoteTextChar"/>
    <w:uiPriority w:val="99"/>
    <w:semiHidden/>
    <w:unhideWhenUsed/>
    <w:rsid w:val="008F125A"/>
    <w:rPr>
      <w:sz w:val="20"/>
      <w:szCs w:val="20"/>
    </w:rPr>
  </w:style>
  <w:style w:type="character" w:customStyle="1" w:styleId="FootnoteTextChar">
    <w:name w:val="Footnote Text Char"/>
    <w:basedOn w:val="DefaultParagraphFont"/>
    <w:link w:val="FootnoteText"/>
    <w:uiPriority w:val="99"/>
    <w:semiHidden/>
    <w:rsid w:val="008F125A"/>
    <w:rPr>
      <w:sz w:val="20"/>
      <w:szCs w:val="20"/>
    </w:rPr>
  </w:style>
  <w:style w:type="character" w:styleId="FootnoteReference">
    <w:name w:val="footnote reference"/>
    <w:basedOn w:val="DefaultParagraphFont"/>
    <w:uiPriority w:val="99"/>
    <w:semiHidden/>
    <w:unhideWhenUsed/>
    <w:rsid w:val="008F125A"/>
    <w:rPr>
      <w:vertAlign w:val="superscript"/>
    </w:rPr>
  </w:style>
  <w:style w:type="character" w:customStyle="1" w:styleId="Heading2Char">
    <w:name w:val="Heading 2 Char"/>
    <w:basedOn w:val="DefaultParagraphFont"/>
    <w:link w:val="Heading2"/>
    <w:uiPriority w:val="9"/>
    <w:rsid w:val="45A2756A"/>
    <w:rPr>
      <w:rFonts w:ascii="Arial" w:eastAsia="Arial" w:hAnsi="Arial" w:cs="Arial"/>
      <w:color w:val="auto"/>
      <w:sz w:val="24"/>
      <w:szCs w:val="24"/>
    </w:rPr>
  </w:style>
  <w:style w:type="paragraph" w:customStyle="1" w:styleId="Style1">
    <w:name w:val="Style1"/>
    <w:basedOn w:val="Normal"/>
    <w:link w:val="Style1Char"/>
    <w:uiPriority w:val="1"/>
    <w:qFormat/>
    <w:rsid w:val="45A2756A"/>
    <w:pPr>
      <w:spacing w:line="360" w:lineRule="auto"/>
      <w:jc w:val="both"/>
    </w:pPr>
  </w:style>
  <w:style w:type="character" w:customStyle="1" w:styleId="Heading3Char">
    <w:name w:val="Heading 3 Char"/>
    <w:basedOn w:val="DefaultParagraphFont"/>
    <w:link w:val="Heading3"/>
    <w:uiPriority w:val="9"/>
    <w:rsid w:val="45A2756A"/>
    <w:rPr>
      <w:rFonts w:ascii="Arial" w:eastAsia="Arial" w:hAnsi="Arial" w:cs="Arial"/>
      <w:color w:val="auto"/>
      <w:sz w:val="24"/>
      <w:szCs w:val="24"/>
    </w:rPr>
  </w:style>
  <w:style w:type="character" w:customStyle="1" w:styleId="Style1Char">
    <w:name w:val="Style1 Char"/>
    <w:basedOn w:val="DefaultParagraphFont"/>
    <w:link w:val="Style1"/>
    <w:rsid w:val="45A2756A"/>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styleId="UnresolvedMention">
    <w:name w:val="Unresolved Mention"/>
    <w:basedOn w:val="DefaultParagraphFont"/>
    <w:uiPriority w:val="99"/>
    <w:semiHidden/>
    <w:unhideWhenUsed/>
    <w:rsid w:val="00232C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2259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1912233_student_uwtsd_ac_uk/EfC3jF69KCxEv3BBjTRJVLUBlkv9HkCz_mQCPUV1bz1X5A?e=KFvV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48</Pages>
  <Words>14012</Words>
  <Characters>79870</Characters>
  <Application>Microsoft Office Word</Application>
  <DocSecurity>0</DocSecurity>
  <Lines>665</Lines>
  <Paragraphs>187</Paragraphs>
  <ScaleCrop>false</ScaleCrop>
  <Company/>
  <LinksUpToDate>false</LinksUpToDate>
  <CharactersWithSpaces>93695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Haskins (1912233)</dc:creator>
  <cp:keywords/>
  <dc:description/>
  <cp:lastModifiedBy>Elinor Haskins (1912233)</cp:lastModifiedBy>
  <cp:revision>2</cp:revision>
  <dcterms:created xsi:type="dcterms:W3CDTF">2024-05-10T16:24:00Z</dcterms:created>
  <dcterms:modified xsi:type="dcterms:W3CDTF">2024-05-10T16:24:00Z</dcterms:modified>
</cp:coreProperties>
</file>