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EDAFB" w14:textId="2491AEF7" w:rsidR="0057727E" w:rsidRDefault="00703376" w:rsidP="0057727E">
      <w:pPr>
        <w:shd w:val="clear" w:color="auto" w:fill="FFFFFF"/>
        <w:spacing w:after="100" w:afterAutospacing="1" w:line="240" w:lineRule="auto"/>
        <w:outlineLvl w:val="2"/>
        <w:rPr>
          <w:rFonts w:ascii="Arial" w:eastAsia="Times New Roman" w:hAnsi="Arial" w:cs="Arial"/>
          <w:color w:val="1D2125"/>
          <w:sz w:val="28"/>
          <w:szCs w:val="28"/>
        </w:rPr>
      </w:pPr>
      <w:r>
        <w:rPr>
          <w:noProof/>
        </w:rPr>
        <w:drawing>
          <wp:anchor distT="0" distB="0" distL="114300" distR="114300" simplePos="0" relativeHeight="251658240" behindDoc="0" locked="0" layoutInCell="1" allowOverlap="1" wp14:anchorId="03F20FFA" wp14:editId="6CF868E5">
            <wp:simplePos x="0" y="0"/>
            <wp:positionH relativeFrom="column">
              <wp:posOffset>-224286</wp:posOffset>
            </wp:positionH>
            <wp:positionV relativeFrom="paragraph">
              <wp:posOffset>0</wp:posOffset>
            </wp:positionV>
            <wp:extent cx="5055044" cy="2971622"/>
            <wp:effectExtent l="0" t="0" r="0" b="635"/>
            <wp:wrapTopAndBottom/>
            <wp:docPr id="877660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60292" name=""/>
                    <pic:cNvPicPr/>
                  </pic:nvPicPr>
                  <pic:blipFill>
                    <a:blip r:embed="rId5"/>
                    <a:stretch>
                      <a:fillRect/>
                    </a:stretch>
                  </pic:blipFill>
                  <pic:spPr>
                    <a:xfrm>
                      <a:off x="0" y="0"/>
                      <a:ext cx="5055044" cy="2971622"/>
                    </a:xfrm>
                    <a:prstGeom prst="rect">
                      <a:avLst/>
                    </a:prstGeom>
                  </pic:spPr>
                </pic:pic>
              </a:graphicData>
            </a:graphic>
            <wp14:sizeRelH relativeFrom="margin">
              <wp14:pctWidth>0</wp14:pctWidth>
            </wp14:sizeRelH>
            <wp14:sizeRelV relativeFrom="margin">
              <wp14:pctHeight>0</wp14:pctHeight>
            </wp14:sizeRelV>
          </wp:anchor>
        </w:drawing>
      </w:r>
    </w:p>
    <w:p w14:paraId="197102EF" w14:textId="77777777" w:rsidR="0057727E" w:rsidRDefault="0057727E" w:rsidP="0057727E">
      <w:pPr>
        <w:shd w:val="clear" w:color="auto" w:fill="FFFFFF"/>
        <w:spacing w:after="100" w:afterAutospacing="1" w:line="240" w:lineRule="auto"/>
        <w:outlineLvl w:val="2"/>
        <w:rPr>
          <w:rFonts w:ascii="Arial" w:eastAsia="Times New Roman" w:hAnsi="Arial" w:cs="Arial"/>
          <w:color w:val="1D2125"/>
          <w:sz w:val="28"/>
          <w:szCs w:val="28"/>
        </w:rPr>
      </w:pPr>
    </w:p>
    <w:p w14:paraId="15BB7F31" w14:textId="77777777" w:rsidR="0057727E" w:rsidRDefault="0057727E" w:rsidP="0057727E">
      <w:pPr>
        <w:shd w:val="clear" w:color="auto" w:fill="FFFFFF"/>
        <w:spacing w:after="100" w:afterAutospacing="1" w:line="240" w:lineRule="auto"/>
        <w:outlineLvl w:val="2"/>
        <w:rPr>
          <w:rFonts w:ascii="Arial" w:eastAsia="Times New Roman" w:hAnsi="Arial" w:cs="Arial"/>
          <w:color w:val="1D2125"/>
          <w:sz w:val="28"/>
          <w:szCs w:val="28"/>
        </w:rPr>
      </w:pPr>
    </w:p>
    <w:p w14:paraId="28AD8EF5" w14:textId="77777777" w:rsidR="0057727E" w:rsidRDefault="0057727E" w:rsidP="0057727E">
      <w:pPr>
        <w:shd w:val="clear" w:color="auto" w:fill="FFFFFF"/>
        <w:spacing w:after="100" w:afterAutospacing="1" w:line="240" w:lineRule="auto"/>
        <w:outlineLvl w:val="2"/>
        <w:rPr>
          <w:rFonts w:ascii="Arial" w:eastAsia="Times New Roman" w:hAnsi="Arial" w:cs="Arial"/>
          <w:color w:val="1D2125"/>
          <w:sz w:val="28"/>
          <w:szCs w:val="28"/>
        </w:rPr>
      </w:pPr>
    </w:p>
    <w:p w14:paraId="5B052583" w14:textId="77777777" w:rsidR="0057727E" w:rsidRDefault="0057727E" w:rsidP="0057727E">
      <w:pPr>
        <w:shd w:val="clear" w:color="auto" w:fill="FFFFFF"/>
        <w:spacing w:after="100" w:afterAutospacing="1" w:line="240" w:lineRule="auto"/>
        <w:outlineLvl w:val="2"/>
        <w:rPr>
          <w:rFonts w:ascii="Arial" w:eastAsia="Times New Roman" w:hAnsi="Arial" w:cs="Arial"/>
          <w:color w:val="1D2125"/>
          <w:sz w:val="28"/>
          <w:szCs w:val="28"/>
        </w:rPr>
      </w:pPr>
    </w:p>
    <w:p w14:paraId="7AE255BE" w14:textId="25522293" w:rsidR="0057727E" w:rsidRPr="00A24CDB" w:rsidRDefault="0057727E" w:rsidP="0057727E">
      <w:pPr>
        <w:shd w:val="clear" w:color="auto" w:fill="FFFFFF"/>
        <w:spacing w:after="100" w:afterAutospacing="1" w:line="240" w:lineRule="auto"/>
        <w:outlineLvl w:val="2"/>
        <w:rPr>
          <w:rFonts w:ascii="Arial" w:eastAsia="Times New Roman" w:hAnsi="Arial" w:cs="Arial"/>
          <w:color w:val="1D2125"/>
          <w:sz w:val="28"/>
          <w:szCs w:val="28"/>
        </w:rPr>
      </w:pPr>
      <w:r w:rsidRPr="00A24CDB">
        <w:rPr>
          <w:rFonts w:ascii="Arial" w:eastAsia="Times New Roman" w:hAnsi="Arial" w:cs="Arial"/>
          <w:color w:val="1D2125"/>
          <w:sz w:val="28"/>
          <w:szCs w:val="28"/>
        </w:rPr>
        <w:t>Protecting and Supporting Families in Health and Care (BMHP5021)</w:t>
      </w:r>
    </w:p>
    <w:p w14:paraId="58004FE2" w14:textId="77777777" w:rsidR="0057727E" w:rsidRPr="00A24CDB" w:rsidRDefault="0057727E" w:rsidP="0057727E">
      <w:pPr>
        <w:shd w:val="clear" w:color="auto" w:fill="FFFFFF"/>
        <w:spacing w:after="100" w:afterAutospacing="1" w:line="240" w:lineRule="auto"/>
        <w:outlineLvl w:val="2"/>
        <w:rPr>
          <w:rFonts w:ascii="Arial" w:eastAsia="Times New Roman" w:hAnsi="Arial" w:cs="Arial"/>
          <w:color w:val="1D2125"/>
          <w:sz w:val="28"/>
          <w:szCs w:val="28"/>
        </w:rPr>
      </w:pPr>
      <w:r w:rsidRPr="00A24CDB">
        <w:rPr>
          <w:rFonts w:ascii="Arial" w:eastAsia="Aptos" w:hAnsi="Arial" w:cs="Arial"/>
          <w:color w:val="1D2125"/>
          <w:sz w:val="28"/>
          <w:szCs w:val="28"/>
          <w:lang w:eastAsia="en-US"/>
        </w:rPr>
        <w:t xml:space="preserve">Student </w:t>
      </w:r>
      <w:r w:rsidRPr="00A24CDB">
        <w:rPr>
          <w:rFonts w:ascii="Arial" w:eastAsia="Arial" w:hAnsi="Arial" w:cs="Arial"/>
          <w:sz w:val="28"/>
          <w:szCs w:val="28"/>
          <w:lang w:eastAsia="en-US"/>
        </w:rPr>
        <w:t xml:space="preserve">name: </w:t>
      </w:r>
      <w:r w:rsidRPr="00A24CDB">
        <w:rPr>
          <w:rFonts w:ascii="Arial" w:eastAsia="Aptos" w:hAnsi="Arial" w:cs="Arial"/>
          <w:color w:val="1D2125"/>
          <w:sz w:val="28"/>
          <w:szCs w:val="28"/>
          <w:lang w:eastAsia="en-US"/>
        </w:rPr>
        <w:t xml:space="preserve">Jamila Zakari </w:t>
      </w:r>
    </w:p>
    <w:p w14:paraId="1F0586AB" w14:textId="77777777" w:rsidR="0057727E" w:rsidRPr="00A24CDB" w:rsidRDefault="0057727E" w:rsidP="0057727E">
      <w:pPr>
        <w:spacing w:line="360" w:lineRule="auto"/>
        <w:rPr>
          <w:rFonts w:ascii="Arial" w:eastAsia="Aptos" w:hAnsi="Arial" w:cs="Arial"/>
          <w:color w:val="1D2125"/>
          <w:sz w:val="28"/>
          <w:szCs w:val="28"/>
          <w:lang w:eastAsia="en-US"/>
        </w:rPr>
      </w:pPr>
      <w:r w:rsidRPr="00A24CDB">
        <w:rPr>
          <w:rFonts w:ascii="Arial" w:eastAsia="Aptos" w:hAnsi="Arial" w:cs="Arial"/>
          <w:color w:val="1D2125"/>
          <w:sz w:val="28"/>
          <w:szCs w:val="28"/>
          <w:lang w:eastAsia="en-US"/>
        </w:rPr>
        <w:t>Student number: 2322381</w:t>
      </w:r>
    </w:p>
    <w:p w14:paraId="320C0160" w14:textId="77777777" w:rsidR="0057727E" w:rsidRDefault="0057727E" w:rsidP="0057727E">
      <w:pPr>
        <w:spacing w:line="360" w:lineRule="auto"/>
        <w:rPr>
          <w:rFonts w:ascii="Arial" w:eastAsia="Aptos" w:hAnsi="Arial" w:cs="Arial"/>
          <w:color w:val="1D2125"/>
          <w:sz w:val="28"/>
          <w:szCs w:val="28"/>
          <w:lang w:eastAsia="en-US"/>
        </w:rPr>
      </w:pPr>
      <w:r w:rsidRPr="00A24CDB">
        <w:rPr>
          <w:rFonts w:ascii="Arial" w:eastAsia="Aptos" w:hAnsi="Arial" w:cs="Arial"/>
          <w:color w:val="1D2125"/>
          <w:sz w:val="28"/>
          <w:szCs w:val="28"/>
          <w:lang w:eastAsia="en-US"/>
        </w:rPr>
        <w:t>Lecturer’s name: Amanda Jones</w:t>
      </w:r>
    </w:p>
    <w:p w14:paraId="2A18AB0C" w14:textId="77777777" w:rsidR="00650156" w:rsidRDefault="00650156" w:rsidP="0057727E">
      <w:pPr>
        <w:spacing w:line="360" w:lineRule="auto"/>
        <w:rPr>
          <w:rFonts w:ascii="Arial" w:eastAsia="Aptos" w:hAnsi="Arial" w:cs="Arial"/>
          <w:color w:val="1D2125"/>
          <w:sz w:val="28"/>
          <w:szCs w:val="28"/>
          <w:lang w:eastAsia="en-US"/>
        </w:rPr>
      </w:pPr>
    </w:p>
    <w:p w14:paraId="7351F696" w14:textId="77777777" w:rsidR="00650156" w:rsidRDefault="00650156" w:rsidP="0057727E">
      <w:pPr>
        <w:spacing w:line="360" w:lineRule="auto"/>
        <w:rPr>
          <w:rFonts w:ascii="Arial" w:eastAsia="Aptos" w:hAnsi="Arial" w:cs="Arial"/>
          <w:color w:val="1D2125"/>
          <w:sz w:val="28"/>
          <w:szCs w:val="28"/>
          <w:lang w:eastAsia="en-US"/>
        </w:rPr>
      </w:pPr>
    </w:p>
    <w:p w14:paraId="51CEA59E" w14:textId="77777777" w:rsidR="00650156" w:rsidRDefault="00650156" w:rsidP="0057727E">
      <w:pPr>
        <w:spacing w:line="360" w:lineRule="auto"/>
        <w:rPr>
          <w:rFonts w:ascii="Arial" w:eastAsia="Aptos" w:hAnsi="Arial" w:cs="Arial"/>
          <w:color w:val="1D2125"/>
          <w:sz w:val="28"/>
          <w:szCs w:val="28"/>
          <w:lang w:eastAsia="en-US"/>
        </w:rPr>
      </w:pPr>
    </w:p>
    <w:p w14:paraId="48FFB322" w14:textId="77777777" w:rsidR="00650156" w:rsidRDefault="00650156" w:rsidP="0057727E">
      <w:pPr>
        <w:spacing w:line="360" w:lineRule="auto"/>
        <w:rPr>
          <w:rFonts w:ascii="Arial" w:eastAsia="Aptos" w:hAnsi="Arial" w:cs="Arial"/>
          <w:color w:val="1D2125"/>
          <w:sz w:val="28"/>
          <w:szCs w:val="28"/>
          <w:lang w:eastAsia="en-US"/>
        </w:rPr>
      </w:pPr>
    </w:p>
    <w:p w14:paraId="41B44459" w14:textId="77777777" w:rsidR="00650156" w:rsidRDefault="00650156" w:rsidP="0057727E">
      <w:pPr>
        <w:spacing w:line="360" w:lineRule="auto"/>
        <w:rPr>
          <w:rFonts w:ascii="Arial" w:eastAsia="Aptos" w:hAnsi="Arial" w:cs="Arial"/>
          <w:color w:val="1D2125"/>
          <w:sz w:val="28"/>
          <w:szCs w:val="28"/>
          <w:lang w:eastAsia="en-US"/>
        </w:rPr>
      </w:pPr>
    </w:p>
    <w:p w14:paraId="411DAA84" w14:textId="77777777" w:rsidR="00650156" w:rsidRDefault="00650156" w:rsidP="0057727E">
      <w:pPr>
        <w:spacing w:line="360" w:lineRule="auto"/>
        <w:rPr>
          <w:rFonts w:ascii="Arial" w:eastAsia="Aptos" w:hAnsi="Arial" w:cs="Arial"/>
          <w:color w:val="1D2125"/>
          <w:sz w:val="28"/>
          <w:szCs w:val="28"/>
          <w:lang w:eastAsia="en-US"/>
        </w:rPr>
      </w:pPr>
    </w:p>
    <w:p w14:paraId="2B3C6E78" w14:textId="77777777" w:rsidR="00650156" w:rsidRDefault="00650156" w:rsidP="0057727E">
      <w:pPr>
        <w:spacing w:line="360" w:lineRule="auto"/>
        <w:rPr>
          <w:rFonts w:ascii="Arial" w:eastAsia="Aptos" w:hAnsi="Arial" w:cs="Arial"/>
          <w:color w:val="1D2125"/>
          <w:sz w:val="28"/>
          <w:szCs w:val="28"/>
          <w:lang w:eastAsia="en-US"/>
        </w:rPr>
      </w:pPr>
    </w:p>
    <w:p w14:paraId="5C262767" w14:textId="7B048EEA" w:rsidR="00650156" w:rsidRPr="00933E57" w:rsidRDefault="00650156" w:rsidP="00650156">
      <w:pPr>
        <w:spacing w:line="360" w:lineRule="auto"/>
        <w:rPr>
          <w:rFonts w:ascii="Arial" w:eastAsia="Aptos" w:hAnsi="Arial" w:cs="Arial"/>
          <w:color w:val="1D2125"/>
          <w:lang w:eastAsia="en-US"/>
        </w:rPr>
      </w:pPr>
      <w:r w:rsidRPr="00933E57">
        <w:rPr>
          <w:rFonts w:ascii="Arial" w:eastAsia="Aptos" w:hAnsi="Arial" w:cs="Arial"/>
          <w:color w:val="1D2125"/>
          <w:lang w:eastAsia="en-US"/>
        </w:rPr>
        <w:t>TABLE OF CONTENTS</w:t>
      </w:r>
    </w:p>
    <w:p w14:paraId="31AA132B" w14:textId="77777777" w:rsidR="00A93101" w:rsidRDefault="00650156" w:rsidP="00650156">
      <w:pPr>
        <w:spacing w:line="360" w:lineRule="auto"/>
        <w:rPr>
          <w:rFonts w:ascii="Arial" w:eastAsia="Aptos" w:hAnsi="Arial" w:cs="Arial"/>
          <w:lang w:eastAsia="en-US"/>
        </w:rPr>
      </w:pPr>
      <w:r w:rsidRPr="004D355F">
        <w:rPr>
          <w:rFonts w:ascii="Arial" w:eastAsia="Aptos" w:hAnsi="Arial" w:cs="Arial"/>
          <w:lang w:eastAsia="en-US"/>
        </w:rPr>
        <w:t>Introduction</w:t>
      </w:r>
    </w:p>
    <w:p w14:paraId="448E3E2D" w14:textId="64AE2D23" w:rsidR="00650156" w:rsidRPr="004D355F" w:rsidRDefault="00650156" w:rsidP="00650156">
      <w:pPr>
        <w:spacing w:line="360" w:lineRule="auto"/>
        <w:rPr>
          <w:rFonts w:ascii="Arial" w:eastAsia="Aptos" w:hAnsi="Arial" w:cs="Arial"/>
          <w:lang w:eastAsia="en-US"/>
        </w:rPr>
      </w:pPr>
      <w:r w:rsidRPr="004D355F">
        <w:rPr>
          <w:rFonts w:ascii="Arial" w:eastAsia="Aptos" w:hAnsi="Arial" w:cs="Arial"/>
          <w:lang w:eastAsia="en-US"/>
        </w:rPr>
        <w:t>Explanation of Early help servic</w:t>
      </w:r>
      <w:r>
        <w:rPr>
          <w:rFonts w:ascii="Arial" w:eastAsia="Aptos" w:hAnsi="Arial" w:cs="Arial"/>
          <w:lang w:eastAsia="en-US"/>
        </w:rPr>
        <w:t>e</w:t>
      </w:r>
    </w:p>
    <w:p w14:paraId="1FF41486" w14:textId="296C9FAC" w:rsidR="00650156" w:rsidRPr="004D355F" w:rsidRDefault="00650156" w:rsidP="00650156">
      <w:pPr>
        <w:spacing w:line="360" w:lineRule="auto"/>
        <w:rPr>
          <w:rFonts w:ascii="Arial" w:eastAsia="Aptos" w:hAnsi="Arial" w:cs="Arial"/>
          <w:lang w:eastAsia="en-US"/>
        </w:rPr>
      </w:pPr>
      <w:r w:rsidRPr="004D355F">
        <w:rPr>
          <w:rFonts w:ascii="Arial" w:eastAsia="Aptos" w:hAnsi="Arial" w:cs="Arial"/>
          <w:lang w:eastAsia="en-US"/>
        </w:rPr>
        <w:t>Explanation of Multi agency workin</w:t>
      </w:r>
      <w:r>
        <w:rPr>
          <w:rFonts w:ascii="Arial" w:eastAsia="Aptos" w:hAnsi="Arial" w:cs="Arial"/>
          <w:lang w:eastAsia="en-US"/>
        </w:rPr>
        <w:t>g</w:t>
      </w:r>
    </w:p>
    <w:p w14:paraId="71C419CA" w14:textId="09A1DA74" w:rsidR="00650156" w:rsidRDefault="00650156" w:rsidP="00650156">
      <w:pPr>
        <w:spacing w:before="100" w:beforeAutospacing="1" w:after="100" w:afterAutospacing="1" w:line="240" w:lineRule="auto"/>
        <w:outlineLvl w:val="0"/>
        <w:rPr>
          <w:rFonts w:ascii="Arial" w:eastAsia="Times New Roman" w:hAnsi="Arial" w:cs="Arial"/>
          <w:bCs/>
          <w:kern w:val="36"/>
        </w:rPr>
      </w:pPr>
      <w:r w:rsidRPr="0040195B">
        <w:rPr>
          <w:rFonts w:ascii="Arial" w:eastAsia="Times New Roman" w:hAnsi="Arial" w:cs="Arial"/>
          <w:bCs/>
          <w:kern w:val="36"/>
        </w:rPr>
        <w:t>Evaluation of Leeds City Council Website</w:t>
      </w:r>
    </w:p>
    <w:p w14:paraId="0B1E54AB" w14:textId="4934E92B" w:rsidR="00650156" w:rsidRDefault="00650156" w:rsidP="00650156">
      <w:pPr>
        <w:spacing w:before="100" w:beforeAutospacing="1" w:after="100" w:afterAutospacing="1" w:line="240" w:lineRule="auto"/>
        <w:outlineLvl w:val="0"/>
        <w:rPr>
          <w:rFonts w:ascii="Arial" w:eastAsia="Times New Roman" w:hAnsi="Arial" w:cs="Arial"/>
          <w:bCs/>
          <w:kern w:val="36"/>
        </w:rPr>
      </w:pPr>
      <w:r>
        <w:rPr>
          <w:rFonts w:ascii="Arial" w:eastAsia="Times New Roman" w:hAnsi="Arial" w:cs="Arial"/>
          <w:bCs/>
          <w:kern w:val="36"/>
        </w:rPr>
        <w:t>Evaluation of Norfolk County council website</w:t>
      </w:r>
    </w:p>
    <w:p w14:paraId="25A2E862" w14:textId="718EE02F" w:rsidR="00650156" w:rsidRDefault="00650156" w:rsidP="00650156">
      <w:pPr>
        <w:spacing w:before="100" w:beforeAutospacing="1" w:after="100" w:afterAutospacing="1" w:line="240" w:lineRule="auto"/>
        <w:outlineLvl w:val="0"/>
        <w:rPr>
          <w:rFonts w:ascii="Arial" w:eastAsia="Times New Roman" w:hAnsi="Arial" w:cs="Arial"/>
          <w:bCs/>
          <w:kern w:val="36"/>
        </w:rPr>
      </w:pPr>
      <w:r>
        <w:rPr>
          <w:rFonts w:ascii="Arial" w:eastAsia="Times New Roman" w:hAnsi="Arial" w:cs="Arial"/>
          <w:bCs/>
          <w:kern w:val="36"/>
        </w:rPr>
        <w:t xml:space="preserve"> Evaluation of Southwark council website</w:t>
      </w:r>
    </w:p>
    <w:p w14:paraId="75B9BD48" w14:textId="305B6B6F" w:rsidR="00650156" w:rsidRDefault="00650156" w:rsidP="00650156">
      <w:pPr>
        <w:spacing w:before="100" w:beforeAutospacing="1" w:after="100" w:afterAutospacing="1" w:line="240" w:lineRule="auto"/>
        <w:outlineLvl w:val="0"/>
        <w:rPr>
          <w:rFonts w:ascii="Arial" w:eastAsia="Times New Roman" w:hAnsi="Arial" w:cs="Arial"/>
          <w:bCs/>
          <w:kern w:val="36"/>
        </w:rPr>
      </w:pPr>
      <w:r>
        <w:rPr>
          <w:rFonts w:ascii="Arial" w:eastAsia="Times New Roman" w:hAnsi="Arial" w:cs="Arial"/>
          <w:bCs/>
          <w:kern w:val="36"/>
        </w:rPr>
        <w:t>C</w:t>
      </w:r>
      <w:r w:rsidRPr="0040195B">
        <w:rPr>
          <w:rFonts w:ascii="Arial" w:eastAsia="Times New Roman" w:hAnsi="Arial" w:cs="Arial"/>
          <w:bCs/>
          <w:kern w:val="36"/>
        </w:rPr>
        <w:t>omparative Analysis of Strengths and Weaknesse</w:t>
      </w:r>
      <w:r>
        <w:rPr>
          <w:rFonts w:ascii="Arial" w:eastAsia="Times New Roman" w:hAnsi="Arial" w:cs="Arial"/>
          <w:bCs/>
          <w:kern w:val="36"/>
        </w:rPr>
        <w:t>s</w:t>
      </w:r>
    </w:p>
    <w:p w14:paraId="719F7082" w14:textId="2B94D045" w:rsidR="00650156" w:rsidRDefault="00650156" w:rsidP="00650156">
      <w:pPr>
        <w:spacing w:before="100" w:beforeAutospacing="1" w:after="100" w:afterAutospacing="1" w:line="240" w:lineRule="auto"/>
        <w:outlineLvl w:val="0"/>
        <w:rPr>
          <w:rFonts w:ascii="Arial" w:eastAsia="Times New Roman" w:hAnsi="Arial" w:cs="Arial"/>
          <w:bCs/>
          <w:kern w:val="36"/>
        </w:rPr>
      </w:pPr>
      <w:r>
        <w:rPr>
          <w:rFonts w:ascii="Arial" w:eastAsia="Times New Roman" w:hAnsi="Arial" w:cs="Arial"/>
          <w:bCs/>
          <w:kern w:val="36"/>
        </w:rPr>
        <w:t>Recommendations for improvement</w:t>
      </w:r>
    </w:p>
    <w:p w14:paraId="0CAC2716" w14:textId="63ED5914" w:rsidR="00650156" w:rsidRDefault="00650156" w:rsidP="00650156">
      <w:pPr>
        <w:spacing w:before="100" w:beforeAutospacing="1" w:after="100" w:afterAutospacing="1" w:line="240" w:lineRule="auto"/>
        <w:outlineLvl w:val="0"/>
        <w:rPr>
          <w:rFonts w:ascii="Arial" w:eastAsia="Times New Roman" w:hAnsi="Arial" w:cs="Arial"/>
          <w:bCs/>
          <w:kern w:val="36"/>
        </w:rPr>
      </w:pPr>
      <w:r>
        <w:rPr>
          <w:rFonts w:ascii="Arial" w:eastAsia="Times New Roman" w:hAnsi="Arial" w:cs="Arial"/>
          <w:bCs/>
          <w:kern w:val="36"/>
        </w:rPr>
        <w:t>Conclusion</w:t>
      </w:r>
    </w:p>
    <w:p w14:paraId="43643435" w14:textId="62D05FB1" w:rsidR="00650156" w:rsidRPr="009003A6" w:rsidRDefault="00650156" w:rsidP="00650156">
      <w:pPr>
        <w:spacing w:before="100" w:beforeAutospacing="1" w:after="100" w:afterAutospacing="1" w:line="240" w:lineRule="auto"/>
        <w:outlineLvl w:val="0"/>
        <w:rPr>
          <w:rFonts w:ascii="Arial" w:eastAsia="Times New Roman" w:hAnsi="Arial" w:cs="Arial"/>
          <w:bCs/>
          <w:kern w:val="36"/>
        </w:rPr>
      </w:pPr>
      <w:r>
        <w:rPr>
          <w:rFonts w:ascii="Arial" w:eastAsia="Times New Roman" w:hAnsi="Arial" w:cs="Arial"/>
          <w:bCs/>
          <w:kern w:val="36"/>
        </w:rPr>
        <w:t>Reference</w:t>
      </w:r>
    </w:p>
    <w:p w14:paraId="2ADC2FE5" w14:textId="77777777" w:rsidR="00650156" w:rsidRDefault="00650156" w:rsidP="0057727E">
      <w:pPr>
        <w:spacing w:line="360" w:lineRule="auto"/>
        <w:rPr>
          <w:rFonts w:ascii="Arial" w:eastAsia="Aptos" w:hAnsi="Arial" w:cs="Arial"/>
          <w:color w:val="1D2125"/>
          <w:sz w:val="28"/>
          <w:szCs w:val="28"/>
          <w:lang w:eastAsia="en-US"/>
        </w:rPr>
      </w:pPr>
    </w:p>
    <w:p w14:paraId="05F4681D" w14:textId="77777777" w:rsidR="00650156" w:rsidRDefault="00650156" w:rsidP="0057727E">
      <w:pPr>
        <w:spacing w:line="360" w:lineRule="auto"/>
        <w:rPr>
          <w:rFonts w:ascii="Arial" w:eastAsia="Aptos" w:hAnsi="Arial" w:cs="Arial"/>
          <w:color w:val="1D2125"/>
          <w:sz w:val="28"/>
          <w:szCs w:val="28"/>
          <w:lang w:eastAsia="en-US"/>
        </w:rPr>
      </w:pPr>
    </w:p>
    <w:p w14:paraId="2E3E428E" w14:textId="77777777" w:rsidR="00650156" w:rsidRDefault="00650156" w:rsidP="0057727E">
      <w:pPr>
        <w:spacing w:line="360" w:lineRule="auto"/>
        <w:rPr>
          <w:rFonts w:ascii="Arial" w:eastAsia="Aptos" w:hAnsi="Arial" w:cs="Arial"/>
          <w:color w:val="1D2125"/>
          <w:sz w:val="28"/>
          <w:szCs w:val="28"/>
          <w:lang w:eastAsia="en-US"/>
        </w:rPr>
      </w:pPr>
    </w:p>
    <w:p w14:paraId="0A0DC165" w14:textId="77777777" w:rsidR="00650156" w:rsidRDefault="00650156" w:rsidP="0057727E">
      <w:pPr>
        <w:spacing w:line="360" w:lineRule="auto"/>
        <w:rPr>
          <w:rFonts w:ascii="Arial" w:eastAsia="Aptos" w:hAnsi="Arial" w:cs="Arial"/>
          <w:color w:val="1D2125"/>
          <w:sz w:val="28"/>
          <w:szCs w:val="28"/>
          <w:lang w:eastAsia="en-US"/>
        </w:rPr>
      </w:pPr>
    </w:p>
    <w:p w14:paraId="228AFB4B" w14:textId="77777777" w:rsidR="00650156" w:rsidRDefault="00650156" w:rsidP="0057727E">
      <w:pPr>
        <w:spacing w:line="360" w:lineRule="auto"/>
        <w:rPr>
          <w:rFonts w:ascii="Arial" w:eastAsia="Aptos" w:hAnsi="Arial" w:cs="Arial"/>
          <w:color w:val="1D2125"/>
          <w:sz w:val="28"/>
          <w:szCs w:val="28"/>
          <w:lang w:eastAsia="en-US"/>
        </w:rPr>
      </w:pPr>
    </w:p>
    <w:p w14:paraId="02F0EAF7" w14:textId="77777777" w:rsidR="00650156" w:rsidRDefault="00650156" w:rsidP="0057727E">
      <w:pPr>
        <w:spacing w:line="360" w:lineRule="auto"/>
        <w:rPr>
          <w:rFonts w:ascii="Arial" w:eastAsia="Aptos" w:hAnsi="Arial" w:cs="Arial"/>
          <w:color w:val="1D2125"/>
          <w:sz w:val="28"/>
          <w:szCs w:val="28"/>
          <w:lang w:eastAsia="en-US"/>
        </w:rPr>
      </w:pPr>
    </w:p>
    <w:p w14:paraId="4B6BE7A4" w14:textId="77777777" w:rsidR="00C76C6C" w:rsidRDefault="00C76C6C" w:rsidP="00C77526">
      <w:pPr>
        <w:spacing w:line="360" w:lineRule="auto"/>
        <w:rPr>
          <w:rFonts w:ascii="Arial" w:eastAsia="Aptos" w:hAnsi="Arial" w:cs="Arial"/>
          <w:b/>
          <w:bCs/>
          <w:color w:val="1D2125"/>
          <w:lang w:eastAsia="en-US"/>
        </w:rPr>
      </w:pPr>
    </w:p>
    <w:p w14:paraId="3DE22CAB" w14:textId="77777777" w:rsidR="00C76C6C" w:rsidRDefault="00C76C6C" w:rsidP="00C77526">
      <w:pPr>
        <w:spacing w:line="360" w:lineRule="auto"/>
        <w:rPr>
          <w:rFonts w:ascii="Arial" w:eastAsia="Aptos" w:hAnsi="Arial" w:cs="Arial"/>
          <w:b/>
          <w:bCs/>
          <w:color w:val="1D2125"/>
          <w:lang w:eastAsia="en-US"/>
        </w:rPr>
      </w:pPr>
    </w:p>
    <w:p w14:paraId="116644BC" w14:textId="77777777" w:rsidR="00C76C6C" w:rsidRDefault="00C76C6C" w:rsidP="00C77526">
      <w:pPr>
        <w:spacing w:line="360" w:lineRule="auto"/>
        <w:rPr>
          <w:rFonts w:ascii="Arial" w:eastAsia="Aptos" w:hAnsi="Arial" w:cs="Arial"/>
          <w:b/>
          <w:bCs/>
          <w:color w:val="1D2125"/>
          <w:lang w:eastAsia="en-US"/>
        </w:rPr>
      </w:pPr>
    </w:p>
    <w:p w14:paraId="709F98F6" w14:textId="77777777" w:rsidR="00C76C6C" w:rsidRDefault="00C76C6C" w:rsidP="00C77526">
      <w:pPr>
        <w:spacing w:line="360" w:lineRule="auto"/>
        <w:rPr>
          <w:rFonts w:ascii="Arial" w:eastAsia="Aptos" w:hAnsi="Arial" w:cs="Arial"/>
          <w:b/>
          <w:bCs/>
          <w:color w:val="1D2125"/>
          <w:lang w:eastAsia="en-US"/>
        </w:rPr>
      </w:pPr>
    </w:p>
    <w:p w14:paraId="07AC00CC" w14:textId="77777777" w:rsidR="00C76C6C" w:rsidRDefault="00C76C6C" w:rsidP="00C77526">
      <w:pPr>
        <w:spacing w:line="360" w:lineRule="auto"/>
        <w:rPr>
          <w:rFonts w:ascii="Arial" w:eastAsia="Aptos" w:hAnsi="Arial" w:cs="Arial"/>
          <w:b/>
          <w:bCs/>
          <w:color w:val="1D2125"/>
          <w:lang w:eastAsia="en-US"/>
        </w:rPr>
      </w:pPr>
    </w:p>
    <w:p w14:paraId="65931AC7" w14:textId="77777777" w:rsidR="00C76C6C" w:rsidRDefault="00C76C6C" w:rsidP="00C77526">
      <w:pPr>
        <w:spacing w:line="360" w:lineRule="auto"/>
        <w:rPr>
          <w:rFonts w:ascii="Arial" w:eastAsia="Aptos" w:hAnsi="Arial" w:cs="Arial"/>
          <w:b/>
          <w:bCs/>
          <w:color w:val="1D2125"/>
          <w:lang w:eastAsia="en-US"/>
        </w:rPr>
      </w:pPr>
    </w:p>
    <w:p w14:paraId="6EDEB257" w14:textId="77777777"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An Examination and Analysis of How the ‘Early Help’ System is Signposted to UK Families by Local Authority Websites</w:t>
      </w:r>
    </w:p>
    <w:p w14:paraId="706C9AC7" w14:textId="77777777"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Introduction</w:t>
      </w:r>
    </w:p>
    <w:p w14:paraId="6AF2AECF" w14:textId="6E88A0EA" w:rsidR="00B37FF2" w:rsidRPr="00B37FF2" w:rsidRDefault="00B37FF2" w:rsidP="00B37FF2">
      <w:pPr>
        <w:spacing w:line="360" w:lineRule="auto"/>
        <w:rPr>
          <w:rFonts w:ascii="Arial" w:eastAsia="Aptos" w:hAnsi="Arial" w:cs="Arial"/>
          <w:color w:val="1D2125"/>
          <w:lang w:eastAsia="en-US"/>
        </w:rPr>
      </w:pPr>
      <w:r w:rsidRPr="00B37FF2">
        <w:rPr>
          <w:rFonts w:ascii="Arial" w:eastAsia="Aptos" w:hAnsi="Arial" w:cs="Arial"/>
          <w:color w:val="1D2125"/>
          <w:lang w:eastAsia="en-US"/>
        </w:rPr>
        <w:t xml:space="preserve">Early Help is an important aspect of safeguarding and early intervention within children’s services in </w:t>
      </w:r>
      <w:r w:rsidR="00B041AF">
        <w:rPr>
          <w:rFonts w:ascii="Arial" w:eastAsia="Aptos" w:hAnsi="Arial" w:cs="Arial"/>
          <w:color w:val="1D2125"/>
          <w:lang w:eastAsia="en-US"/>
        </w:rPr>
        <w:t>United Kingdom</w:t>
      </w:r>
      <w:r w:rsidRPr="00B37FF2">
        <w:rPr>
          <w:rFonts w:ascii="Arial" w:eastAsia="Aptos" w:hAnsi="Arial" w:cs="Arial"/>
          <w:color w:val="1D2125"/>
          <w:lang w:eastAsia="en-US"/>
        </w:rPr>
        <w:t>. It is designed to identify and respond to emerging needs for children, young people, and families before issues escalate into crises requiring statutory intervention. By intervening early, services aim to improve outcomes, strengthen resilience, and reduce reliance on specialist interventions (Department for Education, 2020). This preventative approach reflects a wider policy shift within children’s services towards early intervention, which has been shown to be both more effective in improving long-term outcomes and more cost-efficient than reactive, crisis-led responses (Featherstone et al., 2018; HM Government, 2023).</w:t>
      </w:r>
    </w:p>
    <w:p w14:paraId="7B293BD9" w14:textId="77777777" w:rsidR="00B37FF2" w:rsidRPr="00B37FF2" w:rsidRDefault="00B37FF2" w:rsidP="00B37FF2">
      <w:pPr>
        <w:spacing w:line="360" w:lineRule="auto"/>
        <w:rPr>
          <w:rFonts w:ascii="Arial" w:eastAsia="Aptos" w:hAnsi="Arial" w:cs="Arial"/>
          <w:color w:val="1D2125"/>
          <w:lang w:eastAsia="en-US"/>
        </w:rPr>
      </w:pPr>
      <w:r w:rsidRPr="00B37FF2">
        <w:rPr>
          <w:rFonts w:ascii="Arial" w:eastAsia="Aptos" w:hAnsi="Arial" w:cs="Arial"/>
          <w:color w:val="1D2125"/>
          <w:lang w:eastAsia="en-US"/>
        </w:rPr>
        <w:t>The theoretical basis of Early Help is closely aligned with ecological systems theory, which emphasises that children’s development is influenced by multiple interconnected factors, including family circumstances, education, and wider socio-economic conditions (Bronfenbrenner, 1979). As a result, Early Help adopts a whole-family approach, recognising that issues such as parental mental health, financial hardship, or housing instability can have a direct impact on children’s wellbeing. For example, a child’s poor school attendance may be linked to parental anxiety or economic stress, highlighting the need for coordinated and holistic intervention (Daniel et al., 2011).</w:t>
      </w:r>
    </w:p>
    <w:p w14:paraId="77E9EF63" w14:textId="77777777" w:rsidR="00B37FF2" w:rsidRPr="00B37FF2" w:rsidRDefault="00B37FF2" w:rsidP="00B37FF2">
      <w:pPr>
        <w:spacing w:line="360" w:lineRule="auto"/>
        <w:rPr>
          <w:rFonts w:ascii="Arial" w:eastAsia="Aptos" w:hAnsi="Arial" w:cs="Arial"/>
          <w:color w:val="1D2125"/>
          <w:lang w:eastAsia="en-US"/>
        </w:rPr>
      </w:pPr>
      <w:r w:rsidRPr="00B37FF2">
        <w:rPr>
          <w:rFonts w:ascii="Arial" w:eastAsia="Aptos" w:hAnsi="Arial" w:cs="Arial"/>
          <w:color w:val="1D2125"/>
          <w:lang w:eastAsia="en-US"/>
        </w:rPr>
        <w:t>In a digital-first society, local authority websites play a crucial role in communicating Early Help services. For many families, these platforms represent the first point of contact when seeking support. For example, a parent concerned about their child’s behaviour or school attendance is likely to search online before approaching professionals directly. Therefore, the clarity, accessibility, and organisation of websites significantly influence whether support is accessed at an early stage (NHS Digital, 2022). Research into digital public services highlights that user-friendly design, clear navigation, and accessible language are essential in enabling engagement, particularly for individuals experiencing stress or uncertainty (Redish, 2012).</w:t>
      </w:r>
    </w:p>
    <w:p w14:paraId="64919708" w14:textId="77777777" w:rsidR="00B37FF2" w:rsidRPr="00B37FF2" w:rsidRDefault="00B37FF2" w:rsidP="00B37FF2">
      <w:pPr>
        <w:spacing w:line="360" w:lineRule="auto"/>
        <w:rPr>
          <w:rFonts w:ascii="Arial" w:eastAsia="Aptos" w:hAnsi="Arial" w:cs="Arial"/>
          <w:color w:val="1D2125"/>
          <w:lang w:eastAsia="en-US"/>
        </w:rPr>
      </w:pPr>
      <w:r w:rsidRPr="00B37FF2">
        <w:rPr>
          <w:rFonts w:ascii="Arial" w:eastAsia="Aptos" w:hAnsi="Arial" w:cs="Arial"/>
          <w:color w:val="1D2125"/>
          <w:lang w:eastAsia="en-US"/>
        </w:rPr>
        <w:t>However, reliance on digital platforms also raises concerns regarding inclusion and equity. Digital exclusion remains a significant issue, particularly for families experiencing socio-economic disadvantage, limited digital literacy, or language barriers (Public Health England, 2019). This suggests that while websites can enhance access for many users, they may simultaneously create barriers for others, potentially reinforcing existing inequalities in access to support (Bywaters et al., 2016). As Early Help is intended to be universally accessible, the effectiveness of digital communication must therefore be considered critically.</w:t>
      </w:r>
    </w:p>
    <w:p w14:paraId="405C07AA" w14:textId="6F8C83CA" w:rsidR="00B37FF2" w:rsidRPr="00B37FF2" w:rsidRDefault="00B37FF2" w:rsidP="00B37FF2">
      <w:pPr>
        <w:spacing w:line="360" w:lineRule="auto"/>
        <w:rPr>
          <w:rFonts w:ascii="Arial" w:eastAsia="Aptos" w:hAnsi="Arial" w:cs="Arial"/>
          <w:color w:val="1D2125"/>
          <w:lang w:eastAsia="en-US"/>
        </w:rPr>
      </w:pPr>
      <w:r w:rsidRPr="00B37FF2">
        <w:rPr>
          <w:rFonts w:ascii="Arial" w:eastAsia="Aptos" w:hAnsi="Arial" w:cs="Arial"/>
          <w:color w:val="1D2125"/>
          <w:lang w:eastAsia="en-US"/>
        </w:rPr>
        <w:t>This report critically evaluates how three local authorities</w:t>
      </w:r>
      <w:r w:rsidR="00812AA8">
        <w:rPr>
          <w:rFonts w:ascii="Arial" w:eastAsia="Aptos" w:hAnsi="Arial" w:cs="Arial"/>
          <w:color w:val="1D2125"/>
          <w:lang w:eastAsia="en-US"/>
        </w:rPr>
        <w:t xml:space="preserve">: </w:t>
      </w:r>
      <w:r w:rsidRPr="00B37FF2">
        <w:rPr>
          <w:rFonts w:ascii="Arial" w:eastAsia="Aptos" w:hAnsi="Arial" w:cs="Arial"/>
          <w:color w:val="1D2125"/>
          <w:lang w:eastAsia="en-US"/>
        </w:rPr>
        <w:t>Leeds City Council, Norfolk County Council, and Southwark Council</w:t>
      </w:r>
      <w:r w:rsidR="00177A0F">
        <w:rPr>
          <w:rFonts w:ascii="Arial" w:eastAsia="Aptos" w:hAnsi="Arial" w:cs="Arial"/>
          <w:color w:val="1D2125"/>
          <w:lang w:eastAsia="en-US"/>
        </w:rPr>
        <w:t xml:space="preserve">, </w:t>
      </w:r>
      <w:r w:rsidRPr="00B37FF2">
        <w:rPr>
          <w:rFonts w:ascii="Arial" w:eastAsia="Aptos" w:hAnsi="Arial" w:cs="Arial"/>
          <w:color w:val="1D2125"/>
          <w:lang w:eastAsia="en-US"/>
        </w:rPr>
        <w:t>signpost Early Help services through their websites. It explores the policy and theoretical context underpinning Early Help, examines the role of multi-agency working, and provides a comparative analysis of the accessibility, clarity, and effectiveness of each website. Practical examples are used throughout to illustrate key points, and critical perspectives relating to inequality and service accessibility are considered in order to provide a comprehensive evaluation.</w:t>
      </w:r>
    </w:p>
    <w:p w14:paraId="7D1C1CAD" w14:textId="29E2332A"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w:t>
      </w:r>
    </w:p>
    <w:p w14:paraId="3A85208B" w14:textId="15A38CAB" w:rsidR="00C77526" w:rsidRPr="00C77526" w:rsidRDefault="00C77526" w:rsidP="00C77526">
      <w:pPr>
        <w:spacing w:line="360" w:lineRule="auto"/>
        <w:rPr>
          <w:rFonts w:ascii="Arial" w:eastAsia="Aptos" w:hAnsi="Arial" w:cs="Arial"/>
          <w:color w:val="1D2125"/>
          <w:lang w:eastAsia="en-US"/>
        </w:rPr>
      </w:pPr>
    </w:p>
    <w:p w14:paraId="203E4C8A" w14:textId="3B03C841" w:rsidR="00C77526" w:rsidRPr="00C77526" w:rsidRDefault="006F241E" w:rsidP="00C77526">
      <w:pPr>
        <w:spacing w:line="360" w:lineRule="auto"/>
        <w:rPr>
          <w:rFonts w:ascii="Arial" w:eastAsia="Aptos" w:hAnsi="Arial" w:cs="Arial"/>
          <w:b/>
          <w:bCs/>
          <w:color w:val="1D2125"/>
          <w:lang w:eastAsia="en-US"/>
        </w:rPr>
      </w:pPr>
      <w:r>
        <w:rPr>
          <w:rFonts w:ascii="Arial" w:eastAsia="Aptos" w:hAnsi="Arial" w:cs="Arial"/>
          <w:b/>
          <w:bCs/>
          <w:color w:val="1D2125"/>
          <w:lang w:eastAsia="en-US"/>
        </w:rPr>
        <w:t>Explanation</w:t>
      </w:r>
      <w:r w:rsidR="00DE7246">
        <w:rPr>
          <w:rFonts w:ascii="Arial" w:eastAsia="Aptos" w:hAnsi="Arial" w:cs="Arial"/>
          <w:b/>
          <w:bCs/>
          <w:color w:val="1D2125"/>
          <w:lang w:eastAsia="en-US"/>
        </w:rPr>
        <w:t xml:space="preserve"> of </w:t>
      </w:r>
      <w:r w:rsidR="00C77526" w:rsidRPr="00C77526">
        <w:rPr>
          <w:rFonts w:ascii="Arial" w:eastAsia="Aptos" w:hAnsi="Arial" w:cs="Arial"/>
          <w:b/>
          <w:bCs/>
          <w:color w:val="1D2125"/>
          <w:lang w:eastAsia="en-US"/>
        </w:rPr>
        <w:t>Early Help System: Policy and Theoretical Context</w:t>
      </w:r>
    </w:p>
    <w:p w14:paraId="110B0E05"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Early Help system reflects a shift from reactive to preventative service delivery. The Department for Education (2020) defines Early Help as support provided as soon as a problem emerges, which may include parenting support, mental health services, financial advice, and housing assistance.</w:t>
      </w:r>
    </w:p>
    <w:p w14:paraId="70259F05"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This approach is underpinned by ecological systems theory (Bronfenbrenner, 1979), which highlights the interconnected influences on a child’s development. For instance, a child experiencing behavioural difficulties at school may be affected by parental stress, financial hardship, or unstable housing. Early Help recognises these interconnections and seeks to address them holistically.</w:t>
      </w:r>
    </w:p>
    <w:p w14:paraId="6E526E69"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 practical example illustrates this approach: a family experiencing rent arrears may also face parental anxiety and a child’s declining school attendance. Through Early Help, support could involve a housing officer addressing arrears, a school supporting attendance, and a mental health practitioner assisting the parent. This coordinated intervention demonstrates how Early Help addresses root causes rather than isolated symptoms.</w:t>
      </w:r>
    </w:p>
    <w:p w14:paraId="6B62AC0D"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National guidance such as Working Together to Safeguard Children (HM Government, 2023) reinforces the importance of early identification and coordinated support. However, research highlights inconsistencies in implementation due to resource constraints and rising demand (Featherstone et al., 2018). For example, in some areas, families may only receive support once issues become severe, undermining the preventative aim.</w:t>
      </w:r>
    </w:p>
    <w:p w14:paraId="436F5CF1"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This reinforces the importance of effective communication: if families cannot easily identify or access support through websites, Early Help cannot function as intended.</w:t>
      </w:r>
    </w:p>
    <w:p w14:paraId="224D6AE3" w14:textId="7EC639C7" w:rsidR="00C77526" w:rsidRPr="00C77526" w:rsidRDefault="00C77526" w:rsidP="00C77526">
      <w:pPr>
        <w:spacing w:line="360" w:lineRule="auto"/>
        <w:rPr>
          <w:rFonts w:ascii="Arial" w:eastAsia="Aptos" w:hAnsi="Arial" w:cs="Arial"/>
          <w:color w:val="1D2125"/>
          <w:lang w:eastAsia="en-US"/>
        </w:rPr>
      </w:pPr>
    </w:p>
    <w:p w14:paraId="0F0A3812" w14:textId="77777777"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Multi-Agency Working in Early Help</w:t>
      </w:r>
    </w:p>
    <w:p w14:paraId="1615C775"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Multi-agency working is central to Early Help, as families often present with multiple, interconnected needs. For example, a young person experiencing anxiety may also struggle with school attendance, requiring collaboration between education and mental health services.</w:t>
      </w:r>
    </w:p>
    <w:p w14:paraId="5C91A0D4"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HM Government (2023) emphasises that safeguarding is a shared responsibility across agencies. Multi-agency working allows professionals to share information, coordinate interventions, and develop comprehensive support plans.</w:t>
      </w:r>
    </w:p>
    <w:p w14:paraId="59D3D03D"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 practical example demonstrates this: a school identifies a child with persistent absence. An Early Help assessment is initiated, involving a teacher, a family support worker, and a health professional. The resulting plan might include school-based interventions, parenting support, and access to counselling. This integrated approach improves outcomes by addressing multiple factors simultaneously.</w:t>
      </w:r>
    </w:p>
    <w:p w14:paraId="2DE88B3A"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However, challenges exist. Atkinson et al. (2007) highlight issues such as communication barriers and differing professional priorities. For families, these processes can be confusing. For example, parents may not understand why multiple professionals are involved or how decisions are made.</w:t>
      </w:r>
    </w:p>
    <w:p w14:paraId="4D320C75"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Local authority websites therefore have an important role in explaining multi-agency working. Clear explanations can reduce confusion and build trust, while poor communication may discourage engagement.</w:t>
      </w:r>
    </w:p>
    <w:p w14:paraId="1414BCEC" w14:textId="613664CF" w:rsidR="00C77526" w:rsidRPr="00C77526" w:rsidRDefault="00C77526" w:rsidP="00C77526">
      <w:pPr>
        <w:spacing w:line="360" w:lineRule="auto"/>
        <w:rPr>
          <w:rFonts w:ascii="Arial" w:eastAsia="Aptos" w:hAnsi="Arial" w:cs="Arial"/>
          <w:color w:val="1D2125"/>
          <w:lang w:eastAsia="en-US"/>
        </w:rPr>
      </w:pPr>
    </w:p>
    <w:p w14:paraId="7AA06A18" w14:textId="77777777"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Evaluation of Leeds City Council Website</w:t>
      </w:r>
    </w:p>
    <w:p w14:paraId="77131C0B"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Leeds City Council website presents Early Help information mainly through its Family Information Service and SEND-related pages (Leeds City Council, 2026).</w:t>
      </w:r>
    </w:p>
    <w:p w14:paraId="3327BF9E"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 key strength is its alignment with professional frameworks. The website references structured approaches such as the Common Assessment Framework and highlights multi-agency collaboration. For example, a professional user can understand how to initiate support and coordinate services.</w:t>
      </w:r>
    </w:p>
    <w:p w14:paraId="16EEE05A"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However, the website is less effective for families. Information is fragmented across multiple pages, making it difficult to locate. For instance, a parent searching for help with a child’s anxiety may need to navigate several sections before finding relevant information. This increases the risk that users disengage before accessing support.</w:t>
      </w:r>
    </w:p>
    <w:p w14:paraId="652188E7"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Additionally, the emphasis on SEND may create misconceptions. For example, a family experiencing financial stress and parenting challenges may not identify with SEND services and therefore may not realise that Early Help is available to them.</w:t>
      </w:r>
    </w:p>
    <w:p w14:paraId="528DE633"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This demonstrates a key limitation: while the website supports professionals, it does not adequately support user navigation or understanding, reducing accessibility for families.</w:t>
      </w:r>
    </w:p>
    <w:p w14:paraId="28C51C07" w14:textId="644C611C" w:rsidR="00C77526" w:rsidRPr="00C77526" w:rsidRDefault="00C77526" w:rsidP="00C77526">
      <w:pPr>
        <w:spacing w:line="360" w:lineRule="auto"/>
        <w:rPr>
          <w:rFonts w:ascii="Arial" w:eastAsia="Aptos" w:hAnsi="Arial" w:cs="Arial"/>
          <w:color w:val="1D2125"/>
          <w:lang w:eastAsia="en-US"/>
        </w:rPr>
      </w:pPr>
    </w:p>
    <w:p w14:paraId="0D85D54A" w14:textId="77777777" w:rsidR="00F74D3A" w:rsidRDefault="00F74D3A" w:rsidP="00C77526">
      <w:pPr>
        <w:spacing w:line="360" w:lineRule="auto"/>
        <w:rPr>
          <w:rFonts w:ascii="Arial" w:eastAsia="Aptos" w:hAnsi="Arial" w:cs="Arial"/>
          <w:b/>
          <w:bCs/>
          <w:color w:val="1D2125"/>
          <w:lang w:eastAsia="en-US"/>
        </w:rPr>
      </w:pPr>
    </w:p>
    <w:p w14:paraId="50330F90" w14:textId="77777777" w:rsidR="00F74D3A" w:rsidRDefault="00F74D3A" w:rsidP="00C77526">
      <w:pPr>
        <w:spacing w:line="360" w:lineRule="auto"/>
        <w:rPr>
          <w:rFonts w:ascii="Arial" w:eastAsia="Aptos" w:hAnsi="Arial" w:cs="Arial"/>
          <w:b/>
          <w:bCs/>
          <w:color w:val="1D2125"/>
          <w:lang w:eastAsia="en-US"/>
        </w:rPr>
      </w:pPr>
    </w:p>
    <w:p w14:paraId="6D09F2BC" w14:textId="77777777" w:rsidR="00F74D3A" w:rsidRDefault="00F74D3A" w:rsidP="00C77526">
      <w:pPr>
        <w:spacing w:line="360" w:lineRule="auto"/>
        <w:rPr>
          <w:rFonts w:ascii="Arial" w:eastAsia="Aptos" w:hAnsi="Arial" w:cs="Arial"/>
          <w:b/>
          <w:bCs/>
          <w:color w:val="1D2125"/>
          <w:lang w:eastAsia="en-US"/>
        </w:rPr>
      </w:pPr>
    </w:p>
    <w:p w14:paraId="2CD108CB" w14:textId="51E8DA42"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Evaluation of Norfolk County Council Website</w:t>
      </w:r>
    </w:p>
    <w:p w14:paraId="6A4B1BD3"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Norfolk County Council website includes a dedicated Early Help section that is clearly structured and easy to navigate (Norfolk County Council, 2026).</w:t>
      </w:r>
    </w:p>
    <w:p w14:paraId="5E7763D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Its primary strength is accessibility. The use of plain language ensures that users can quickly understand the purpose of Early Help. For example, a parent reading the site can easily recognise that support is available for issues such as debt, parenting difficulties, or emotional wellbeing.</w:t>
      </w:r>
    </w:p>
    <w:p w14:paraId="253D0D9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website also reduces stigma by presenting Early Help as normal. For instance, it might describe support for “everyday challenges,” making it more likely that families seek help early rather than waiting for a crisis.</w:t>
      </w:r>
    </w:p>
    <w:p w14:paraId="323E0F7A"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However, the website lacks detailed explanations of processes. For example, it may not clearly explain what happens after a referral, who will be involved, or how long support may last. This uncertainty could discourage some families from engaging.</w:t>
      </w:r>
    </w:p>
    <w:p w14:paraId="11E47DB6"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This highlights a tension between simplicity and depth: while accessibility is strong, the lack of detailed information may limit user confidence in the system.</w:t>
      </w:r>
    </w:p>
    <w:p w14:paraId="05B7600D" w14:textId="041B8D20" w:rsidR="00C77526" w:rsidRPr="00C77526" w:rsidRDefault="00C77526" w:rsidP="00C77526">
      <w:pPr>
        <w:spacing w:line="360" w:lineRule="auto"/>
        <w:rPr>
          <w:rFonts w:ascii="Arial" w:eastAsia="Aptos" w:hAnsi="Arial" w:cs="Arial"/>
          <w:color w:val="1D2125"/>
          <w:lang w:eastAsia="en-US"/>
        </w:rPr>
      </w:pPr>
    </w:p>
    <w:p w14:paraId="31773B39" w14:textId="77777777" w:rsidR="00F024F1" w:rsidRDefault="00F024F1" w:rsidP="00C77526">
      <w:pPr>
        <w:spacing w:line="360" w:lineRule="auto"/>
        <w:rPr>
          <w:rFonts w:ascii="Arial" w:eastAsia="Aptos" w:hAnsi="Arial" w:cs="Arial"/>
          <w:b/>
          <w:bCs/>
          <w:color w:val="1D2125"/>
          <w:lang w:eastAsia="en-US"/>
        </w:rPr>
      </w:pPr>
    </w:p>
    <w:p w14:paraId="00D47492" w14:textId="77777777" w:rsidR="00F024F1" w:rsidRDefault="00F024F1" w:rsidP="00C77526">
      <w:pPr>
        <w:spacing w:line="360" w:lineRule="auto"/>
        <w:rPr>
          <w:rFonts w:ascii="Arial" w:eastAsia="Aptos" w:hAnsi="Arial" w:cs="Arial"/>
          <w:b/>
          <w:bCs/>
          <w:color w:val="1D2125"/>
          <w:lang w:eastAsia="en-US"/>
        </w:rPr>
      </w:pPr>
    </w:p>
    <w:p w14:paraId="243B3BB7" w14:textId="77777777" w:rsidR="00F024F1" w:rsidRDefault="00F024F1" w:rsidP="00C77526">
      <w:pPr>
        <w:spacing w:line="360" w:lineRule="auto"/>
        <w:rPr>
          <w:rFonts w:ascii="Arial" w:eastAsia="Aptos" w:hAnsi="Arial" w:cs="Arial"/>
          <w:b/>
          <w:bCs/>
          <w:color w:val="1D2125"/>
          <w:lang w:eastAsia="en-US"/>
        </w:rPr>
      </w:pPr>
    </w:p>
    <w:p w14:paraId="23463273" w14:textId="77777777" w:rsidR="00F024F1" w:rsidRDefault="00F024F1" w:rsidP="00C77526">
      <w:pPr>
        <w:spacing w:line="360" w:lineRule="auto"/>
        <w:rPr>
          <w:rFonts w:ascii="Arial" w:eastAsia="Aptos" w:hAnsi="Arial" w:cs="Arial"/>
          <w:b/>
          <w:bCs/>
          <w:color w:val="1D2125"/>
          <w:lang w:eastAsia="en-US"/>
        </w:rPr>
      </w:pPr>
    </w:p>
    <w:p w14:paraId="66EC7749" w14:textId="0F6EA896"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Evaluation of Southwark Council Website</w:t>
      </w:r>
    </w:p>
    <w:p w14:paraId="18A91DF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Southwark Council website provides a comprehensive and well-structured Early Help section (Southwark Council, 2026).</w:t>
      </w:r>
    </w:p>
    <w:p w14:paraId="2AEE41AD"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 key strength is its balance between clarity and detail. For example, the website explains the difference between universal services (such as schools) and targeted Early Help support. This helps families understand where they fit within the system.</w:t>
      </w:r>
    </w:p>
    <w:p w14:paraId="115A5A4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inclusion of practical examples enhances usability. For instance, the site references issues such as domestic abuse, bereavement, and financial difficulties. A parent experiencing debt can therefore quickly identify that support is relevant to their situation.</w:t>
      </w:r>
    </w:p>
    <w:p w14:paraId="5244F8E7"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The website also clearly explains multi-agency working. For example, it outlines how teachers, social workers, and health professionals collaborate, helping families understand what to expect.</w:t>
      </w:r>
    </w:p>
    <w:p w14:paraId="3B0DA3D7"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Additionally, clear referral pathways improve access. A family can easily find contact details or self-referral options, reducing delays in accessing support.</w:t>
      </w:r>
    </w:p>
    <w:p w14:paraId="1553347E"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Although the volume of information may initially seem overwhelming, the structured layout ensures usability. Overall, Southwark provides a highly effective model.</w:t>
      </w:r>
    </w:p>
    <w:p w14:paraId="341180E5" w14:textId="3001BE19" w:rsidR="00C77526" w:rsidRPr="00C77526" w:rsidRDefault="00C77526" w:rsidP="00C77526">
      <w:pPr>
        <w:spacing w:line="360" w:lineRule="auto"/>
        <w:rPr>
          <w:rFonts w:ascii="Arial" w:eastAsia="Aptos" w:hAnsi="Arial" w:cs="Arial"/>
          <w:color w:val="1D2125"/>
          <w:lang w:eastAsia="en-US"/>
        </w:rPr>
      </w:pPr>
    </w:p>
    <w:p w14:paraId="6E842045" w14:textId="77777777" w:rsidR="00CD5A0F" w:rsidRPr="00344D49" w:rsidRDefault="00CD5A0F" w:rsidP="00C77526">
      <w:pPr>
        <w:spacing w:line="360" w:lineRule="auto"/>
        <w:rPr>
          <w:rFonts w:ascii="Arial" w:eastAsia="Aptos" w:hAnsi="Arial" w:cs="Arial"/>
          <w:b/>
          <w:bCs/>
          <w:color w:val="1D2125"/>
          <w:lang w:eastAsia="en-US"/>
        </w:rPr>
      </w:pPr>
    </w:p>
    <w:p w14:paraId="170D4F87" w14:textId="77777777" w:rsidR="00CD5A0F" w:rsidRPr="00344D49" w:rsidRDefault="00CD5A0F" w:rsidP="00C77526">
      <w:pPr>
        <w:spacing w:line="360" w:lineRule="auto"/>
        <w:rPr>
          <w:rFonts w:ascii="Arial" w:eastAsia="Aptos" w:hAnsi="Arial" w:cs="Arial"/>
          <w:b/>
          <w:bCs/>
          <w:color w:val="1D2125"/>
          <w:lang w:eastAsia="en-US"/>
        </w:rPr>
      </w:pPr>
    </w:p>
    <w:p w14:paraId="39F17D4E" w14:textId="77777777" w:rsidR="00CD5A0F" w:rsidRPr="00344D49" w:rsidRDefault="00CD5A0F" w:rsidP="00C77526">
      <w:pPr>
        <w:spacing w:line="360" w:lineRule="auto"/>
        <w:rPr>
          <w:rFonts w:ascii="Arial" w:eastAsia="Aptos" w:hAnsi="Arial" w:cs="Arial"/>
          <w:b/>
          <w:bCs/>
          <w:color w:val="1D2125"/>
          <w:lang w:eastAsia="en-US"/>
        </w:rPr>
      </w:pPr>
    </w:p>
    <w:p w14:paraId="207AECC0" w14:textId="77777777" w:rsidR="00CD5A0F" w:rsidRPr="00344D49" w:rsidRDefault="00CD5A0F" w:rsidP="00C77526">
      <w:pPr>
        <w:spacing w:line="360" w:lineRule="auto"/>
        <w:rPr>
          <w:rFonts w:ascii="Arial" w:eastAsia="Aptos" w:hAnsi="Arial" w:cs="Arial"/>
          <w:b/>
          <w:bCs/>
          <w:color w:val="1D2125"/>
          <w:lang w:eastAsia="en-US"/>
        </w:rPr>
      </w:pPr>
    </w:p>
    <w:p w14:paraId="1E8A90BC" w14:textId="0060E697"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Comparative Analysis</w:t>
      </w:r>
    </w:p>
    <w:p w14:paraId="570B1972" w14:textId="77777777"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The comparison of the three local authority websites reveals distinct differences in effectiveness, particularly in relation to accessibility, clarity, and depth of information.</w:t>
      </w:r>
    </w:p>
    <w:p w14:paraId="5FDC2119" w14:textId="3AE793BB"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 xml:space="preserve">Leeds City Council provides detailed and professionally aligned information; however, this comes at the expense of accessibility. The website appears to be structured around service organisation rather than user needs, resulting in fragmented navigation. For example, families seeking support for issues such as financial stress or a child’s emotional wellbeing may struggle to locate relevant information without prior knowledge of how services are categorised. This suggests that the website is more accessible to professionals than to the </w:t>
      </w:r>
      <w:r w:rsidR="00F024F1" w:rsidRPr="00911E2C">
        <w:rPr>
          <w:rFonts w:ascii="Arial" w:eastAsia="Aptos" w:hAnsi="Arial" w:cs="Arial"/>
          <w:color w:val="1D2125"/>
          <w:lang w:eastAsia="en-US"/>
        </w:rPr>
        <w:t>public</w:t>
      </w:r>
      <w:r w:rsidRPr="00911E2C">
        <w:rPr>
          <w:rFonts w:ascii="Arial" w:eastAsia="Aptos" w:hAnsi="Arial" w:cs="Arial"/>
          <w:color w:val="1D2125"/>
          <w:lang w:eastAsia="en-US"/>
        </w:rPr>
        <w:t>, which undermines the preventative aim of Early Help by creating barriers at the initial point of access.</w:t>
      </w:r>
    </w:p>
    <w:p w14:paraId="1AEEB17F" w14:textId="77777777"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In contrast, Norfolk County Council demonstrates a strong commitment to accessibility. The use of clear, jargon-free language and a well-structured layout enables users to quickly understand what Early Help is and who it is for. For instance, a parent experiencing financial difficulties can easily recognise that support is available. However, this simplicity also represents a limitation. The lack of detailed information regarding referral pathways, assessment processes, and professional involvement may create uncertainty about what happens after initial contact. As a result, while the website is effective in encouraging engagement, it may not fully support informed decision-making.</w:t>
      </w:r>
    </w:p>
    <w:p w14:paraId="521C20D0" w14:textId="77777777"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Southwark Council provides the most balanced and effective approach. Its website successfully integrates accessibility with detailed information, offering both clarity and depth. For example, a parent experiencing financial stress can not only identify that support is available but also understand how to access it, what the process involves, and which professionals may be involved. The inclusion of practical examples and clear explanations of multi-agency working enhances transparency and user confidence. This reflects a more user-centred design, where information is structured around the needs and experiences of families rather than organisational frameworks.</w:t>
      </w:r>
    </w:p>
    <w:p w14:paraId="1C23B6F0" w14:textId="6D828633"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 xml:space="preserve">A comparative example further illustrates these differences. A parent experiencing financial hardship may find Norfolk’s website easy to understand and </w:t>
      </w:r>
      <w:r w:rsidR="0044482A" w:rsidRPr="00911E2C">
        <w:rPr>
          <w:rFonts w:ascii="Arial" w:eastAsia="Aptos" w:hAnsi="Arial" w:cs="Arial"/>
          <w:color w:val="1D2125"/>
          <w:lang w:eastAsia="en-US"/>
        </w:rPr>
        <w:t>reassuring but</w:t>
      </w:r>
      <w:r w:rsidRPr="00911E2C">
        <w:rPr>
          <w:rFonts w:ascii="Arial" w:eastAsia="Aptos" w:hAnsi="Arial" w:cs="Arial"/>
          <w:color w:val="1D2125"/>
          <w:lang w:eastAsia="en-US"/>
        </w:rPr>
        <w:t xml:space="preserve"> may remain uncertain about next steps. On the Leeds website, the same parent may struggle to locate relevant information due to fragmented navigation. In contrast, Southwark provides both accessible explanations and clear guidance on how to proceed, reducing barriers to engagement.</w:t>
      </w:r>
    </w:p>
    <w:p w14:paraId="212DD3D4" w14:textId="77777777"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From a critical perspective, these differences highlight broader issues relating to digital inequality and service accessibility. Websites that require higher levels of digital literacy or prior knowledge may disadvantage already vulnerable families. This is particularly significant given that Early Help is intended to be universally accessible. Therefore, effective signposting must not only provide accurate information but also ensure that it is easily navigable and inclusive.</w:t>
      </w:r>
    </w:p>
    <w:p w14:paraId="76244028" w14:textId="77777777" w:rsidR="00911E2C" w:rsidRPr="00911E2C" w:rsidRDefault="00911E2C" w:rsidP="00911E2C">
      <w:pPr>
        <w:spacing w:line="360" w:lineRule="auto"/>
        <w:rPr>
          <w:rFonts w:ascii="Arial" w:eastAsia="Aptos" w:hAnsi="Arial" w:cs="Arial"/>
          <w:color w:val="1D2125"/>
          <w:lang w:eastAsia="en-US"/>
        </w:rPr>
      </w:pPr>
      <w:r w:rsidRPr="00911E2C">
        <w:rPr>
          <w:rFonts w:ascii="Arial" w:eastAsia="Aptos" w:hAnsi="Arial" w:cs="Arial"/>
          <w:color w:val="1D2125"/>
          <w:lang w:eastAsia="en-US"/>
        </w:rPr>
        <w:t>Overall, the analysis demonstrates that effective Early Help signposting requires a balance between user-friendly design and comprehensive information. While Leeds prioritises professional detail and Norfolk prioritises accessibility, Southwark achieves a more effective integration of both. This suggests that a user-centred, clearly structured, and informative approach is essential for supporting early engagement and improving outcomes for families.</w:t>
      </w:r>
    </w:p>
    <w:p w14:paraId="4C08C5D0" w14:textId="297397B4" w:rsidR="00C77526" w:rsidRPr="00C77526" w:rsidRDefault="00C77526" w:rsidP="00911E2C">
      <w:pPr>
        <w:spacing w:line="360" w:lineRule="auto"/>
        <w:rPr>
          <w:rFonts w:ascii="Arial" w:eastAsia="Aptos" w:hAnsi="Arial" w:cs="Arial"/>
          <w:color w:val="1D2125"/>
          <w:lang w:eastAsia="en-US"/>
        </w:rPr>
      </w:pPr>
    </w:p>
    <w:p w14:paraId="07999535" w14:textId="4DE684C5" w:rsidR="00C77526" w:rsidRPr="00C77526" w:rsidRDefault="00C77526" w:rsidP="00C77526">
      <w:pPr>
        <w:spacing w:line="360" w:lineRule="auto"/>
        <w:rPr>
          <w:rFonts w:ascii="Arial" w:eastAsia="Aptos" w:hAnsi="Arial" w:cs="Arial"/>
          <w:color w:val="1D2125"/>
          <w:lang w:eastAsia="en-US"/>
        </w:rPr>
      </w:pPr>
    </w:p>
    <w:p w14:paraId="39F3FE42" w14:textId="77777777" w:rsidR="001B3E3A" w:rsidRDefault="001B3E3A" w:rsidP="00C77526">
      <w:pPr>
        <w:spacing w:line="360" w:lineRule="auto"/>
        <w:rPr>
          <w:rFonts w:ascii="Arial" w:eastAsia="Aptos" w:hAnsi="Arial" w:cs="Arial"/>
          <w:b/>
          <w:bCs/>
          <w:color w:val="1D2125"/>
          <w:lang w:eastAsia="en-US"/>
        </w:rPr>
      </w:pPr>
    </w:p>
    <w:p w14:paraId="29FDC129" w14:textId="65D866FE"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Recommendations</w:t>
      </w:r>
    </w:p>
    <w:p w14:paraId="06E8108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To improve Early Help signposting, local authorities should:</w:t>
      </w:r>
    </w:p>
    <w:p w14:paraId="0FCDA05F" w14:textId="77777777" w:rsidR="00C77526" w:rsidRPr="00C77526" w:rsidRDefault="00C77526" w:rsidP="00C77526">
      <w:pPr>
        <w:numPr>
          <w:ilvl w:val="0"/>
          <w:numId w:val="2"/>
        </w:num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Develop a centralised Early Help hub </w:t>
      </w:r>
    </w:p>
    <w:p w14:paraId="5E8E13E2" w14:textId="77777777" w:rsidR="00C77526" w:rsidRPr="00C77526" w:rsidRDefault="00C77526" w:rsidP="00C77526">
      <w:pPr>
        <w:numPr>
          <w:ilvl w:val="0"/>
          <w:numId w:val="2"/>
        </w:num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Use clear and inclusive language </w:t>
      </w:r>
    </w:p>
    <w:p w14:paraId="0B9DA7DC" w14:textId="656C3AD7" w:rsidR="00C77526" w:rsidRPr="00C77526" w:rsidRDefault="00C77526" w:rsidP="00C77526">
      <w:pPr>
        <w:numPr>
          <w:ilvl w:val="0"/>
          <w:numId w:val="2"/>
        </w:numPr>
        <w:spacing w:line="360" w:lineRule="auto"/>
        <w:rPr>
          <w:rFonts w:ascii="Arial" w:eastAsia="Aptos" w:hAnsi="Arial" w:cs="Arial"/>
          <w:color w:val="1D2125"/>
          <w:lang w:eastAsia="en-US"/>
        </w:rPr>
      </w:pPr>
      <w:r w:rsidRPr="00C77526">
        <w:rPr>
          <w:rFonts w:ascii="Arial" w:eastAsia="Aptos" w:hAnsi="Arial" w:cs="Arial"/>
          <w:color w:val="1D2125"/>
          <w:lang w:eastAsia="en-US"/>
        </w:rPr>
        <w:t>Include practical examples (e</w:t>
      </w:r>
      <w:r w:rsidR="00447F22">
        <w:rPr>
          <w:rFonts w:ascii="Arial" w:eastAsia="Aptos" w:hAnsi="Arial" w:cs="Arial"/>
          <w:color w:val="1D2125"/>
          <w:lang w:eastAsia="en-US"/>
        </w:rPr>
        <w:t xml:space="preserve">xamples, </w:t>
      </w:r>
      <w:r w:rsidRPr="00C77526">
        <w:rPr>
          <w:rFonts w:ascii="Arial" w:eastAsia="Aptos" w:hAnsi="Arial" w:cs="Arial"/>
          <w:color w:val="1D2125"/>
          <w:lang w:eastAsia="en-US"/>
        </w:rPr>
        <w:t xml:space="preserve">debt, mental health, school issues) </w:t>
      </w:r>
    </w:p>
    <w:p w14:paraId="3A3D65D5" w14:textId="77777777" w:rsidR="00C77526" w:rsidRPr="00C77526" w:rsidRDefault="00C77526" w:rsidP="00C77526">
      <w:pPr>
        <w:numPr>
          <w:ilvl w:val="0"/>
          <w:numId w:val="2"/>
        </w:num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Clearly explain referral pathways and processes </w:t>
      </w:r>
    </w:p>
    <w:p w14:paraId="60787E15" w14:textId="77777777" w:rsidR="00C77526" w:rsidRPr="00C77526" w:rsidRDefault="00C77526" w:rsidP="00C77526">
      <w:pPr>
        <w:numPr>
          <w:ilvl w:val="0"/>
          <w:numId w:val="2"/>
        </w:num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Provide visible contact and self-referral options </w:t>
      </w:r>
    </w:p>
    <w:p w14:paraId="0989E671" w14:textId="77777777" w:rsidR="00C77526" w:rsidRPr="00C77526" w:rsidRDefault="00C77526" w:rsidP="00C77526">
      <w:pPr>
        <w:numPr>
          <w:ilvl w:val="0"/>
          <w:numId w:val="2"/>
        </w:num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Explain multi-agency working in simple terms </w:t>
      </w:r>
    </w:p>
    <w:p w14:paraId="0A5A255E" w14:textId="319AEF21" w:rsidR="00C77526" w:rsidRPr="00C77526" w:rsidRDefault="00C77526" w:rsidP="00C77526">
      <w:pPr>
        <w:spacing w:line="360" w:lineRule="auto"/>
        <w:rPr>
          <w:rFonts w:ascii="Arial" w:eastAsia="Aptos" w:hAnsi="Arial" w:cs="Arial"/>
          <w:color w:val="1D2125"/>
          <w:lang w:eastAsia="en-US"/>
        </w:rPr>
      </w:pPr>
    </w:p>
    <w:p w14:paraId="3F582FFC" w14:textId="606DF79A" w:rsidR="00C77526" w:rsidRDefault="00C77526" w:rsidP="00C77526">
      <w:pPr>
        <w:spacing w:line="360" w:lineRule="auto"/>
        <w:rPr>
          <w:rFonts w:ascii="Arial" w:eastAsia="Aptos" w:hAnsi="Arial" w:cs="Arial"/>
          <w:color w:val="1D2125"/>
          <w:lang w:eastAsia="en-US"/>
        </w:rPr>
      </w:pPr>
    </w:p>
    <w:p w14:paraId="02FA85C9" w14:textId="77777777" w:rsidR="001B3E3A" w:rsidRDefault="001B3E3A" w:rsidP="00C77526">
      <w:pPr>
        <w:spacing w:line="360" w:lineRule="auto"/>
        <w:rPr>
          <w:rFonts w:ascii="Arial" w:eastAsia="Aptos" w:hAnsi="Arial" w:cs="Arial"/>
          <w:color w:val="1D2125"/>
          <w:lang w:eastAsia="en-US"/>
        </w:rPr>
      </w:pPr>
    </w:p>
    <w:p w14:paraId="5A841365" w14:textId="77777777" w:rsidR="001B3E3A" w:rsidRDefault="001B3E3A" w:rsidP="00C77526">
      <w:pPr>
        <w:spacing w:line="360" w:lineRule="auto"/>
        <w:rPr>
          <w:rFonts w:ascii="Arial" w:eastAsia="Aptos" w:hAnsi="Arial" w:cs="Arial"/>
          <w:color w:val="1D2125"/>
          <w:lang w:eastAsia="en-US"/>
        </w:rPr>
      </w:pPr>
    </w:p>
    <w:p w14:paraId="60A95952" w14:textId="77777777" w:rsidR="001B3E3A" w:rsidRPr="00C77526" w:rsidRDefault="001B3E3A" w:rsidP="00C77526">
      <w:pPr>
        <w:spacing w:line="360" w:lineRule="auto"/>
        <w:rPr>
          <w:rFonts w:ascii="Arial" w:eastAsia="Aptos" w:hAnsi="Arial" w:cs="Arial"/>
          <w:color w:val="1D2125"/>
          <w:lang w:eastAsia="en-US"/>
        </w:rPr>
      </w:pPr>
    </w:p>
    <w:p w14:paraId="3535B029" w14:textId="77777777"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Conclusion</w:t>
      </w:r>
    </w:p>
    <w:p w14:paraId="4DBB14ED" w14:textId="1C22A0CB"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Early Help plays a vital role in supporting families and preventing escalation of difficulties. However, its effectiveness depends on how clearly services are communicated.</w:t>
      </w:r>
      <w:r w:rsidR="00CD499A">
        <w:rPr>
          <w:rFonts w:ascii="Arial" w:eastAsia="Aptos" w:hAnsi="Arial" w:cs="Arial"/>
          <w:color w:val="1D2125"/>
          <w:lang w:eastAsia="en-US"/>
        </w:rPr>
        <w:t xml:space="preserve"> </w:t>
      </w:r>
      <w:r w:rsidRPr="00C77526">
        <w:rPr>
          <w:rFonts w:ascii="Arial" w:eastAsia="Aptos" w:hAnsi="Arial" w:cs="Arial"/>
          <w:color w:val="1D2125"/>
          <w:lang w:eastAsia="en-US"/>
        </w:rPr>
        <w:t>This report demonstrates that Southwark Council provides the most effective website, combining clarity, structure, and detailed information. Norfolk performs well in accessibility but lacks depth, while Leeds requires improvements in organisation and navigation.</w:t>
      </w:r>
      <w:r w:rsidR="008E1FF5">
        <w:rPr>
          <w:rFonts w:ascii="Arial" w:eastAsia="Aptos" w:hAnsi="Arial" w:cs="Arial"/>
          <w:color w:val="1D2125"/>
          <w:lang w:eastAsia="en-US"/>
        </w:rPr>
        <w:t xml:space="preserve"> </w:t>
      </w:r>
      <w:r w:rsidRPr="00C77526">
        <w:rPr>
          <w:rFonts w:ascii="Arial" w:eastAsia="Aptos" w:hAnsi="Arial" w:cs="Arial"/>
          <w:color w:val="1D2125"/>
          <w:lang w:eastAsia="en-US"/>
        </w:rPr>
        <w:t xml:space="preserve"> </w:t>
      </w:r>
      <w:r w:rsidR="00F0744F">
        <w:rPr>
          <w:rFonts w:ascii="Arial" w:eastAsia="Aptos" w:hAnsi="Arial" w:cs="Arial"/>
          <w:color w:val="1D2125"/>
          <w:lang w:eastAsia="en-US"/>
        </w:rPr>
        <w:t>F</w:t>
      </w:r>
      <w:r w:rsidRPr="00C77526">
        <w:rPr>
          <w:rFonts w:ascii="Arial" w:eastAsia="Aptos" w:hAnsi="Arial" w:cs="Arial"/>
          <w:color w:val="1D2125"/>
          <w:lang w:eastAsia="en-US"/>
        </w:rPr>
        <w:t>amilies need both clear information and practical guidance to access support. Improving website design is therefore a key step in strengthening Early Help provision and improving outcomes for children and families.</w:t>
      </w:r>
    </w:p>
    <w:p w14:paraId="1D1E9E7E" w14:textId="75C0AFAD" w:rsidR="00C77526" w:rsidRPr="00C77526" w:rsidRDefault="00C77526" w:rsidP="00C77526">
      <w:pPr>
        <w:spacing w:line="360" w:lineRule="auto"/>
        <w:rPr>
          <w:rFonts w:ascii="Arial" w:eastAsia="Aptos" w:hAnsi="Arial" w:cs="Arial"/>
          <w:color w:val="1D2125"/>
          <w:lang w:eastAsia="en-US"/>
        </w:rPr>
      </w:pPr>
    </w:p>
    <w:p w14:paraId="5D2F9A6F" w14:textId="77777777" w:rsidR="00A06AC7" w:rsidRPr="00344D49" w:rsidRDefault="00A06AC7" w:rsidP="00C77526">
      <w:pPr>
        <w:spacing w:line="360" w:lineRule="auto"/>
        <w:rPr>
          <w:rFonts w:ascii="Arial" w:eastAsia="Aptos" w:hAnsi="Arial" w:cs="Arial"/>
          <w:b/>
          <w:bCs/>
          <w:color w:val="1D2125"/>
          <w:lang w:eastAsia="en-US"/>
        </w:rPr>
      </w:pPr>
    </w:p>
    <w:p w14:paraId="0AA7AE68" w14:textId="77777777" w:rsidR="00A06AC7" w:rsidRPr="00344D49" w:rsidRDefault="00A06AC7" w:rsidP="00C77526">
      <w:pPr>
        <w:spacing w:line="360" w:lineRule="auto"/>
        <w:rPr>
          <w:rFonts w:ascii="Arial" w:eastAsia="Aptos" w:hAnsi="Arial" w:cs="Arial"/>
          <w:b/>
          <w:bCs/>
          <w:color w:val="1D2125"/>
          <w:lang w:eastAsia="en-US"/>
        </w:rPr>
      </w:pPr>
    </w:p>
    <w:p w14:paraId="23A12985" w14:textId="77777777" w:rsidR="00A06AC7" w:rsidRPr="00344D49" w:rsidRDefault="00A06AC7" w:rsidP="00C77526">
      <w:pPr>
        <w:spacing w:line="360" w:lineRule="auto"/>
        <w:rPr>
          <w:rFonts w:ascii="Arial" w:eastAsia="Aptos" w:hAnsi="Arial" w:cs="Arial"/>
          <w:b/>
          <w:bCs/>
          <w:color w:val="1D2125"/>
          <w:lang w:eastAsia="en-US"/>
        </w:rPr>
      </w:pPr>
    </w:p>
    <w:p w14:paraId="3FB06A77" w14:textId="77777777" w:rsidR="0016415A" w:rsidRDefault="0016415A" w:rsidP="00C77526">
      <w:pPr>
        <w:spacing w:line="360" w:lineRule="auto"/>
        <w:rPr>
          <w:rFonts w:ascii="Arial" w:eastAsia="Aptos" w:hAnsi="Arial" w:cs="Arial"/>
          <w:b/>
          <w:bCs/>
          <w:color w:val="1D2125"/>
          <w:lang w:eastAsia="en-US"/>
        </w:rPr>
      </w:pPr>
    </w:p>
    <w:p w14:paraId="2DD2AEF6" w14:textId="77777777" w:rsidR="00F024F1" w:rsidRDefault="00F024F1" w:rsidP="00C77526">
      <w:pPr>
        <w:spacing w:line="360" w:lineRule="auto"/>
        <w:rPr>
          <w:rFonts w:ascii="Arial" w:eastAsia="Aptos" w:hAnsi="Arial" w:cs="Arial"/>
          <w:b/>
          <w:bCs/>
          <w:color w:val="1D2125"/>
          <w:lang w:eastAsia="en-US"/>
        </w:rPr>
      </w:pPr>
    </w:p>
    <w:p w14:paraId="3AB30BCF" w14:textId="58C58D83" w:rsidR="00C77526" w:rsidRPr="00C77526" w:rsidRDefault="00C77526" w:rsidP="00C77526">
      <w:pPr>
        <w:spacing w:line="360" w:lineRule="auto"/>
        <w:rPr>
          <w:rFonts w:ascii="Arial" w:eastAsia="Aptos" w:hAnsi="Arial" w:cs="Arial"/>
          <w:b/>
          <w:bCs/>
          <w:color w:val="1D2125"/>
          <w:lang w:eastAsia="en-US"/>
        </w:rPr>
      </w:pPr>
      <w:r w:rsidRPr="00C77526">
        <w:rPr>
          <w:rFonts w:ascii="Arial" w:eastAsia="Aptos" w:hAnsi="Arial" w:cs="Arial"/>
          <w:b/>
          <w:bCs/>
          <w:color w:val="1D2125"/>
          <w:lang w:eastAsia="en-US"/>
        </w:rPr>
        <w:t>Reference</w:t>
      </w:r>
      <w:r w:rsidR="00A06AC7" w:rsidRPr="00344D49">
        <w:rPr>
          <w:rFonts w:ascii="Arial" w:eastAsia="Aptos" w:hAnsi="Arial" w:cs="Arial"/>
          <w:b/>
          <w:bCs/>
          <w:color w:val="1D2125"/>
          <w:lang w:eastAsia="en-US"/>
        </w:rPr>
        <w:t>s</w:t>
      </w:r>
    </w:p>
    <w:p w14:paraId="01D8DB58"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Atkinson, M., Jones, M. and Lamont, E. (2007) </w:t>
      </w:r>
      <w:r w:rsidRPr="00C77526">
        <w:rPr>
          <w:rFonts w:ascii="Arial" w:eastAsia="Aptos" w:hAnsi="Arial" w:cs="Arial"/>
          <w:i/>
          <w:iCs/>
          <w:color w:val="1D2125"/>
          <w:lang w:eastAsia="en-US"/>
        </w:rPr>
        <w:t>Multi-agency working and its implications for practice</w:t>
      </w:r>
      <w:r w:rsidRPr="00C77526">
        <w:rPr>
          <w:rFonts w:ascii="Arial" w:eastAsia="Aptos" w:hAnsi="Arial" w:cs="Arial"/>
          <w:color w:val="1D2125"/>
          <w:lang w:eastAsia="en-US"/>
        </w:rPr>
        <w:t>. London: DfES.</w:t>
      </w:r>
    </w:p>
    <w:p w14:paraId="77637BF5" w14:textId="77777777" w:rsid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Bronfenbrenner, U. (1979) </w:t>
      </w:r>
      <w:r w:rsidRPr="00C77526">
        <w:rPr>
          <w:rFonts w:ascii="Arial" w:eastAsia="Aptos" w:hAnsi="Arial" w:cs="Arial"/>
          <w:i/>
          <w:iCs/>
          <w:color w:val="1D2125"/>
          <w:lang w:eastAsia="en-US"/>
        </w:rPr>
        <w:t>The ecology of human development</w:t>
      </w:r>
      <w:r w:rsidRPr="00C77526">
        <w:rPr>
          <w:rFonts w:ascii="Arial" w:eastAsia="Aptos" w:hAnsi="Arial" w:cs="Arial"/>
          <w:color w:val="1D2125"/>
          <w:lang w:eastAsia="en-US"/>
        </w:rPr>
        <w:t>. Cambridge, MA: Harvard University Press.</w:t>
      </w:r>
    </w:p>
    <w:p w14:paraId="649ADE68" w14:textId="77777777" w:rsidR="003C7195" w:rsidRDefault="003C7195" w:rsidP="003C7195">
      <w:pPr>
        <w:spacing w:line="360" w:lineRule="auto"/>
        <w:rPr>
          <w:rFonts w:ascii="Arial" w:eastAsia="Aptos" w:hAnsi="Arial" w:cs="Arial"/>
          <w:color w:val="1D2125"/>
          <w:lang w:eastAsia="en-US"/>
        </w:rPr>
      </w:pPr>
      <w:r w:rsidRPr="003C7195">
        <w:rPr>
          <w:rFonts w:ascii="Arial" w:eastAsia="Aptos" w:hAnsi="Arial" w:cs="Arial"/>
          <w:color w:val="1D2125"/>
          <w:lang w:eastAsia="en-US"/>
        </w:rPr>
        <w:t xml:space="preserve">Bywaters, P., Brady, G., Sparks, T. and Bos, E. (2016) ‘Inequalities in English child protection practice under austerity: A universal challenge?’, </w:t>
      </w:r>
      <w:r w:rsidRPr="003C7195">
        <w:rPr>
          <w:rFonts w:ascii="Arial" w:eastAsia="Aptos" w:hAnsi="Arial" w:cs="Arial"/>
          <w:i/>
          <w:iCs/>
          <w:color w:val="1D2125"/>
          <w:lang w:eastAsia="en-US"/>
        </w:rPr>
        <w:t>British Journal of Social Work</w:t>
      </w:r>
      <w:r w:rsidRPr="003C7195">
        <w:rPr>
          <w:rFonts w:ascii="Arial" w:eastAsia="Aptos" w:hAnsi="Arial" w:cs="Arial"/>
          <w:color w:val="1D2125"/>
          <w:lang w:eastAsia="en-US"/>
        </w:rPr>
        <w:t>, 46(3), pp. 1–18.</w:t>
      </w:r>
    </w:p>
    <w:p w14:paraId="2711FA77" w14:textId="0DA091E7" w:rsidR="000A2F6A" w:rsidRPr="000A2F6A" w:rsidRDefault="000A2F6A" w:rsidP="000A2F6A">
      <w:pPr>
        <w:spacing w:line="360" w:lineRule="auto"/>
        <w:rPr>
          <w:rFonts w:ascii="Arial" w:eastAsia="Aptos" w:hAnsi="Arial" w:cs="Arial"/>
          <w:color w:val="1D2125"/>
          <w:lang w:eastAsia="en-US"/>
        </w:rPr>
      </w:pPr>
      <w:r w:rsidRPr="000A2F6A">
        <w:rPr>
          <w:rFonts w:ascii="Arial" w:eastAsia="Aptos" w:hAnsi="Arial" w:cs="Arial"/>
          <w:color w:val="1D2125"/>
          <w:lang w:eastAsia="en-US"/>
        </w:rPr>
        <w:t xml:space="preserve">Daniel, B., Wassell, S. and Gilligan, R. (2011) </w:t>
      </w:r>
      <w:r w:rsidRPr="000A2F6A">
        <w:rPr>
          <w:rFonts w:ascii="Arial" w:eastAsia="Aptos" w:hAnsi="Arial" w:cs="Arial"/>
          <w:i/>
          <w:iCs/>
          <w:color w:val="1D2125"/>
          <w:lang w:eastAsia="en-US"/>
        </w:rPr>
        <w:t xml:space="preserve">Child development for </w:t>
      </w:r>
      <w:r w:rsidR="00E87000" w:rsidRPr="000A2F6A">
        <w:rPr>
          <w:rFonts w:ascii="Arial" w:eastAsia="Aptos" w:hAnsi="Arial" w:cs="Arial"/>
          <w:i/>
          <w:iCs/>
          <w:color w:val="1D2125"/>
          <w:lang w:eastAsia="en-US"/>
        </w:rPr>
        <w:t>childcare</w:t>
      </w:r>
      <w:r w:rsidRPr="000A2F6A">
        <w:rPr>
          <w:rFonts w:ascii="Arial" w:eastAsia="Aptos" w:hAnsi="Arial" w:cs="Arial"/>
          <w:i/>
          <w:iCs/>
          <w:color w:val="1D2125"/>
          <w:lang w:eastAsia="en-US"/>
        </w:rPr>
        <w:t xml:space="preserve"> and protection workers</w:t>
      </w:r>
      <w:r w:rsidRPr="000A2F6A">
        <w:rPr>
          <w:rFonts w:ascii="Arial" w:eastAsia="Aptos" w:hAnsi="Arial" w:cs="Arial"/>
          <w:color w:val="1D2125"/>
          <w:lang w:eastAsia="en-US"/>
        </w:rPr>
        <w:t>. 2nd edn. London: Jessica Kingsley Publishers.</w:t>
      </w:r>
    </w:p>
    <w:p w14:paraId="3E9760AA"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Department for Education (2020) </w:t>
      </w:r>
      <w:r w:rsidRPr="00C77526">
        <w:rPr>
          <w:rFonts w:ascii="Arial" w:eastAsia="Aptos" w:hAnsi="Arial" w:cs="Arial"/>
          <w:i/>
          <w:iCs/>
          <w:color w:val="1D2125"/>
          <w:lang w:eastAsia="en-US"/>
        </w:rPr>
        <w:t>Early Help System Guide</w:t>
      </w:r>
      <w:r w:rsidRPr="00C77526">
        <w:rPr>
          <w:rFonts w:ascii="Arial" w:eastAsia="Aptos" w:hAnsi="Arial" w:cs="Arial"/>
          <w:color w:val="1D2125"/>
          <w:lang w:eastAsia="en-US"/>
        </w:rPr>
        <w:t xml:space="preserve">. Available at: </w:t>
      </w:r>
      <w:hyperlink r:id="rId6" w:tgtFrame="_new" w:history="1">
        <w:r w:rsidRPr="00C77526">
          <w:rPr>
            <w:rStyle w:val="Hyperlink"/>
            <w:rFonts w:ascii="Arial" w:eastAsia="Aptos" w:hAnsi="Arial" w:cs="Arial"/>
            <w:lang w:eastAsia="en-US"/>
          </w:rPr>
          <w:t>https://assets.publishing.service.gov.uk</w:t>
        </w:r>
      </w:hyperlink>
      <w:r w:rsidRPr="00C77526">
        <w:rPr>
          <w:rFonts w:ascii="Arial" w:eastAsia="Aptos" w:hAnsi="Arial" w:cs="Arial"/>
          <w:color w:val="1D2125"/>
          <w:lang w:eastAsia="en-US"/>
        </w:rPr>
        <w:t xml:space="preserve"> (Accessed: 2 April 2026).</w:t>
      </w:r>
    </w:p>
    <w:p w14:paraId="5064318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Featherstone, B., White, S. and Morris, K. (2018) </w:t>
      </w:r>
      <w:r w:rsidRPr="00C77526">
        <w:rPr>
          <w:rFonts w:ascii="Arial" w:eastAsia="Aptos" w:hAnsi="Arial" w:cs="Arial"/>
          <w:i/>
          <w:iCs/>
          <w:color w:val="1D2125"/>
          <w:lang w:eastAsia="en-US"/>
        </w:rPr>
        <w:t>Re-imagining child protection: Towards humane social work with families</w:t>
      </w:r>
      <w:r w:rsidRPr="00C77526">
        <w:rPr>
          <w:rFonts w:ascii="Arial" w:eastAsia="Aptos" w:hAnsi="Arial" w:cs="Arial"/>
          <w:color w:val="1D2125"/>
          <w:lang w:eastAsia="en-US"/>
        </w:rPr>
        <w:t>. Bristol: Policy Press.</w:t>
      </w:r>
    </w:p>
    <w:p w14:paraId="2ECBC9E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HM Government (2023) </w:t>
      </w:r>
      <w:r w:rsidRPr="00C77526">
        <w:rPr>
          <w:rFonts w:ascii="Arial" w:eastAsia="Aptos" w:hAnsi="Arial" w:cs="Arial"/>
          <w:i/>
          <w:iCs/>
          <w:color w:val="1D2125"/>
          <w:lang w:eastAsia="en-US"/>
        </w:rPr>
        <w:t>Working Together to Safeguard Children</w:t>
      </w:r>
      <w:r w:rsidRPr="00C77526">
        <w:rPr>
          <w:rFonts w:ascii="Arial" w:eastAsia="Aptos" w:hAnsi="Arial" w:cs="Arial"/>
          <w:color w:val="1D2125"/>
          <w:lang w:eastAsia="en-US"/>
        </w:rPr>
        <w:t xml:space="preserve">. Available at: </w:t>
      </w:r>
      <w:hyperlink r:id="rId7" w:tgtFrame="_new" w:history="1">
        <w:r w:rsidRPr="00C77526">
          <w:rPr>
            <w:rStyle w:val="Hyperlink"/>
            <w:rFonts w:ascii="Arial" w:eastAsia="Aptos" w:hAnsi="Arial" w:cs="Arial"/>
            <w:lang w:eastAsia="en-US"/>
          </w:rPr>
          <w:t>https://www.gov.uk</w:t>
        </w:r>
      </w:hyperlink>
      <w:r w:rsidRPr="00C77526">
        <w:rPr>
          <w:rFonts w:ascii="Arial" w:eastAsia="Aptos" w:hAnsi="Arial" w:cs="Arial"/>
          <w:color w:val="1D2125"/>
          <w:lang w:eastAsia="en-US"/>
        </w:rPr>
        <w:t xml:space="preserve"> (Accessed: 2 April 2026).</w:t>
      </w:r>
    </w:p>
    <w:p w14:paraId="5B0C7010"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Leeds City Council (2026) </w:t>
      </w:r>
      <w:r w:rsidRPr="00C77526">
        <w:rPr>
          <w:rFonts w:ascii="Arial" w:eastAsia="Aptos" w:hAnsi="Arial" w:cs="Arial"/>
          <w:i/>
          <w:iCs/>
          <w:color w:val="1D2125"/>
          <w:lang w:eastAsia="en-US"/>
        </w:rPr>
        <w:t>Children and families</w:t>
      </w:r>
      <w:r w:rsidRPr="00C77526">
        <w:rPr>
          <w:rFonts w:ascii="Arial" w:eastAsia="Aptos" w:hAnsi="Arial" w:cs="Arial"/>
          <w:color w:val="1D2125"/>
          <w:lang w:eastAsia="en-US"/>
        </w:rPr>
        <w:t xml:space="preserve">. Available at: </w:t>
      </w:r>
      <w:hyperlink r:id="rId8" w:tgtFrame="_new" w:history="1">
        <w:r w:rsidRPr="00C77526">
          <w:rPr>
            <w:rStyle w:val="Hyperlink"/>
            <w:rFonts w:ascii="Arial" w:eastAsia="Aptos" w:hAnsi="Arial" w:cs="Arial"/>
            <w:lang w:eastAsia="en-US"/>
          </w:rPr>
          <w:t>https://familyinformation.leeds.gov.uk</w:t>
        </w:r>
      </w:hyperlink>
      <w:r w:rsidRPr="00C77526">
        <w:rPr>
          <w:rFonts w:ascii="Arial" w:eastAsia="Aptos" w:hAnsi="Arial" w:cs="Arial"/>
          <w:color w:val="1D2125"/>
          <w:lang w:eastAsia="en-US"/>
        </w:rPr>
        <w:t xml:space="preserve"> (Accessed: 14 April 2026).</w:t>
      </w:r>
    </w:p>
    <w:p w14:paraId="0733FFEA"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Morris, K. (2010) ‘Joined-up working: Theory and practice’, </w:t>
      </w:r>
      <w:r w:rsidRPr="00C77526">
        <w:rPr>
          <w:rFonts w:ascii="Arial" w:eastAsia="Aptos" w:hAnsi="Arial" w:cs="Arial"/>
          <w:i/>
          <w:iCs/>
          <w:color w:val="1D2125"/>
          <w:lang w:eastAsia="en-US"/>
        </w:rPr>
        <w:t>Child &amp; Family Social Work</w:t>
      </w:r>
      <w:r w:rsidRPr="00C77526">
        <w:rPr>
          <w:rFonts w:ascii="Arial" w:eastAsia="Aptos" w:hAnsi="Arial" w:cs="Arial"/>
          <w:color w:val="1D2125"/>
          <w:lang w:eastAsia="en-US"/>
        </w:rPr>
        <w:t>, 15(3), pp. 345–354.</w:t>
      </w:r>
    </w:p>
    <w:p w14:paraId="70ED6F46"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NHS Digital (2022) </w:t>
      </w:r>
      <w:r w:rsidRPr="00C77526">
        <w:rPr>
          <w:rFonts w:ascii="Arial" w:eastAsia="Aptos" w:hAnsi="Arial" w:cs="Arial"/>
          <w:i/>
          <w:iCs/>
          <w:color w:val="1D2125"/>
          <w:lang w:eastAsia="en-US"/>
        </w:rPr>
        <w:t>Digital inclusion for health and social care</w:t>
      </w:r>
      <w:r w:rsidRPr="00C77526">
        <w:rPr>
          <w:rFonts w:ascii="Arial" w:eastAsia="Aptos" w:hAnsi="Arial" w:cs="Arial"/>
          <w:color w:val="1D2125"/>
          <w:lang w:eastAsia="en-US"/>
        </w:rPr>
        <w:t xml:space="preserve">. Available at: </w:t>
      </w:r>
      <w:hyperlink r:id="rId9" w:tgtFrame="_new" w:history="1">
        <w:r w:rsidRPr="00C77526">
          <w:rPr>
            <w:rStyle w:val="Hyperlink"/>
            <w:rFonts w:ascii="Arial" w:eastAsia="Aptos" w:hAnsi="Arial" w:cs="Arial"/>
            <w:lang w:eastAsia="en-US"/>
          </w:rPr>
          <w:t>https://digital.nhs.uk</w:t>
        </w:r>
      </w:hyperlink>
      <w:r w:rsidRPr="00C77526">
        <w:rPr>
          <w:rFonts w:ascii="Arial" w:eastAsia="Aptos" w:hAnsi="Arial" w:cs="Arial"/>
          <w:color w:val="1D2125"/>
          <w:lang w:eastAsia="en-US"/>
        </w:rPr>
        <w:t xml:space="preserve"> (Accessed: 16 April 2026).</w:t>
      </w:r>
    </w:p>
    <w:p w14:paraId="5FD2C444"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Norfolk County Council (2026) </w:t>
      </w:r>
      <w:r w:rsidRPr="00C77526">
        <w:rPr>
          <w:rFonts w:ascii="Arial" w:eastAsia="Aptos" w:hAnsi="Arial" w:cs="Arial"/>
          <w:i/>
          <w:iCs/>
          <w:color w:val="1D2125"/>
          <w:lang w:eastAsia="en-US"/>
        </w:rPr>
        <w:t>Early Help</w:t>
      </w:r>
      <w:r w:rsidRPr="00C77526">
        <w:rPr>
          <w:rFonts w:ascii="Arial" w:eastAsia="Aptos" w:hAnsi="Arial" w:cs="Arial"/>
          <w:color w:val="1D2125"/>
          <w:lang w:eastAsia="en-US"/>
        </w:rPr>
        <w:t xml:space="preserve">. Available at: </w:t>
      </w:r>
      <w:hyperlink r:id="rId10" w:tgtFrame="_new" w:history="1">
        <w:r w:rsidRPr="00C77526">
          <w:rPr>
            <w:rStyle w:val="Hyperlink"/>
            <w:rFonts w:ascii="Arial" w:eastAsia="Aptos" w:hAnsi="Arial" w:cs="Arial"/>
            <w:lang w:eastAsia="en-US"/>
          </w:rPr>
          <w:t>https://www.norfolk.gov.uk</w:t>
        </w:r>
      </w:hyperlink>
      <w:r w:rsidRPr="00C77526">
        <w:rPr>
          <w:rFonts w:ascii="Arial" w:eastAsia="Aptos" w:hAnsi="Arial" w:cs="Arial"/>
          <w:color w:val="1D2125"/>
          <w:lang w:eastAsia="en-US"/>
        </w:rPr>
        <w:t xml:space="preserve"> (Accessed: 14 April 2026).</w:t>
      </w:r>
    </w:p>
    <w:p w14:paraId="33C05E03" w14:textId="77777777" w:rsid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Public Health England (2019) </w:t>
      </w:r>
      <w:r w:rsidRPr="00C77526">
        <w:rPr>
          <w:rFonts w:ascii="Arial" w:eastAsia="Aptos" w:hAnsi="Arial" w:cs="Arial"/>
          <w:i/>
          <w:iCs/>
          <w:color w:val="1D2125"/>
          <w:lang w:eastAsia="en-US"/>
        </w:rPr>
        <w:t>Health matters: Prevention – a life course approach</w:t>
      </w:r>
      <w:r w:rsidRPr="00C77526">
        <w:rPr>
          <w:rFonts w:ascii="Arial" w:eastAsia="Aptos" w:hAnsi="Arial" w:cs="Arial"/>
          <w:color w:val="1D2125"/>
          <w:lang w:eastAsia="en-US"/>
        </w:rPr>
        <w:t>. London: PHE.</w:t>
      </w:r>
    </w:p>
    <w:p w14:paraId="0CFD8A1F" w14:textId="77777777" w:rsidR="00341CFB" w:rsidRPr="00341CFB" w:rsidRDefault="00341CFB" w:rsidP="00341CFB">
      <w:pPr>
        <w:spacing w:line="360" w:lineRule="auto"/>
        <w:rPr>
          <w:rFonts w:ascii="Arial" w:eastAsia="Aptos" w:hAnsi="Arial" w:cs="Arial"/>
          <w:color w:val="1D2125"/>
          <w:lang w:eastAsia="en-US"/>
        </w:rPr>
      </w:pPr>
      <w:r w:rsidRPr="00341CFB">
        <w:rPr>
          <w:rFonts w:ascii="Arial" w:eastAsia="Aptos" w:hAnsi="Arial" w:cs="Arial"/>
          <w:color w:val="1D2125"/>
          <w:lang w:eastAsia="en-US"/>
        </w:rPr>
        <w:t xml:space="preserve">Redish, J. (2012) </w:t>
      </w:r>
      <w:r w:rsidRPr="00341CFB">
        <w:rPr>
          <w:rFonts w:ascii="Arial" w:eastAsia="Aptos" w:hAnsi="Arial" w:cs="Arial"/>
          <w:i/>
          <w:iCs/>
          <w:color w:val="1D2125"/>
          <w:lang w:eastAsia="en-US"/>
        </w:rPr>
        <w:t>Letting go of the words: Writing web content that works</w:t>
      </w:r>
      <w:r w:rsidRPr="00341CFB">
        <w:rPr>
          <w:rFonts w:ascii="Arial" w:eastAsia="Aptos" w:hAnsi="Arial" w:cs="Arial"/>
          <w:color w:val="1D2125"/>
          <w:lang w:eastAsia="en-US"/>
        </w:rPr>
        <w:t>. 2nd edn. Waltham, MA: Morgan Kaufmann.</w:t>
      </w:r>
    </w:p>
    <w:p w14:paraId="4059D73F" w14:textId="77777777" w:rsidR="00341CFB" w:rsidRPr="00C77526" w:rsidRDefault="00341CFB" w:rsidP="00C77526">
      <w:pPr>
        <w:spacing w:line="360" w:lineRule="auto"/>
        <w:rPr>
          <w:rFonts w:ascii="Arial" w:eastAsia="Aptos" w:hAnsi="Arial" w:cs="Arial"/>
          <w:color w:val="1D2125"/>
          <w:lang w:eastAsia="en-US"/>
        </w:rPr>
      </w:pPr>
    </w:p>
    <w:p w14:paraId="75E375D9" w14:textId="77777777" w:rsidR="00C77526" w:rsidRPr="00C77526" w:rsidRDefault="00C77526" w:rsidP="00C77526">
      <w:pPr>
        <w:spacing w:line="360" w:lineRule="auto"/>
        <w:rPr>
          <w:rFonts w:ascii="Arial" w:eastAsia="Aptos" w:hAnsi="Arial" w:cs="Arial"/>
          <w:color w:val="1D2125"/>
          <w:lang w:eastAsia="en-US"/>
        </w:rPr>
      </w:pPr>
      <w:r w:rsidRPr="00C77526">
        <w:rPr>
          <w:rFonts w:ascii="Arial" w:eastAsia="Aptos" w:hAnsi="Arial" w:cs="Arial"/>
          <w:color w:val="1D2125"/>
          <w:lang w:eastAsia="en-US"/>
        </w:rPr>
        <w:t xml:space="preserve">Southwark Council (2026) </w:t>
      </w:r>
      <w:r w:rsidRPr="00C77526">
        <w:rPr>
          <w:rFonts w:ascii="Arial" w:eastAsia="Aptos" w:hAnsi="Arial" w:cs="Arial"/>
          <w:i/>
          <w:iCs/>
          <w:color w:val="1D2125"/>
          <w:lang w:eastAsia="en-US"/>
        </w:rPr>
        <w:t>Early Help services</w:t>
      </w:r>
      <w:r w:rsidRPr="00C77526">
        <w:rPr>
          <w:rFonts w:ascii="Arial" w:eastAsia="Aptos" w:hAnsi="Arial" w:cs="Arial"/>
          <w:color w:val="1D2125"/>
          <w:lang w:eastAsia="en-US"/>
        </w:rPr>
        <w:t xml:space="preserve">. Available at: </w:t>
      </w:r>
      <w:hyperlink r:id="rId11" w:tgtFrame="_new" w:history="1">
        <w:r w:rsidRPr="00C77526">
          <w:rPr>
            <w:rStyle w:val="Hyperlink"/>
            <w:rFonts w:ascii="Arial" w:eastAsia="Aptos" w:hAnsi="Arial" w:cs="Arial"/>
            <w:lang w:eastAsia="en-US"/>
          </w:rPr>
          <w:t>https://www.southwark.gov.uk</w:t>
        </w:r>
      </w:hyperlink>
      <w:r w:rsidRPr="00C77526">
        <w:rPr>
          <w:rFonts w:ascii="Arial" w:eastAsia="Aptos" w:hAnsi="Arial" w:cs="Arial"/>
          <w:color w:val="1D2125"/>
          <w:lang w:eastAsia="en-US"/>
        </w:rPr>
        <w:t xml:space="preserve"> (Accessed: 14 April 2026).</w:t>
      </w:r>
    </w:p>
    <w:p w14:paraId="1F20F8F7" w14:textId="77777777" w:rsidR="00650156" w:rsidRPr="00344D49" w:rsidRDefault="00650156" w:rsidP="0057727E">
      <w:pPr>
        <w:spacing w:line="360" w:lineRule="auto"/>
        <w:rPr>
          <w:rFonts w:ascii="Arial" w:eastAsia="Aptos" w:hAnsi="Arial" w:cs="Arial"/>
          <w:color w:val="1D2125"/>
          <w:lang w:eastAsia="en-US"/>
        </w:rPr>
      </w:pPr>
    </w:p>
    <w:p w14:paraId="119D7CA5" w14:textId="77777777" w:rsidR="0057727E" w:rsidRPr="00344D49" w:rsidRDefault="0057727E" w:rsidP="0057727E">
      <w:pPr>
        <w:spacing w:line="360" w:lineRule="auto"/>
        <w:rPr>
          <w:rFonts w:ascii="Arial" w:eastAsia="Aptos" w:hAnsi="Arial" w:cs="Arial"/>
          <w:color w:val="1D2125"/>
          <w:lang w:eastAsia="en-US"/>
        </w:rPr>
      </w:pPr>
    </w:p>
    <w:p w14:paraId="2E3A41C9" w14:textId="77777777" w:rsidR="001A4563" w:rsidRPr="00344D49" w:rsidRDefault="001A4563">
      <w:pPr>
        <w:rPr>
          <w:rFonts w:ascii="Arial" w:hAnsi="Arial" w:cs="Arial"/>
        </w:rPr>
      </w:pPr>
    </w:p>
    <w:sectPr w:rsidR="001A4563" w:rsidRPr="00344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319A5"/>
    <w:multiLevelType w:val="multilevel"/>
    <w:tmpl w:val="2946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982C75"/>
    <w:multiLevelType w:val="multilevel"/>
    <w:tmpl w:val="9918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4967997">
    <w:abstractNumId w:val="1"/>
  </w:num>
  <w:num w:numId="2" w16cid:durableId="649402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27E"/>
    <w:rsid w:val="000536AB"/>
    <w:rsid w:val="000A2F6A"/>
    <w:rsid w:val="000B4AE7"/>
    <w:rsid w:val="0016415A"/>
    <w:rsid w:val="00177A0F"/>
    <w:rsid w:val="001A4563"/>
    <w:rsid w:val="001B3E3A"/>
    <w:rsid w:val="001E294A"/>
    <w:rsid w:val="002F1221"/>
    <w:rsid w:val="00341CFB"/>
    <w:rsid w:val="00344D49"/>
    <w:rsid w:val="003763CB"/>
    <w:rsid w:val="003C7195"/>
    <w:rsid w:val="00401E96"/>
    <w:rsid w:val="0044482A"/>
    <w:rsid w:val="00447F22"/>
    <w:rsid w:val="0046344B"/>
    <w:rsid w:val="005143F5"/>
    <w:rsid w:val="0057727E"/>
    <w:rsid w:val="00591282"/>
    <w:rsid w:val="00650156"/>
    <w:rsid w:val="00652E07"/>
    <w:rsid w:val="006755CC"/>
    <w:rsid w:val="006F241E"/>
    <w:rsid w:val="00703376"/>
    <w:rsid w:val="00721D96"/>
    <w:rsid w:val="007F37E8"/>
    <w:rsid w:val="00810DB6"/>
    <w:rsid w:val="00812AA8"/>
    <w:rsid w:val="00814242"/>
    <w:rsid w:val="008348DA"/>
    <w:rsid w:val="008566E4"/>
    <w:rsid w:val="008D71F5"/>
    <w:rsid w:val="008E1FF5"/>
    <w:rsid w:val="00911E2C"/>
    <w:rsid w:val="00A06AC7"/>
    <w:rsid w:val="00A77489"/>
    <w:rsid w:val="00A93101"/>
    <w:rsid w:val="00AA4460"/>
    <w:rsid w:val="00AE0A3F"/>
    <w:rsid w:val="00B041AF"/>
    <w:rsid w:val="00B37FF2"/>
    <w:rsid w:val="00B67284"/>
    <w:rsid w:val="00C151DE"/>
    <w:rsid w:val="00C76C6C"/>
    <w:rsid w:val="00C77526"/>
    <w:rsid w:val="00CA290E"/>
    <w:rsid w:val="00CC1356"/>
    <w:rsid w:val="00CD499A"/>
    <w:rsid w:val="00CD5A0F"/>
    <w:rsid w:val="00D446F2"/>
    <w:rsid w:val="00DE7246"/>
    <w:rsid w:val="00E20650"/>
    <w:rsid w:val="00E87000"/>
    <w:rsid w:val="00EE55A0"/>
    <w:rsid w:val="00EF22DB"/>
    <w:rsid w:val="00F024F1"/>
    <w:rsid w:val="00F0744F"/>
    <w:rsid w:val="00F74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00269"/>
  <w15:chartTrackingRefBased/>
  <w15:docId w15:val="{CF5817E2-E925-44FB-B050-D2F879DE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27E"/>
    <w:pPr>
      <w:spacing w:line="252" w:lineRule="auto"/>
      <w:jc w:val="both"/>
    </w:pPr>
    <w:rPr>
      <w:rFonts w:eastAsiaTheme="minorEastAsia"/>
      <w:kern w:val="0"/>
      <w:lang w:eastAsia="en-GB"/>
      <w14:ligatures w14:val="none"/>
    </w:rPr>
  </w:style>
  <w:style w:type="paragraph" w:styleId="Heading1">
    <w:name w:val="heading 1"/>
    <w:basedOn w:val="Normal"/>
    <w:next w:val="Normal"/>
    <w:link w:val="Heading1Char"/>
    <w:uiPriority w:val="9"/>
    <w:qFormat/>
    <w:rsid w:val="005772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72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72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72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72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7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2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72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72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72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72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7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27E"/>
    <w:rPr>
      <w:rFonts w:eastAsiaTheme="majorEastAsia" w:cstheme="majorBidi"/>
      <w:color w:val="272727" w:themeColor="text1" w:themeTint="D8"/>
    </w:rPr>
  </w:style>
  <w:style w:type="paragraph" w:styleId="Title">
    <w:name w:val="Title"/>
    <w:basedOn w:val="Normal"/>
    <w:next w:val="Normal"/>
    <w:link w:val="TitleChar"/>
    <w:uiPriority w:val="10"/>
    <w:qFormat/>
    <w:rsid w:val="00577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27E"/>
    <w:pPr>
      <w:spacing w:before="160"/>
      <w:jc w:val="center"/>
    </w:pPr>
    <w:rPr>
      <w:i/>
      <w:iCs/>
      <w:color w:val="404040" w:themeColor="text1" w:themeTint="BF"/>
    </w:rPr>
  </w:style>
  <w:style w:type="character" w:customStyle="1" w:styleId="QuoteChar">
    <w:name w:val="Quote Char"/>
    <w:basedOn w:val="DefaultParagraphFont"/>
    <w:link w:val="Quote"/>
    <w:uiPriority w:val="29"/>
    <w:rsid w:val="0057727E"/>
    <w:rPr>
      <w:i/>
      <w:iCs/>
      <w:color w:val="404040" w:themeColor="text1" w:themeTint="BF"/>
    </w:rPr>
  </w:style>
  <w:style w:type="paragraph" w:styleId="ListParagraph">
    <w:name w:val="List Paragraph"/>
    <w:basedOn w:val="Normal"/>
    <w:uiPriority w:val="34"/>
    <w:qFormat/>
    <w:rsid w:val="0057727E"/>
    <w:pPr>
      <w:ind w:left="720"/>
      <w:contextualSpacing/>
    </w:pPr>
  </w:style>
  <w:style w:type="character" w:styleId="IntenseEmphasis">
    <w:name w:val="Intense Emphasis"/>
    <w:basedOn w:val="DefaultParagraphFont"/>
    <w:uiPriority w:val="21"/>
    <w:qFormat/>
    <w:rsid w:val="0057727E"/>
    <w:rPr>
      <w:i/>
      <w:iCs/>
      <w:color w:val="2F5496" w:themeColor="accent1" w:themeShade="BF"/>
    </w:rPr>
  </w:style>
  <w:style w:type="paragraph" w:styleId="IntenseQuote">
    <w:name w:val="Intense Quote"/>
    <w:basedOn w:val="Normal"/>
    <w:next w:val="Normal"/>
    <w:link w:val="IntenseQuoteChar"/>
    <w:uiPriority w:val="30"/>
    <w:qFormat/>
    <w:rsid w:val="005772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727E"/>
    <w:rPr>
      <w:i/>
      <w:iCs/>
      <w:color w:val="2F5496" w:themeColor="accent1" w:themeShade="BF"/>
    </w:rPr>
  </w:style>
  <w:style w:type="character" w:styleId="IntenseReference">
    <w:name w:val="Intense Reference"/>
    <w:basedOn w:val="DefaultParagraphFont"/>
    <w:uiPriority w:val="32"/>
    <w:qFormat/>
    <w:rsid w:val="0057727E"/>
    <w:rPr>
      <w:b/>
      <w:bCs/>
      <w:smallCaps/>
      <w:color w:val="2F5496" w:themeColor="accent1" w:themeShade="BF"/>
      <w:spacing w:val="5"/>
    </w:rPr>
  </w:style>
  <w:style w:type="character" w:styleId="Hyperlink">
    <w:name w:val="Hyperlink"/>
    <w:basedOn w:val="DefaultParagraphFont"/>
    <w:uiPriority w:val="99"/>
    <w:unhideWhenUsed/>
    <w:rsid w:val="00C77526"/>
    <w:rPr>
      <w:color w:val="0563C1" w:themeColor="hyperlink"/>
      <w:u w:val="single"/>
    </w:rPr>
  </w:style>
  <w:style w:type="character" w:styleId="UnresolvedMention">
    <w:name w:val="Unresolved Mention"/>
    <w:basedOn w:val="DefaultParagraphFont"/>
    <w:uiPriority w:val="99"/>
    <w:semiHidden/>
    <w:unhideWhenUsed/>
    <w:rsid w:val="00C77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information.leeds.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 TargetMode="External"/><Relationship Id="rId11" Type="http://schemas.openxmlformats.org/officeDocument/2006/relationships/hyperlink" Target="https://www.southwark.gov.uk" TargetMode="External"/><Relationship Id="rId5" Type="http://schemas.openxmlformats.org/officeDocument/2006/relationships/image" Target="media/image1.jpeg"/><Relationship Id="rId10" Type="http://schemas.openxmlformats.org/officeDocument/2006/relationships/hyperlink" Target="https://www.norfolk.gov.uk" TargetMode="External"/><Relationship Id="rId4" Type="http://schemas.openxmlformats.org/officeDocument/2006/relationships/webSettings" Target="webSettings.xml"/><Relationship Id="rId9"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2627</Words>
  <Characters>14974</Characters>
  <Application>Microsoft Office Word</Application>
  <DocSecurity>4</DocSecurity>
  <Lines>124</Lines>
  <Paragraphs>35</Paragraphs>
  <ScaleCrop>false</ScaleCrop>
  <Company/>
  <LinksUpToDate>false</LinksUpToDate>
  <CharactersWithSpaces>17566</CharactersWithSpaces>
  <SharedDoc>false</SharedDoc>
  <HLinks>
    <vt:vector size="36" baseType="variant">
      <vt:variant>
        <vt:i4>5374016</vt:i4>
      </vt:variant>
      <vt:variant>
        <vt:i4>15</vt:i4>
      </vt:variant>
      <vt:variant>
        <vt:i4>0</vt:i4>
      </vt:variant>
      <vt:variant>
        <vt:i4>5</vt:i4>
      </vt:variant>
      <vt:variant>
        <vt:lpwstr>https://www.southwark.gov.uk/</vt:lpwstr>
      </vt:variant>
      <vt:variant>
        <vt:lpwstr/>
      </vt:variant>
      <vt:variant>
        <vt:i4>2687036</vt:i4>
      </vt:variant>
      <vt:variant>
        <vt:i4>12</vt:i4>
      </vt:variant>
      <vt:variant>
        <vt:i4>0</vt:i4>
      </vt:variant>
      <vt:variant>
        <vt:i4>5</vt:i4>
      </vt:variant>
      <vt:variant>
        <vt:lpwstr>https://www.norfolk.gov.uk/</vt:lpwstr>
      </vt:variant>
      <vt:variant>
        <vt:lpwstr/>
      </vt:variant>
      <vt:variant>
        <vt:i4>7536691</vt:i4>
      </vt:variant>
      <vt:variant>
        <vt:i4>9</vt:i4>
      </vt:variant>
      <vt:variant>
        <vt:i4>0</vt:i4>
      </vt:variant>
      <vt:variant>
        <vt:i4>5</vt:i4>
      </vt:variant>
      <vt:variant>
        <vt:lpwstr>https://digital.nhs.uk/</vt:lpwstr>
      </vt:variant>
      <vt:variant>
        <vt:lpwstr/>
      </vt:variant>
      <vt:variant>
        <vt:i4>3932194</vt:i4>
      </vt:variant>
      <vt:variant>
        <vt:i4>6</vt:i4>
      </vt:variant>
      <vt:variant>
        <vt:i4>0</vt:i4>
      </vt:variant>
      <vt:variant>
        <vt:i4>5</vt:i4>
      </vt:variant>
      <vt:variant>
        <vt:lpwstr>https://familyinformation.leeds.gov.uk/</vt:lpwstr>
      </vt:variant>
      <vt:variant>
        <vt:lpwstr/>
      </vt:variant>
      <vt:variant>
        <vt:i4>6422564</vt:i4>
      </vt:variant>
      <vt:variant>
        <vt:i4>3</vt:i4>
      </vt:variant>
      <vt:variant>
        <vt:i4>0</vt:i4>
      </vt:variant>
      <vt:variant>
        <vt:i4>5</vt:i4>
      </vt:variant>
      <vt:variant>
        <vt:lpwstr>https://www.gov.uk/</vt:lpwstr>
      </vt:variant>
      <vt:variant>
        <vt:lpwstr/>
      </vt:variant>
      <vt:variant>
        <vt:i4>5439493</vt:i4>
      </vt:variant>
      <vt:variant>
        <vt:i4>0</vt:i4>
      </vt:variant>
      <vt:variant>
        <vt:i4>0</vt:i4>
      </vt:variant>
      <vt:variant>
        <vt:i4>5</vt:i4>
      </vt:variant>
      <vt:variant>
        <vt:lpwstr>https://assets.publishing.service.gov.uk/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Zakari (2322381)</dc:creator>
  <cp:keywords/>
  <dc:description/>
  <cp:lastModifiedBy>Jamila Zakari (2322381)</cp:lastModifiedBy>
  <cp:revision>60</cp:revision>
  <dcterms:created xsi:type="dcterms:W3CDTF">2026-04-22T21:51:00Z</dcterms:created>
  <dcterms:modified xsi:type="dcterms:W3CDTF">2026-04-22T14:49:00Z</dcterms:modified>
</cp:coreProperties>
</file>