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BE0FE0" wp14:paraId="3D7FA147" wp14:textId="150CC7A0">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20BE0FE0" w:rsidR="3A8CF7F7">
        <w:rPr>
          <w:rFonts w:ascii="Arial" w:hAnsi="Arial" w:eastAsia="Arial" w:cs="Arial"/>
          <w:b w:val="0"/>
          <w:bCs w:val="0"/>
          <w:i w:val="0"/>
          <w:iCs w:val="0"/>
          <w:noProof w:val="0"/>
          <w:color w:val="000000" w:themeColor="text1" w:themeTint="FF" w:themeShade="FF"/>
          <w:sz w:val="22"/>
          <w:szCs w:val="22"/>
          <w:lang w:val="en-GB"/>
        </w:rPr>
        <w:t xml:space="preserve">Student </w:t>
      </w:r>
      <w:r w:rsidRPr="20BE0FE0" w:rsidR="3A8CF7F7">
        <w:rPr>
          <w:rFonts w:ascii="Arial" w:hAnsi="Arial" w:eastAsia="Arial" w:cs="Arial"/>
          <w:b w:val="0"/>
          <w:bCs w:val="0"/>
          <w:i w:val="0"/>
          <w:iCs w:val="0"/>
          <w:noProof w:val="0"/>
          <w:color w:val="000000" w:themeColor="text1" w:themeTint="FF" w:themeShade="FF"/>
          <w:sz w:val="22"/>
          <w:szCs w:val="22"/>
          <w:lang w:val="en-GB"/>
        </w:rPr>
        <w:t>name: Rudolf</w:t>
      </w:r>
      <w:r w:rsidRPr="20BE0FE0" w:rsidR="3A8CF7F7">
        <w:rPr>
          <w:rFonts w:ascii="Arial" w:hAnsi="Arial" w:eastAsia="Arial" w:cs="Arial"/>
          <w:b w:val="0"/>
          <w:bCs w:val="0"/>
          <w:i w:val="0"/>
          <w:iCs w:val="0"/>
          <w:noProof w:val="0"/>
          <w:color w:val="000000" w:themeColor="text1" w:themeTint="FF" w:themeShade="FF"/>
          <w:sz w:val="22"/>
          <w:szCs w:val="22"/>
          <w:lang w:val="en-GB"/>
        </w:rPr>
        <w:t xml:space="preserve"> Jony</w:t>
      </w:r>
    </w:p>
    <w:p w:rsidR="3A8CF7F7" w:rsidP="20BE0FE0" w:rsidRDefault="3A8CF7F7" w14:paraId="2221A303" w14:textId="758A702A">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20BE0FE0" w:rsidR="3A8CF7F7">
        <w:rPr>
          <w:rFonts w:ascii="Arial" w:hAnsi="Arial" w:eastAsia="Arial" w:cs="Arial"/>
          <w:b w:val="0"/>
          <w:bCs w:val="0"/>
          <w:i w:val="0"/>
          <w:iCs w:val="0"/>
          <w:noProof w:val="0"/>
          <w:color w:val="000000" w:themeColor="text1" w:themeTint="FF" w:themeShade="FF"/>
          <w:sz w:val="22"/>
          <w:szCs w:val="22"/>
          <w:lang w:val="en-GB"/>
        </w:rPr>
        <w:t>Student number: 2315845</w:t>
      </w:r>
    </w:p>
    <w:p w:rsidR="2995BBD5" w:rsidP="20BE0FE0" w:rsidRDefault="2995BBD5" w14:paraId="4F56A9F5" w14:textId="17183165">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20BE0FE0" w:rsidR="2995BBD5">
        <w:rPr>
          <w:rFonts w:ascii="Arial" w:hAnsi="Arial" w:eastAsia="Arial" w:cs="Arial"/>
          <w:b w:val="0"/>
          <w:bCs w:val="0"/>
          <w:i w:val="0"/>
          <w:iCs w:val="0"/>
          <w:noProof w:val="0"/>
          <w:color w:val="000000" w:themeColor="text1" w:themeTint="FF" w:themeShade="FF"/>
          <w:sz w:val="22"/>
          <w:szCs w:val="22"/>
          <w:lang w:val="en-GB"/>
        </w:rPr>
        <w:t xml:space="preserve">Programme: Master of </w:t>
      </w:r>
      <w:r w:rsidRPr="20BE0FE0" w:rsidR="2995BBD5">
        <w:rPr>
          <w:rFonts w:ascii="Arial" w:hAnsi="Arial" w:eastAsia="Arial" w:cs="Arial"/>
          <w:b w:val="0"/>
          <w:bCs w:val="0"/>
          <w:i w:val="0"/>
          <w:iCs w:val="0"/>
          <w:noProof w:val="0"/>
          <w:color w:val="000000" w:themeColor="text1" w:themeTint="FF" w:themeShade="FF"/>
          <w:sz w:val="22"/>
          <w:szCs w:val="22"/>
          <w:lang w:val="en-GB"/>
        </w:rPr>
        <w:t>Business</w:t>
      </w:r>
      <w:r w:rsidRPr="20BE0FE0" w:rsidR="2995BBD5">
        <w:rPr>
          <w:rFonts w:ascii="Arial" w:hAnsi="Arial" w:eastAsia="Arial" w:cs="Arial"/>
          <w:b w:val="0"/>
          <w:bCs w:val="0"/>
          <w:i w:val="0"/>
          <w:iCs w:val="0"/>
          <w:noProof w:val="0"/>
          <w:color w:val="000000" w:themeColor="text1" w:themeTint="FF" w:themeShade="FF"/>
          <w:sz w:val="22"/>
          <w:szCs w:val="22"/>
          <w:lang w:val="en-GB"/>
        </w:rPr>
        <w:t xml:space="preserve"> Administration </w:t>
      </w:r>
    </w:p>
    <w:p w:rsidR="2995BBD5" w:rsidP="20BE0FE0" w:rsidRDefault="2995BBD5" w14:paraId="3BEDA3B3" w14:textId="36A347B8">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20BE0FE0" w:rsidR="2995BBD5">
        <w:rPr>
          <w:rFonts w:ascii="Arial" w:hAnsi="Arial" w:eastAsia="Arial" w:cs="Arial"/>
          <w:b w:val="0"/>
          <w:bCs w:val="0"/>
          <w:i w:val="0"/>
          <w:iCs w:val="0"/>
          <w:noProof w:val="0"/>
          <w:color w:val="000000" w:themeColor="text1" w:themeTint="FF" w:themeShade="FF"/>
          <w:sz w:val="22"/>
          <w:szCs w:val="22"/>
          <w:lang w:val="en-GB"/>
        </w:rPr>
        <w:t xml:space="preserve">Module: Human Capital </w:t>
      </w:r>
      <w:r w:rsidRPr="20BE0FE0" w:rsidR="2995BBD5">
        <w:rPr>
          <w:rFonts w:ascii="Arial" w:hAnsi="Arial" w:eastAsia="Arial" w:cs="Arial"/>
          <w:b w:val="0"/>
          <w:bCs w:val="0"/>
          <w:i w:val="0"/>
          <w:iCs w:val="0"/>
          <w:noProof w:val="0"/>
          <w:color w:val="000000" w:themeColor="text1" w:themeTint="FF" w:themeShade="FF"/>
          <w:sz w:val="22"/>
          <w:szCs w:val="22"/>
          <w:lang w:val="en-GB"/>
        </w:rPr>
        <w:t>Management</w:t>
      </w:r>
    </w:p>
    <w:p w:rsidR="2995BBD5" w:rsidP="20BE0FE0" w:rsidRDefault="2995BBD5" w14:paraId="11EF20FF" w14:textId="4546BA8E">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20BE0FE0" w:rsidR="2995BBD5">
        <w:rPr>
          <w:rFonts w:ascii="Arial" w:hAnsi="Arial" w:eastAsia="Arial" w:cs="Arial"/>
          <w:b w:val="0"/>
          <w:bCs w:val="0"/>
          <w:i w:val="0"/>
          <w:iCs w:val="0"/>
          <w:noProof w:val="0"/>
          <w:color w:val="000000" w:themeColor="text1" w:themeTint="FF" w:themeShade="FF"/>
          <w:sz w:val="22"/>
          <w:szCs w:val="22"/>
          <w:lang w:val="en-GB"/>
        </w:rPr>
        <w:t xml:space="preserve">Module </w:t>
      </w:r>
      <w:r w:rsidRPr="20BE0FE0" w:rsidR="2995BBD5">
        <w:rPr>
          <w:rFonts w:ascii="Arial" w:hAnsi="Arial" w:eastAsia="Arial" w:cs="Arial"/>
          <w:b w:val="0"/>
          <w:bCs w:val="0"/>
          <w:i w:val="0"/>
          <w:iCs w:val="0"/>
          <w:noProof w:val="0"/>
          <w:color w:val="000000" w:themeColor="text1" w:themeTint="FF" w:themeShade="FF"/>
          <w:sz w:val="22"/>
          <w:szCs w:val="22"/>
          <w:lang w:val="en-GB"/>
        </w:rPr>
        <w:t>Code: LCMB</w:t>
      </w:r>
      <w:r w:rsidRPr="20BE0FE0" w:rsidR="2995BBD5">
        <w:rPr>
          <w:rFonts w:ascii="Arial" w:hAnsi="Arial" w:eastAsia="Arial" w:cs="Arial"/>
          <w:b w:val="0"/>
          <w:bCs w:val="0"/>
          <w:i w:val="0"/>
          <w:iCs w:val="0"/>
          <w:noProof w:val="0"/>
          <w:color w:val="000000" w:themeColor="text1" w:themeTint="FF" w:themeShade="FF"/>
          <w:sz w:val="22"/>
          <w:szCs w:val="22"/>
          <w:lang w:val="en-GB"/>
        </w:rPr>
        <w:t>7023</w:t>
      </w:r>
    </w:p>
    <w:p w:rsidR="2995BBD5" w:rsidP="20BE0FE0" w:rsidRDefault="2995BBD5" w14:paraId="6113B05E" w14:textId="14202058">
      <w:pPr>
        <w:pStyle w:val="Normal"/>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GB"/>
        </w:rPr>
      </w:pPr>
      <w:r w:rsidRPr="20BE0FE0" w:rsidR="2995BBD5">
        <w:rPr>
          <w:rFonts w:ascii="Arial" w:hAnsi="Arial" w:eastAsia="Arial" w:cs="Arial"/>
          <w:b w:val="0"/>
          <w:bCs w:val="0"/>
          <w:i w:val="0"/>
          <w:iCs w:val="0"/>
          <w:noProof w:val="0"/>
          <w:color w:val="000000" w:themeColor="text1" w:themeTint="FF" w:themeShade="FF"/>
          <w:sz w:val="22"/>
          <w:szCs w:val="22"/>
          <w:lang w:val="en-GB"/>
        </w:rPr>
        <w:t>Lecture: Gladius</w:t>
      </w:r>
      <w:r w:rsidRPr="20BE0FE0" w:rsidR="2995BBD5">
        <w:rPr>
          <w:rFonts w:ascii="Arial" w:hAnsi="Arial" w:eastAsia="Arial" w:cs="Arial"/>
          <w:b w:val="0"/>
          <w:bCs w:val="0"/>
          <w:i w:val="0"/>
          <w:iCs w:val="0"/>
          <w:noProof w:val="0"/>
          <w:color w:val="000000" w:themeColor="text1" w:themeTint="FF" w:themeShade="FF"/>
          <w:sz w:val="22"/>
          <w:szCs w:val="22"/>
          <w:lang w:val="en-GB"/>
        </w:rPr>
        <w:t xml:space="preserve"> </w:t>
      </w:r>
      <w:r w:rsidRPr="20BE0FE0" w:rsidR="2995BBD5">
        <w:rPr>
          <w:rFonts w:ascii="Arial" w:hAnsi="Arial" w:eastAsia="Arial" w:cs="Arial"/>
          <w:b w:val="0"/>
          <w:bCs w:val="0"/>
          <w:i w:val="0"/>
          <w:iCs w:val="0"/>
          <w:noProof w:val="0"/>
          <w:color w:val="000000" w:themeColor="text1" w:themeTint="FF" w:themeShade="FF"/>
          <w:sz w:val="22"/>
          <w:szCs w:val="22"/>
          <w:lang w:val="en-GB"/>
        </w:rPr>
        <w:t>Kulothungan,Eno</w:t>
      </w:r>
      <w:r w:rsidRPr="20BE0FE0" w:rsidR="2995BBD5">
        <w:rPr>
          <w:rFonts w:ascii="Arial" w:hAnsi="Arial" w:eastAsia="Arial" w:cs="Arial"/>
          <w:b w:val="0"/>
          <w:bCs w:val="0"/>
          <w:i w:val="0"/>
          <w:iCs w:val="0"/>
          <w:noProof w:val="0"/>
          <w:color w:val="000000" w:themeColor="text1" w:themeTint="FF" w:themeShade="FF"/>
          <w:sz w:val="22"/>
          <w:szCs w:val="22"/>
          <w:lang w:val="en-GB"/>
        </w:rPr>
        <w:t xml:space="preserve"> Maycock</w:t>
      </w:r>
    </w:p>
    <w:p w:rsidR="20BE0FE0" w:rsidP="20BE0FE0" w:rsidRDefault="20BE0FE0" w14:paraId="3F3B62A0" w14:textId="5CBE0C6A">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noProof w:val="0"/>
          <w:color w:val="000000" w:themeColor="text1" w:themeTint="FF" w:themeShade="FF"/>
          <w:sz w:val="22"/>
          <w:szCs w:val="22"/>
          <w:lang w:val="en-GB"/>
        </w:rPr>
      </w:pPr>
    </w:p>
    <w:p xmlns:wp14="http://schemas.microsoft.com/office/word/2010/wordml" w:rsidP="5654A23E" wp14:paraId="319CFF6B" wp14:textId="25AD5CA7">
      <w:pPr>
        <w:pStyle w:val="Normal"/>
        <w:jc w:val="center"/>
      </w:pPr>
      <w:r w:rsidRPr="5654A23E" w:rsidR="2CB37FB1">
        <w:rPr>
          <w:noProof w:val="0"/>
          <w:lang w:val="en-GB"/>
        </w:rPr>
        <w:t>Table of Contents</w:t>
      </w:r>
    </w:p>
    <w:p xmlns:wp14="http://schemas.microsoft.com/office/word/2010/wordml" w:rsidP="5654A23E" wp14:paraId="77484085" wp14:textId="02336A35">
      <w:pPr>
        <w:pStyle w:val="Normal"/>
        <w:rPr>
          <w:noProof w:val="0"/>
          <w:lang w:val="en-GB"/>
        </w:rPr>
      </w:pPr>
    </w:p>
    <w:sdt>
      <w:sdtPr>
        <w:id w:val="2074243402"/>
        <w:docPartObj>
          <w:docPartGallery w:val="Table of Contents"/>
          <w:docPartUnique/>
        </w:docPartObj>
      </w:sdtPr>
      <w:sdtContent>
        <w:p xmlns:wp14="http://schemas.microsoft.com/office/word/2010/wordml" w:rsidP="5654A23E" wp14:paraId="0937E152" wp14:textId="183127E3">
          <w:pPr>
            <w:pStyle w:val="TOC2"/>
            <w:tabs>
              <w:tab w:val="right" w:leader="dot" w:pos="9015"/>
            </w:tabs>
            <w:bidi w:val="0"/>
          </w:pPr>
          <w:r>
            <w:fldChar w:fldCharType="begin"/>
          </w:r>
          <w:r>
            <w:instrText xml:space="preserve">TOC \o \z \u \h</w:instrText>
          </w:r>
          <w:r>
            <w:fldChar w:fldCharType="separate"/>
          </w:r>
          <w:r>
            <w:fldChar w:fldCharType="begin"/>
          </w:r>
          <w:r>
            <w:instrText xml:space="preserve">HYPERLINK  \l  "_Toc89592352" </w:instrText>
          </w:r>
          <w:r>
            <w:fldChar w:fldCharType="separate"/>
          </w:r>
          <w:r w:rsidR="5654A23E">
            <w:rPr/>
            <w:t>Introduction</w:t>
          </w:r>
          <w:r>
            <w:tab/>
          </w:r>
          <w:r>
            <w:fldChar w:fldCharType="begin"/>
          </w:r>
          <w:r>
            <w:instrText xml:space="preserve">PAGEREF _Toc89592352 \h</w:instrText>
          </w:r>
          <w:r>
            <w:fldChar w:fldCharType="separate"/>
          </w:r>
          <w:r w:rsidR="5654A23E">
            <w:rPr/>
            <w:t>1</w:t>
          </w:r>
          <w:r>
            <w:fldChar w:fldCharType="end"/>
          </w:r>
          <w:r>
            <w:fldChar w:fldCharType="end"/>
          </w:r>
        </w:p>
        <w:p xmlns:wp14="http://schemas.microsoft.com/office/word/2010/wordml" w:rsidP="5654A23E" wp14:paraId="153FB6EE" wp14:textId="0284D4D6">
          <w:pPr>
            <w:pStyle w:val="TOC2"/>
            <w:tabs>
              <w:tab w:val="right" w:leader="dot" w:pos="9015"/>
            </w:tabs>
            <w:bidi w:val="0"/>
          </w:pPr>
          <w:r>
            <w:fldChar w:fldCharType="begin"/>
          </w:r>
          <w:r>
            <w:instrText xml:space="preserve">HYPERLINK  \l  "_Toc885755335" </w:instrText>
          </w:r>
          <w:r>
            <w:fldChar w:fldCharType="separate"/>
          </w:r>
          <w:r w:rsidR="5654A23E">
            <w:rPr/>
            <w:t>Task 1 What Is Driving BHP’s Green Transition?</w:t>
          </w:r>
          <w:r>
            <w:tab/>
          </w:r>
          <w:r>
            <w:fldChar w:fldCharType="begin"/>
          </w:r>
          <w:r>
            <w:instrText xml:space="preserve">PAGEREF _Toc885755335 \h</w:instrText>
          </w:r>
          <w:r>
            <w:fldChar w:fldCharType="separate"/>
          </w:r>
          <w:r w:rsidR="5654A23E">
            <w:rPr/>
            <w:t>2</w:t>
          </w:r>
          <w:r>
            <w:fldChar w:fldCharType="end"/>
          </w:r>
          <w:r>
            <w:fldChar w:fldCharType="end"/>
          </w:r>
        </w:p>
        <w:p xmlns:wp14="http://schemas.microsoft.com/office/word/2010/wordml" w:rsidP="5654A23E" wp14:paraId="6830E83B" wp14:textId="201F26EF">
          <w:pPr>
            <w:pStyle w:val="TOC3"/>
            <w:tabs>
              <w:tab w:val="right" w:leader="dot" w:pos="9015"/>
            </w:tabs>
            <w:bidi w:val="0"/>
          </w:pPr>
          <w:r>
            <w:fldChar w:fldCharType="begin"/>
          </w:r>
          <w:r>
            <w:instrText xml:space="preserve">HYPERLINK  \l  "_Toc1387420031" </w:instrText>
          </w:r>
          <w:r>
            <w:fldChar w:fldCharType="separate"/>
          </w:r>
          <w:r w:rsidR="5654A23E">
            <w:rPr/>
            <w:t>1. The Natural Environment: Our Changing Planet</w:t>
          </w:r>
          <w:r>
            <w:tab/>
          </w:r>
          <w:r>
            <w:fldChar w:fldCharType="begin"/>
          </w:r>
          <w:r>
            <w:instrText xml:space="preserve">PAGEREF _Toc1387420031 \h</w:instrText>
          </w:r>
          <w:r>
            <w:fldChar w:fldCharType="separate"/>
          </w:r>
          <w:r w:rsidR="5654A23E">
            <w:rPr/>
            <w:t>2</w:t>
          </w:r>
          <w:r>
            <w:fldChar w:fldCharType="end"/>
          </w:r>
          <w:r>
            <w:fldChar w:fldCharType="end"/>
          </w:r>
        </w:p>
        <w:p xmlns:wp14="http://schemas.microsoft.com/office/word/2010/wordml" w:rsidP="5654A23E" wp14:paraId="0061ACDE" wp14:textId="5E3C6FDA">
          <w:pPr>
            <w:pStyle w:val="TOC3"/>
            <w:tabs>
              <w:tab w:val="right" w:leader="dot" w:pos="9015"/>
            </w:tabs>
            <w:bidi w:val="0"/>
          </w:pPr>
          <w:r>
            <w:fldChar w:fldCharType="begin"/>
          </w:r>
          <w:r>
            <w:instrText xml:space="preserve">HYPERLINK  \l  "_Toc821163209" </w:instrText>
          </w:r>
          <w:r>
            <w:fldChar w:fldCharType="separate"/>
          </w:r>
          <w:r w:rsidR="5654A23E">
            <w:rPr/>
            <w:t>2. Rules and Laws: Governments Set the Standard</w:t>
          </w:r>
          <w:r>
            <w:tab/>
          </w:r>
          <w:r>
            <w:fldChar w:fldCharType="begin"/>
          </w:r>
          <w:r>
            <w:instrText xml:space="preserve">PAGEREF _Toc821163209 \h</w:instrText>
          </w:r>
          <w:r>
            <w:fldChar w:fldCharType="separate"/>
          </w:r>
          <w:r w:rsidR="5654A23E">
            <w:rPr/>
            <w:t>3</w:t>
          </w:r>
          <w:r>
            <w:fldChar w:fldCharType="end"/>
          </w:r>
          <w:r>
            <w:fldChar w:fldCharType="end"/>
          </w:r>
        </w:p>
        <w:p xmlns:wp14="http://schemas.microsoft.com/office/word/2010/wordml" w:rsidP="5654A23E" wp14:paraId="0B5EFD5D" wp14:textId="17BAE4B9">
          <w:pPr>
            <w:pStyle w:val="TOC3"/>
            <w:tabs>
              <w:tab w:val="right" w:leader="dot" w:pos="9015"/>
            </w:tabs>
            <w:bidi w:val="0"/>
          </w:pPr>
          <w:r>
            <w:fldChar w:fldCharType="begin"/>
          </w:r>
          <w:r>
            <w:instrText xml:space="preserve">HYPERLINK  \l  "_Toc1265807955" </w:instrText>
          </w:r>
          <w:r>
            <w:fldChar w:fldCharType="separate"/>
          </w:r>
          <w:r w:rsidR="5654A23E">
            <w:rPr/>
            <w:t>3. Markets and People: What Buyers and Investors Want</w:t>
          </w:r>
          <w:r>
            <w:tab/>
          </w:r>
          <w:r>
            <w:fldChar w:fldCharType="begin"/>
          </w:r>
          <w:r>
            <w:instrText xml:space="preserve">PAGEREF _Toc1265807955 \h</w:instrText>
          </w:r>
          <w:r>
            <w:fldChar w:fldCharType="separate"/>
          </w:r>
          <w:r w:rsidR="5654A23E">
            <w:rPr/>
            <w:t>4</w:t>
          </w:r>
          <w:r>
            <w:fldChar w:fldCharType="end"/>
          </w:r>
          <w:r>
            <w:fldChar w:fldCharType="end"/>
          </w:r>
        </w:p>
        <w:p xmlns:wp14="http://schemas.microsoft.com/office/word/2010/wordml" w:rsidP="5654A23E" wp14:paraId="6BE2ACA9" wp14:textId="69578716">
          <w:pPr>
            <w:pStyle w:val="TOC3"/>
            <w:tabs>
              <w:tab w:val="right" w:leader="dot" w:pos="9015"/>
            </w:tabs>
            <w:bidi w:val="0"/>
          </w:pPr>
          <w:r>
            <w:fldChar w:fldCharType="begin"/>
          </w:r>
          <w:r>
            <w:instrText xml:space="preserve">HYPERLINK  \l  "_Toc1793879870" </w:instrText>
          </w:r>
          <w:r>
            <w:fldChar w:fldCharType="separate"/>
          </w:r>
          <w:r w:rsidR="5654A23E">
            <w:rPr/>
            <w:t>Conclusion</w:t>
          </w:r>
          <w:r>
            <w:tab/>
          </w:r>
          <w:r>
            <w:fldChar w:fldCharType="begin"/>
          </w:r>
          <w:r>
            <w:instrText xml:space="preserve">PAGEREF _Toc1793879870 \h</w:instrText>
          </w:r>
          <w:r>
            <w:fldChar w:fldCharType="separate"/>
          </w:r>
          <w:r w:rsidR="5654A23E">
            <w:rPr/>
            <w:t>5</w:t>
          </w:r>
          <w:r>
            <w:fldChar w:fldCharType="end"/>
          </w:r>
          <w:r>
            <w:fldChar w:fldCharType="end"/>
          </w:r>
        </w:p>
        <w:p xmlns:wp14="http://schemas.microsoft.com/office/word/2010/wordml" w:rsidP="5654A23E" wp14:paraId="75413854" wp14:textId="48CE4A2D">
          <w:pPr>
            <w:pStyle w:val="TOC2"/>
            <w:tabs>
              <w:tab w:val="right" w:leader="dot" w:pos="9015"/>
            </w:tabs>
            <w:bidi w:val="0"/>
          </w:pPr>
          <w:r>
            <w:fldChar w:fldCharType="begin"/>
          </w:r>
          <w:r>
            <w:instrText xml:space="preserve">HYPERLINK  \l  "_Toc1689632217" </w:instrText>
          </w:r>
          <w:r>
            <w:fldChar w:fldCharType="separate"/>
          </w:r>
          <w:r w:rsidR="5654A23E">
            <w:rPr/>
            <w:t>Task 2 How Should BHP Grow?</w:t>
          </w:r>
          <w:r>
            <w:tab/>
          </w:r>
          <w:r>
            <w:fldChar w:fldCharType="begin"/>
          </w:r>
          <w:r>
            <w:instrText xml:space="preserve">PAGEREF _Toc1689632217 \h</w:instrText>
          </w:r>
          <w:r>
            <w:fldChar w:fldCharType="separate"/>
          </w:r>
          <w:r w:rsidR="5654A23E">
            <w:rPr/>
            <w:t>5</w:t>
          </w:r>
          <w:r>
            <w:fldChar w:fldCharType="end"/>
          </w:r>
          <w:r>
            <w:fldChar w:fldCharType="end"/>
          </w:r>
        </w:p>
        <w:p xmlns:wp14="http://schemas.microsoft.com/office/word/2010/wordml" w:rsidP="5654A23E" wp14:paraId="1FD710F7" wp14:textId="04C02130">
          <w:pPr>
            <w:pStyle w:val="TOC3"/>
            <w:tabs>
              <w:tab w:val="right" w:leader="dot" w:pos="9015"/>
            </w:tabs>
            <w:bidi w:val="0"/>
          </w:pPr>
          <w:r>
            <w:fldChar w:fldCharType="begin"/>
          </w:r>
          <w:r>
            <w:instrText xml:space="preserve">HYPERLINK  \l  "_Toc1751066102" </w:instrText>
          </w:r>
          <w:r>
            <w:fldChar w:fldCharType="separate"/>
          </w:r>
          <w:r w:rsidR="5654A23E">
            <w:rPr/>
            <w:t>Introduction</w:t>
          </w:r>
          <w:r>
            <w:tab/>
          </w:r>
          <w:r>
            <w:fldChar w:fldCharType="begin"/>
          </w:r>
          <w:r>
            <w:instrText xml:space="preserve">PAGEREF _Toc1751066102 \h</w:instrText>
          </w:r>
          <w:r>
            <w:fldChar w:fldCharType="separate"/>
          </w:r>
          <w:r w:rsidR="5654A23E">
            <w:rPr/>
            <w:t>5</w:t>
          </w:r>
          <w:r>
            <w:fldChar w:fldCharType="end"/>
          </w:r>
          <w:r>
            <w:fldChar w:fldCharType="end"/>
          </w:r>
        </w:p>
        <w:p xmlns:wp14="http://schemas.microsoft.com/office/word/2010/wordml" w:rsidP="5654A23E" wp14:paraId="3F36BA97" wp14:textId="414E4000">
          <w:pPr>
            <w:pStyle w:val="TOC3"/>
            <w:tabs>
              <w:tab w:val="right" w:leader="dot" w:pos="9015"/>
            </w:tabs>
            <w:bidi w:val="0"/>
          </w:pPr>
          <w:r>
            <w:fldChar w:fldCharType="begin"/>
          </w:r>
          <w:r>
            <w:instrText xml:space="preserve">HYPERLINK  \l  "_Toc1481687843" </w:instrText>
          </w:r>
          <w:r>
            <w:fldChar w:fldCharType="separate"/>
          </w:r>
          <w:r w:rsidR="5654A23E">
            <w:rPr/>
            <w:t>Main Strategy: Better Products for Existing Customers</w:t>
          </w:r>
          <w:r>
            <w:tab/>
          </w:r>
          <w:r>
            <w:fldChar w:fldCharType="begin"/>
          </w:r>
          <w:r>
            <w:instrText xml:space="preserve">PAGEREF _Toc1481687843 \h</w:instrText>
          </w:r>
          <w:r>
            <w:fldChar w:fldCharType="separate"/>
          </w:r>
          <w:r w:rsidR="5654A23E">
            <w:rPr/>
            <w:t>5</w:t>
          </w:r>
          <w:r>
            <w:fldChar w:fldCharType="end"/>
          </w:r>
          <w:r>
            <w:fldChar w:fldCharType="end"/>
          </w:r>
        </w:p>
        <w:p xmlns:wp14="http://schemas.microsoft.com/office/word/2010/wordml" w:rsidP="5654A23E" wp14:paraId="79F02848" wp14:textId="075AB0D6">
          <w:pPr>
            <w:pStyle w:val="TOC3"/>
            <w:tabs>
              <w:tab w:val="right" w:leader="dot" w:pos="9015"/>
            </w:tabs>
            <w:bidi w:val="0"/>
          </w:pPr>
          <w:r>
            <w:fldChar w:fldCharType="begin"/>
          </w:r>
          <w:r>
            <w:instrText xml:space="preserve">HYPERLINK  \l  "_Toc1712260774" </w:instrText>
          </w:r>
          <w:r>
            <w:fldChar w:fldCharType="separate"/>
          </w:r>
          <w:r w:rsidR="5654A23E">
            <w:rPr/>
            <w:t>The most important first step is product development creating improved, low-carbon versions of what BHP already sells to customers it already knows and trusts. This is the smartest priority because demand is already there: steelmakers, battery makers, and infrastructure builders are actively seeking cleaner materials; the missing piece is reliable supply.</w:t>
          </w:r>
          <w:r>
            <w:tab/>
          </w:r>
          <w:r>
            <w:fldChar w:fldCharType="begin"/>
          </w:r>
          <w:r>
            <w:instrText xml:space="preserve">PAGEREF _Toc1712260774 \h</w:instrText>
          </w:r>
          <w:r>
            <w:fldChar w:fldCharType="separate"/>
          </w:r>
          <w:r w:rsidR="5654A23E">
            <w:rPr/>
            <w:t>5</w:t>
          </w:r>
          <w:r>
            <w:fldChar w:fldCharType="end"/>
          </w:r>
          <w:r>
            <w:fldChar w:fldCharType="end"/>
          </w:r>
        </w:p>
        <w:p xmlns:wp14="http://schemas.microsoft.com/office/word/2010/wordml" w:rsidP="5654A23E" wp14:paraId="182BF4E2" wp14:textId="674A66BC">
          <w:pPr>
            <w:pStyle w:val="TOC3"/>
            <w:tabs>
              <w:tab w:val="right" w:leader="dot" w:pos="9015"/>
            </w:tabs>
            <w:bidi w:val="0"/>
          </w:pPr>
          <w:r>
            <w:fldChar w:fldCharType="begin"/>
          </w:r>
          <w:r>
            <w:instrText xml:space="preserve">HYPERLINK  \l  "_Toc1713189468" </w:instrText>
          </w:r>
          <w:r>
            <w:fldChar w:fldCharType="separate"/>
          </w:r>
          <w:r w:rsidR="5654A23E">
            <w:rPr/>
            <w:t>Supporting Strategy: Reach New Markets</w:t>
          </w:r>
          <w:r>
            <w:tab/>
          </w:r>
          <w:r>
            <w:fldChar w:fldCharType="begin"/>
          </w:r>
          <w:r>
            <w:instrText xml:space="preserve">PAGEREF _Toc1713189468 \h</w:instrText>
          </w:r>
          <w:r>
            <w:fldChar w:fldCharType="separate"/>
          </w:r>
          <w:r w:rsidR="5654A23E">
            <w:rPr/>
            <w:t>6</w:t>
          </w:r>
          <w:r>
            <w:fldChar w:fldCharType="end"/>
          </w:r>
          <w:r>
            <w:fldChar w:fldCharType="end"/>
          </w:r>
        </w:p>
        <w:p xmlns:wp14="http://schemas.microsoft.com/office/word/2010/wordml" w:rsidP="5654A23E" wp14:paraId="61242EE8" wp14:textId="6F775014">
          <w:pPr>
            <w:pStyle w:val="TOC3"/>
            <w:tabs>
              <w:tab w:val="right" w:leader="dot" w:pos="9015"/>
            </w:tabs>
            <w:bidi w:val="0"/>
          </w:pPr>
          <w:r>
            <w:fldChar w:fldCharType="begin"/>
          </w:r>
          <w:r>
            <w:instrText xml:space="preserve">HYPERLINK  \l  "_Toc580207380" </w:instrText>
          </w:r>
          <w:r>
            <w:fldChar w:fldCharType="separate"/>
          </w:r>
          <w:r w:rsidR="5654A23E">
            <w:rPr/>
            <w:t>Foundation Strategy: Work Smarter Everywhere</w:t>
          </w:r>
          <w:r>
            <w:tab/>
          </w:r>
          <w:r>
            <w:fldChar w:fldCharType="begin"/>
          </w:r>
          <w:r>
            <w:instrText xml:space="preserve">PAGEREF _Toc580207380 \h</w:instrText>
          </w:r>
          <w:r>
            <w:fldChar w:fldCharType="separate"/>
          </w:r>
          <w:r w:rsidR="5654A23E">
            <w:rPr/>
            <w:t>6</w:t>
          </w:r>
          <w:r>
            <w:fldChar w:fldCharType="end"/>
          </w:r>
          <w:r>
            <w:fldChar w:fldCharType="end"/>
          </w:r>
        </w:p>
        <w:p xmlns:wp14="http://schemas.microsoft.com/office/word/2010/wordml" w:rsidP="5654A23E" wp14:paraId="6F33CD5A" wp14:textId="7628EC08">
          <w:pPr>
            <w:pStyle w:val="TOC3"/>
            <w:tabs>
              <w:tab w:val="right" w:leader="dot" w:pos="9015"/>
            </w:tabs>
            <w:bidi w:val="0"/>
          </w:pPr>
          <w:r>
            <w:fldChar w:fldCharType="begin"/>
          </w:r>
          <w:r>
            <w:instrText xml:space="preserve">HYPERLINK  \l  "_Toc1454881702" </w:instrText>
          </w:r>
          <w:r>
            <w:fldChar w:fldCharType="separate"/>
          </w:r>
          <w:r w:rsidR="5654A23E">
            <w:rPr/>
            <w:t>Future Option: Branch Out</w:t>
          </w:r>
          <w:r>
            <w:tab/>
          </w:r>
          <w:r>
            <w:fldChar w:fldCharType="begin"/>
          </w:r>
          <w:r>
            <w:instrText xml:space="preserve">PAGEREF _Toc1454881702 \h</w:instrText>
          </w:r>
          <w:r>
            <w:fldChar w:fldCharType="separate"/>
          </w:r>
          <w:r w:rsidR="5654A23E">
            <w:rPr/>
            <w:t>6</w:t>
          </w:r>
          <w:r>
            <w:fldChar w:fldCharType="end"/>
          </w:r>
          <w:r>
            <w:fldChar w:fldCharType="end"/>
          </w:r>
        </w:p>
        <w:p xmlns:wp14="http://schemas.microsoft.com/office/word/2010/wordml" w:rsidP="5654A23E" wp14:paraId="5FEF4854" wp14:textId="135CB44E">
          <w:pPr>
            <w:pStyle w:val="TOC3"/>
            <w:tabs>
              <w:tab w:val="right" w:leader="dot" w:pos="9015"/>
            </w:tabs>
            <w:bidi w:val="0"/>
          </w:pPr>
          <w:r>
            <w:fldChar w:fldCharType="begin"/>
          </w:r>
          <w:r>
            <w:instrText xml:space="preserve">HYPERLINK  \l  "_Toc1621236002" </w:instrText>
          </w:r>
          <w:r>
            <w:fldChar w:fldCharType="separate"/>
          </w:r>
          <w:r w:rsidR="5654A23E">
            <w:rPr/>
            <w:t>BHP’s Green Transition Timeline</w:t>
          </w:r>
          <w:r>
            <w:tab/>
          </w:r>
          <w:r>
            <w:fldChar w:fldCharType="begin"/>
          </w:r>
          <w:r>
            <w:instrText xml:space="preserve">PAGEREF _Toc1621236002 \h</w:instrText>
          </w:r>
          <w:r>
            <w:fldChar w:fldCharType="separate"/>
          </w:r>
          <w:r w:rsidR="5654A23E">
            <w:rPr/>
            <w:t>7</w:t>
          </w:r>
          <w:r>
            <w:fldChar w:fldCharType="end"/>
          </w:r>
          <w:r>
            <w:fldChar w:fldCharType="end"/>
          </w:r>
        </w:p>
        <w:p xmlns:wp14="http://schemas.microsoft.com/office/word/2010/wordml" w:rsidP="5654A23E" wp14:paraId="0312BE2D" wp14:textId="4864C4FB">
          <w:pPr>
            <w:pStyle w:val="TOC3"/>
            <w:tabs>
              <w:tab w:val="right" w:leader="dot" w:pos="9015"/>
            </w:tabs>
            <w:bidi w:val="0"/>
          </w:pPr>
          <w:r>
            <w:fldChar w:fldCharType="begin"/>
          </w:r>
          <w:r>
            <w:instrText xml:space="preserve">HYPERLINK  \l  "_Toc878360051" </w:instrText>
          </w:r>
          <w:r>
            <w:fldChar w:fldCharType="separate"/>
          </w:r>
          <w:r w:rsidR="5654A23E">
            <w:rPr/>
            <w:t>How to Stay Ahead</w:t>
          </w:r>
          <w:r>
            <w:tab/>
          </w:r>
          <w:r>
            <w:fldChar w:fldCharType="begin"/>
          </w:r>
          <w:r>
            <w:instrText xml:space="preserve">PAGEREF _Toc878360051 \h</w:instrText>
          </w:r>
          <w:r>
            <w:fldChar w:fldCharType="separate"/>
          </w:r>
          <w:r w:rsidR="5654A23E">
            <w:rPr/>
            <w:t>7</w:t>
          </w:r>
          <w:r>
            <w:fldChar w:fldCharType="end"/>
          </w:r>
          <w:r>
            <w:fldChar w:fldCharType="end"/>
          </w:r>
        </w:p>
        <w:p xmlns:wp14="http://schemas.microsoft.com/office/word/2010/wordml" w:rsidP="5654A23E" wp14:paraId="26826770" wp14:textId="51849BF4">
          <w:pPr>
            <w:pStyle w:val="TOC3"/>
            <w:tabs>
              <w:tab w:val="right" w:leader="dot" w:pos="9015"/>
            </w:tabs>
            <w:bidi w:val="0"/>
          </w:pPr>
          <w:r>
            <w:fldChar w:fldCharType="begin"/>
          </w:r>
          <w:r>
            <w:instrText xml:space="preserve">HYPERLINK  \l  "_Toc1138909665" </w:instrText>
          </w:r>
          <w:r>
            <w:fldChar w:fldCharType="separate"/>
          </w:r>
          <w:r w:rsidR="5654A23E">
            <w:rPr/>
            <w:t>Conclusion</w:t>
          </w:r>
          <w:r>
            <w:tab/>
          </w:r>
          <w:r>
            <w:fldChar w:fldCharType="begin"/>
          </w:r>
          <w:r>
            <w:instrText xml:space="preserve">PAGEREF _Toc1138909665 \h</w:instrText>
          </w:r>
          <w:r>
            <w:fldChar w:fldCharType="separate"/>
          </w:r>
          <w:r w:rsidR="5654A23E">
            <w:rPr/>
            <w:t>7</w:t>
          </w:r>
          <w:r>
            <w:fldChar w:fldCharType="end"/>
          </w:r>
          <w:r>
            <w:fldChar w:fldCharType="end"/>
          </w:r>
        </w:p>
        <w:p xmlns:wp14="http://schemas.microsoft.com/office/word/2010/wordml" w:rsidP="5654A23E" wp14:paraId="4AAF7D0F" wp14:textId="6FB53024">
          <w:pPr>
            <w:pStyle w:val="TOC2"/>
            <w:tabs>
              <w:tab w:val="right" w:leader="dot" w:pos="9015"/>
            </w:tabs>
            <w:bidi w:val="0"/>
          </w:pPr>
          <w:r>
            <w:fldChar w:fldCharType="begin"/>
          </w:r>
          <w:r>
            <w:instrText xml:space="preserve">HYPERLINK  \l  "_Toc144694397" </w:instrText>
          </w:r>
          <w:r>
            <w:fldChar w:fldCharType="separate"/>
          </w:r>
          <w:r w:rsidR="5654A23E">
            <w:rPr/>
            <w:t>Task 3 Looking Back: Decisions, Choices, and What We Cannot Know</w:t>
          </w:r>
          <w:r>
            <w:tab/>
          </w:r>
          <w:r>
            <w:fldChar w:fldCharType="begin"/>
          </w:r>
          <w:r>
            <w:instrText xml:space="preserve">PAGEREF _Toc144694397 \h</w:instrText>
          </w:r>
          <w:r>
            <w:fldChar w:fldCharType="separate"/>
          </w:r>
          <w:r w:rsidR="5654A23E">
            <w:rPr/>
            <w:t>7</w:t>
          </w:r>
          <w:r>
            <w:fldChar w:fldCharType="end"/>
          </w:r>
          <w:r>
            <w:fldChar w:fldCharType="end"/>
          </w:r>
        </w:p>
        <w:p xmlns:wp14="http://schemas.microsoft.com/office/word/2010/wordml" w:rsidP="5654A23E" wp14:paraId="1BDB79A9" wp14:textId="447D9B6E">
          <w:pPr>
            <w:pStyle w:val="TOC3"/>
            <w:tabs>
              <w:tab w:val="right" w:leader="dot" w:pos="9015"/>
            </w:tabs>
            <w:bidi w:val="0"/>
          </w:pPr>
          <w:r>
            <w:fldChar w:fldCharType="begin"/>
          </w:r>
          <w:r>
            <w:instrText xml:space="preserve">HYPERLINK  \l  "_Toc1191261256" </w:instrText>
          </w:r>
          <w:r>
            <w:fldChar w:fldCharType="separate"/>
          </w:r>
          <w:r w:rsidR="5654A23E">
            <w:rPr/>
            <w:t>Why I Made These Choices</w:t>
          </w:r>
          <w:r>
            <w:tab/>
          </w:r>
          <w:r>
            <w:fldChar w:fldCharType="begin"/>
          </w:r>
          <w:r>
            <w:instrText xml:space="preserve">PAGEREF _Toc1191261256 \h</w:instrText>
          </w:r>
          <w:r>
            <w:fldChar w:fldCharType="separate"/>
          </w:r>
          <w:r w:rsidR="5654A23E">
            <w:rPr/>
            <w:t>8</w:t>
          </w:r>
          <w:r>
            <w:fldChar w:fldCharType="end"/>
          </w:r>
          <w:r>
            <w:fldChar w:fldCharType="end"/>
          </w:r>
        </w:p>
        <w:p xmlns:wp14="http://schemas.microsoft.com/office/word/2010/wordml" w:rsidP="5654A23E" wp14:paraId="613974BB" wp14:textId="477202C6">
          <w:pPr>
            <w:pStyle w:val="TOC3"/>
            <w:tabs>
              <w:tab w:val="right" w:leader="dot" w:pos="9015"/>
            </w:tabs>
            <w:bidi w:val="0"/>
          </w:pPr>
          <w:r>
            <w:fldChar w:fldCharType="begin"/>
          </w:r>
          <w:r>
            <w:instrText xml:space="preserve">HYPERLINK  \l  "_Toc1383833541" </w:instrText>
          </w:r>
          <w:r>
            <w:fldChar w:fldCharType="separate"/>
          </w:r>
          <w:r w:rsidR="5654A23E">
            <w:rPr/>
            <w:t>Limitations and Gaps</w:t>
          </w:r>
          <w:r>
            <w:tab/>
          </w:r>
          <w:r>
            <w:fldChar w:fldCharType="begin"/>
          </w:r>
          <w:r>
            <w:instrText xml:space="preserve">PAGEREF _Toc1383833541 \h</w:instrText>
          </w:r>
          <w:r>
            <w:fldChar w:fldCharType="separate"/>
          </w:r>
          <w:r w:rsidR="5654A23E">
            <w:rPr/>
            <w:t>8</w:t>
          </w:r>
          <w:r>
            <w:fldChar w:fldCharType="end"/>
          </w:r>
          <w:r>
            <w:fldChar w:fldCharType="end"/>
          </w:r>
        </w:p>
        <w:p xmlns:wp14="http://schemas.microsoft.com/office/word/2010/wordml" w:rsidP="5654A23E" wp14:paraId="4CBA0AFC" wp14:textId="62B4F8CD">
          <w:pPr>
            <w:pStyle w:val="TOC2"/>
            <w:tabs>
              <w:tab w:val="right" w:leader="dot" w:pos="9015"/>
            </w:tabs>
            <w:bidi w:val="0"/>
          </w:pPr>
          <w:r>
            <w:fldChar w:fldCharType="begin"/>
          </w:r>
          <w:r>
            <w:instrText xml:space="preserve">HYPERLINK  \l  "_Toc1701506441" </w:instrText>
          </w:r>
          <w:r>
            <w:fldChar w:fldCharType="separate"/>
          </w:r>
          <w:r w:rsidR="5654A23E">
            <w:rPr/>
            <w:t>References</w:t>
          </w:r>
          <w:r>
            <w:tab/>
          </w:r>
          <w:r>
            <w:fldChar w:fldCharType="begin"/>
          </w:r>
          <w:r>
            <w:instrText xml:space="preserve">PAGEREF _Toc1701506441 \h</w:instrText>
          </w:r>
          <w:r>
            <w:fldChar w:fldCharType="separate"/>
          </w:r>
          <w:r w:rsidR="5654A23E">
            <w:rPr/>
            <w:t>8</w:t>
          </w:r>
          <w:r>
            <w:fldChar w:fldCharType="end"/>
          </w:r>
          <w:r>
            <w:fldChar w:fldCharType="end"/>
          </w:r>
        </w:p>
        <w:p xmlns:wp14="http://schemas.microsoft.com/office/word/2010/wordml" w:rsidP="5654A23E" wp14:paraId="38BDFF1E" wp14:textId="4404D52B">
          <w:pPr>
            <w:bidi w:val="0"/>
            <w:spacing w:before="0" w:beforeAutospacing="off" w:after="0" w:afterAutospacing="off" w:line="360" w:lineRule="auto"/>
          </w:pPr>
          <w:r>
            <w:fldChar w:fldCharType="end"/>
          </w:r>
        </w:p>
      </w:sdtContent>
    </w:sdt>
    <w:p xmlns:wp14="http://schemas.microsoft.com/office/word/2010/wordml" w:rsidP="5654A23E" wp14:paraId="4D6C22B4" wp14:textId="564277C2">
      <w:pPr>
        <w:pStyle w:val="Heading2"/>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noProof w:val="0"/>
          <w:color w:val="000000" w:themeColor="text1" w:themeTint="FF" w:themeShade="FF"/>
          <w:sz w:val="22"/>
          <w:szCs w:val="22"/>
          <w:lang w:val="en-GB"/>
        </w:rPr>
      </w:pPr>
    </w:p>
    <w:p xmlns:wp14="http://schemas.microsoft.com/office/word/2010/wordml" w:rsidP="5654A23E" wp14:paraId="2E0E5CF6" wp14:textId="2D4073A2">
      <w:pPr>
        <w:pStyle w:val="Heading2"/>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noProof w:val="0"/>
          <w:color w:val="000000" w:themeColor="text1" w:themeTint="FF" w:themeShade="FF"/>
          <w:sz w:val="22"/>
          <w:szCs w:val="22"/>
          <w:lang w:val="en-GB"/>
        </w:rPr>
      </w:pPr>
    </w:p>
    <w:p xmlns:wp14="http://schemas.microsoft.com/office/word/2010/wordml" w:rsidP="20BE0FE0" wp14:paraId="09CA826C" wp14:textId="227CFBD7">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89592352" w:id="710310325"/>
      <w:r w:rsidRPr="20BE0FE0" w:rsidR="698FE9C8">
        <w:rPr>
          <w:rFonts w:ascii="Arial" w:hAnsi="Arial" w:eastAsia="Arial" w:cs="Arial"/>
          <w:b w:val="0"/>
          <w:bCs w:val="0"/>
          <w:i w:val="0"/>
          <w:iCs w:val="0"/>
          <w:noProof w:val="0"/>
          <w:color w:val="000000" w:themeColor="text1" w:themeTint="FF" w:themeShade="FF"/>
          <w:sz w:val="24"/>
          <w:szCs w:val="24"/>
          <w:lang w:val="en-GB"/>
        </w:rPr>
        <w:t>Introduction</w:t>
      </w:r>
      <w:bookmarkEnd w:id="710310325"/>
    </w:p>
    <w:p xmlns:wp14="http://schemas.microsoft.com/office/word/2010/wordml" w:rsidP="20BE0FE0" wp14:paraId="62D68389" wp14:textId="50F1ED0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The metals and mining industry produces </w:t>
      </w:r>
      <w:r w:rsidRPr="20BE0FE0" w:rsidR="698FE9C8">
        <w:rPr>
          <w:rFonts w:ascii="Arial" w:hAnsi="Arial" w:eastAsia="Arial" w:cs="Arial"/>
          <w:b w:val="0"/>
          <w:bCs w:val="0"/>
          <w:i w:val="0"/>
          <w:iCs w:val="0"/>
          <w:noProof w:val="0"/>
          <w:color w:val="000000" w:themeColor="text1" w:themeTint="FF" w:themeShade="FF"/>
          <w:sz w:val="24"/>
          <w:szCs w:val="24"/>
          <w:lang w:val="en-GB"/>
        </w:rPr>
        <w:t>roughly one</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quarter of all reported greenhouse gas emissions from the world’s 12,000 largest </w:t>
      </w:r>
      <w:r w:rsidRPr="20BE0FE0" w:rsidR="2C9B7B20">
        <w:rPr>
          <w:rFonts w:ascii="Arial" w:hAnsi="Arial" w:eastAsia="Arial" w:cs="Arial"/>
          <w:b w:val="0"/>
          <w:bCs w:val="0"/>
          <w:i w:val="0"/>
          <w:iCs w:val="0"/>
          <w:noProof w:val="0"/>
          <w:color w:val="000000" w:themeColor="text1" w:themeTint="FF" w:themeShade="FF"/>
          <w:sz w:val="24"/>
          <w:szCs w:val="24"/>
          <w:lang w:val="en-GB"/>
        </w:rPr>
        <w:t>companies that</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is an enormous share (Kotler et al., 2024, p. 115). Every tonne of metal dug up and processed releases carbon dioxide and other gases that warm the planet, and for decades this happened with little scrutiny. Today, the situation has changed completely.</w:t>
      </w:r>
    </w:p>
    <w:p w:rsidR="5654A23E" w:rsidP="20BE0FE0" w:rsidRDefault="5654A23E" w14:paraId="46493F1C" w14:textId="2B61798E">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1B842B35" wp14:textId="684080BE">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This report focuses on BHP Group Limited, the world’s largest diversified resources company, with mines across Australia, Chile, Canada and beyond producing iron ore, </w:t>
      </w:r>
      <w:r w:rsidRPr="20BE0FE0" w:rsidR="698FE9C8">
        <w:rPr>
          <w:rFonts w:ascii="Arial" w:hAnsi="Arial" w:eastAsia="Arial" w:cs="Arial"/>
          <w:b w:val="0"/>
          <w:bCs w:val="0"/>
          <w:i w:val="0"/>
          <w:iCs w:val="0"/>
          <w:noProof w:val="0"/>
          <w:color w:val="000000" w:themeColor="text1" w:themeTint="FF" w:themeShade="FF"/>
          <w:sz w:val="24"/>
          <w:szCs w:val="24"/>
          <w:lang w:val="en-GB"/>
        </w:rPr>
        <w:t>copper</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and </w:t>
      </w:r>
      <w:r w:rsidRPr="20BE0FE0" w:rsidR="7FAB159B">
        <w:rPr>
          <w:rFonts w:ascii="Arial" w:hAnsi="Arial" w:eastAsia="Arial" w:cs="Arial"/>
          <w:b w:val="0"/>
          <w:bCs w:val="0"/>
          <w:i w:val="0"/>
          <w:iCs w:val="0"/>
          <w:noProof w:val="0"/>
          <w:color w:val="000000" w:themeColor="text1" w:themeTint="FF" w:themeShade="FF"/>
          <w:sz w:val="24"/>
          <w:szCs w:val="24"/>
          <w:lang w:val="en-GB"/>
        </w:rPr>
        <w:t>nickel materials</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essential to modern life. BHP now faces </w:t>
      </w:r>
      <w:r w:rsidRPr="20BE0FE0" w:rsidR="698FE9C8">
        <w:rPr>
          <w:rFonts w:ascii="Arial" w:hAnsi="Arial" w:eastAsia="Arial" w:cs="Arial"/>
          <w:b w:val="0"/>
          <w:bCs w:val="0"/>
          <w:i w:val="0"/>
          <w:iCs w:val="0"/>
          <w:noProof w:val="0"/>
          <w:color w:val="000000" w:themeColor="text1" w:themeTint="FF" w:themeShade="FF"/>
          <w:sz w:val="24"/>
          <w:szCs w:val="24"/>
          <w:lang w:val="en-GB"/>
        </w:rPr>
        <w:t>a clear choice</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continue as before and fall </w:t>
      </w:r>
      <w:r w:rsidRPr="20BE0FE0" w:rsidR="0183765A">
        <w:rPr>
          <w:rFonts w:ascii="Arial" w:hAnsi="Arial" w:eastAsia="Arial" w:cs="Arial"/>
          <w:b w:val="0"/>
          <w:bCs w:val="0"/>
          <w:i w:val="0"/>
          <w:iCs w:val="0"/>
          <w:noProof w:val="0"/>
          <w:color w:val="000000" w:themeColor="text1" w:themeTint="FF" w:themeShade="FF"/>
          <w:sz w:val="24"/>
          <w:szCs w:val="24"/>
          <w:lang w:val="en-GB"/>
        </w:rPr>
        <w:t>behind or</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lead the shift to lower</w:t>
      </w:r>
      <w:r>
        <w:noBreakHyphen/>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carbon production and build a stronger, more respected business. We will examine three key external forces driving this </w:t>
      </w:r>
      <w:r w:rsidRPr="20BE0FE0" w:rsidR="58008A35">
        <w:rPr>
          <w:rFonts w:ascii="Arial" w:hAnsi="Arial" w:eastAsia="Arial" w:cs="Arial"/>
          <w:b w:val="0"/>
          <w:bCs w:val="0"/>
          <w:i w:val="0"/>
          <w:iCs w:val="0"/>
          <w:noProof w:val="0"/>
          <w:color w:val="000000" w:themeColor="text1" w:themeTint="FF" w:themeShade="FF"/>
          <w:sz w:val="24"/>
          <w:szCs w:val="24"/>
          <w:lang w:val="en-GB"/>
        </w:rPr>
        <w:t>change the</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natural environment, government regulation, and market </w:t>
      </w:r>
      <w:r w:rsidRPr="20BE0FE0" w:rsidR="0C3B2B9E">
        <w:rPr>
          <w:rFonts w:ascii="Arial" w:hAnsi="Arial" w:eastAsia="Arial" w:cs="Arial"/>
          <w:b w:val="0"/>
          <w:bCs w:val="0"/>
          <w:i w:val="0"/>
          <w:iCs w:val="0"/>
          <w:noProof w:val="0"/>
          <w:color w:val="000000" w:themeColor="text1" w:themeTint="FF" w:themeShade="FF"/>
          <w:sz w:val="24"/>
          <w:szCs w:val="24"/>
          <w:lang w:val="en-GB"/>
        </w:rPr>
        <w:t>pressure and</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how each shapes BHP’s path.</w:t>
      </w:r>
    </w:p>
    <w:p xmlns:wp14="http://schemas.microsoft.com/office/word/2010/wordml" w:rsidP="20BE0FE0" wp14:paraId="45E47B75" wp14:textId="56402867">
      <w:pPr>
        <w:rPr>
          <w:rFonts w:ascii="Arial" w:hAnsi="Arial" w:eastAsia="Arial" w:cs="Arial"/>
          <w:sz w:val="24"/>
          <w:szCs w:val="24"/>
        </w:rPr>
      </w:pPr>
    </w:p>
    <w:p xmlns:wp14="http://schemas.microsoft.com/office/word/2010/wordml" w:rsidP="20BE0FE0" wp14:paraId="20AAA63D" wp14:textId="482BEFE4">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885755335" w:id="606580196"/>
      <w:r w:rsidRPr="20BE0FE0" w:rsidR="698FE9C8">
        <w:rPr>
          <w:rFonts w:ascii="Arial" w:hAnsi="Arial" w:eastAsia="Arial" w:cs="Arial"/>
          <w:b w:val="0"/>
          <w:bCs w:val="0"/>
          <w:i w:val="0"/>
          <w:iCs w:val="0"/>
          <w:noProof w:val="0"/>
          <w:color w:val="000000" w:themeColor="text1" w:themeTint="FF" w:themeShade="FF"/>
          <w:sz w:val="24"/>
          <w:szCs w:val="24"/>
          <w:lang w:val="en-GB"/>
        </w:rPr>
        <w:t xml:space="preserve">Task </w:t>
      </w:r>
      <w:r w:rsidRPr="20BE0FE0" w:rsidR="3496A2CD">
        <w:rPr>
          <w:rFonts w:ascii="Arial" w:hAnsi="Arial" w:eastAsia="Arial" w:cs="Arial"/>
          <w:b w:val="0"/>
          <w:bCs w:val="0"/>
          <w:i w:val="0"/>
          <w:iCs w:val="0"/>
          <w:noProof w:val="0"/>
          <w:color w:val="000000" w:themeColor="text1" w:themeTint="FF" w:themeShade="FF"/>
          <w:sz w:val="24"/>
          <w:szCs w:val="24"/>
          <w:lang w:val="en-GB"/>
        </w:rPr>
        <w:t>1 What</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Is Driving BHP’s Green Transition?</w:t>
      </w:r>
      <w:bookmarkEnd w:id="606580196"/>
    </w:p>
    <w:p xmlns:wp14="http://schemas.microsoft.com/office/word/2010/wordml" w:rsidP="20BE0FE0" wp14:paraId="2D23BCB0" wp14:textId="79AEBA61">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387420031" w:id="1080853984"/>
      <w:r w:rsidRPr="20BE0FE0" w:rsidR="698FE9C8">
        <w:rPr>
          <w:rFonts w:ascii="Arial" w:hAnsi="Arial" w:eastAsia="Arial" w:cs="Arial"/>
          <w:b w:val="0"/>
          <w:bCs w:val="0"/>
          <w:i w:val="0"/>
          <w:iCs w:val="0"/>
          <w:noProof w:val="0"/>
          <w:color w:val="000000" w:themeColor="text1" w:themeTint="FF" w:themeShade="FF"/>
          <w:sz w:val="24"/>
          <w:szCs w:val="24"/>
          <w:lang w:val="en-GB"/>
        </w:rPr>
        <w:t>1. The Natural Environment: Our Changing Planet</w:t>
      </w:r>
      <w:bookmarkEnd w:id="1080853984"/>
    </w:p>
    <w:p xmlns:wp14="http://schemas.microsoft.com/office/word/2010/wordml" w:rsidP="20BE0FE0" wp14:paraId="57031FED" wp14:textId="1E76E58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The most fundamental reason for change comes from nature itself. Scientists have warned for decades that burning fossil fuels and damaging ecosystems warms the Earth, and human </w:t>
      </w:r>
      <w:r w:rsidRPr="20BE0FE0" w:rsidR="601BF150">
        <w:rPr>
          <w:rFonts w:ascii="Arial" w:hAnsi="Arial" w:eastAsia="Arial" w:cs="Arial"/>
          <w:b w:val="0"/>
          <w:bCs w:val="0"/>
          <w:i w:val="0"/>
          <w:iCs w:val="0"/>
          <w:noProof w:val="0"/>
          <w:color w:val="000000" w:themeColor="text1" w:themeTint="FF" w:themeShade="FF"/>
          <w:sz w:val="24"/>
          <w:szCs w:val="24"/>
          <w:lang w:val="en-GB"/>
        </w:rPr>
        <w:t>activity including</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large-scale mining is a major cause (IPCC, 2023). This is not just about abstract numbers in a report; it affects how BHP works every single day, in three clear ways.</w:t>
      </w:r>
    </w:p>
    <w:p xmlns:wp14="http://schemas.microsoft.com/office/word/2010/wordml" w:rsidP="20BE0FE0" wp14:paraId="28C38D07" wp14:textId="161565C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First, physical conditions are making mining harder and more expensive. In Western Australia and </w:t>
      </w:r>
      <w:r w:rsidRPr="20BE0FE0" w:rsidR="005AA2EA">
        <w:rPr>
          <w:rFonts w:ascii="Arial" w:hAnsi="Arial" w:eastAsia="Arial" w:cs="Arial"/>
          <w:b w:val="0"/>
          <w:bCs w:val="0"/>
          <w:i w:val="0"/>
          <w:iCs w:val="0"/>
          <w:noProof w:val="0"/>
          <w:color w:val="000000" w:themeColor="text1" w:themeTint="FF" w:themeShade="FF"/>
          <w:sz w:val="24"/>
          <w:szCs w:val="24"/>
          <w:lang w:val="en-GB"/>
        </w:rPr>
        <w:t>Chile where</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BHP does much of its </w:t>
      </w:r>
      <w:r w:rsidRPr="20BE0FE0" w:rsidR="2C9ABC2E">
        <w:rPr>
          <w:rFonts w:ascii="Arial" w:hAnsi="Arial" w:eastAsia="Arial" w:cs="Arial"/>
          <w:b w:val="0"/>
          <w:bCs w:val="0"/>
          <w:i w:val="0"/>
          <w:iCs w:val="0"/>
          <w:noProof w:val="0"/>
          <w:color w:val="000000" w:themeColor="text1" w:themeTint="FF" w:themeShade="FF"/>
          <w:sz w:val="24"/>
          <w:szCs w:val="24"/>
          <w:lang w:val="en-GB"/>
        </w:rPr>
        <w:t>work droughts</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are becoming longer, heatwaves more intense, and rain patterns less predictable. Mining and processing metals use </w:t>
      </w:r>
      <w:r w:rsidRPr="20BE0FE0" w:rsidR="698FE9C8">
        <w:rPr>
          <w:rFonts w:ascii="Arial" w:hAnsi="Arial" w:eastAsia="Arial" w:cs="Arial"/>
          <w:b w:val="0"/>
          <w:bCs w:val="0"/>
          <w:i w:val="0"/>
          <w:iCs w:val="0"/>
          <w:noProof w:val="0"/>
          <w:color w:val="000000" w:themeColor="text1" w:themeTint="FF" w:themeShade="FF"/>
          <w:sz w:val="24"/>
          <w:szCs w:val="24"/>
          <w:lang w:val="en-GB"/>
        </w:rPr>
        <w:t>huge amounts</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of water; a single large mine can consume millions of litres daily. When water becomes scarce, production slows, expansion plans are put on hold, and costs rise. BHP’s own reports confirm that water availability is already a top operational concern in both regions (BHP, 2024a; IEA, 2024). Extreme weather also damages infrastructur floods can wash out roads and railways, while intense heat can make working conditions unsafe for employees. These are not distant </w:t>
      </w:r>
      <w:r w:rsidRPr="20BE0FE0" w:rsidR="440530EC">
        <w:rPr>
          <w:rFonts w:ascii="Arial" w:hAnsi="Arial" w:eastAsia="Arial" w:cs="Arial"/>
          <w:b w:val="0"/>
          <w:bCs w:val="0"/>
          <w:i w:val="0"/>
          <w:iCs w:val="0"/>
          <w:noProof w:val="0"/>
          <w:color w:val="000000" w:themeColor="text1" w:themeTint="FF" w:themeShade="FF"/>
          <w:sz w:val="24"/>
          <w:szCs w:val="24"/>
          <w:lang w:val="en-GB"/>
        </w:rPr>
        <w:t>problems they</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are happening now, and they will only get worse.</w:t>
      </w:r>
    </w:p>
    <w:p w:rsidR="5654A23E" w:rsidP="20BE0FE0" w:rsidRDefault="5654A23E" w14:paraId="25E29ED8" w14:textId="206379D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4EB780C5" wp14:textId="04E8882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Second, there is now broad scientific agreement that industries must respect planetary boundaries limits to how much we can alter the planet before vital systems break down. Climate change and biodiversity loss are two boundaries we have already crossed, and mining impacts both. Clearing land, digging open pits, and processing rock destroys habitats, while energy-intensive operations release massive amounts of carbon. Today, being environmentally responsible means more than just following the law it means repairing land after use, protecting wildlife, and reducing harm at every stage (Rockström et al., 2023; World Economic Forum, 2025). Communities and customers do not just want BHP to do less </w:t>
      </w:r>
      <w:r w:rsidRPr="20BE0FE0" w:rsidR="71118A02">
        <w:rPr>
          <w:rFonts w:ascii="Arial" w:hAnsi="Arial" w:eastAsia="Arial" w:cs="Arial"/>
          <w:b w:val="0"/>
          <w:bCs w:val="0"/>
          <w:i w:val="0"/>
          <w:iCs w:val="0"/>
          <w:noProof w:val="0"/>
          <w:color w:val="000000" w:themeColor="text1" w:themeTint="FF" w:themeShade="FF"/>
          <w:sz w:val="24"/>
          <w:szCs w:val="24"/>
          <w:lang w:val="en-GB"/>
        </w:rPr>
        <w:t>harm they</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want it to actively help restore the environments it works in.</w:t>
      </w:r>
    </w:p>
    <w:p w:rsidR="5654A23E" w:rsidP="20BE0FE0" w:rsidRDefault="5654A23E" w14:paraId="141CE853" w14:textId="200A93B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238AE601" wp14:textId="229418F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Third, the global shift toward clean energy is changing which minerals matter most. Wind turbines, solar panels, electric cars, and battery storage all need copper, nickel, lithium, and rare earth metals often in far larger quantities than traditional energy sources. The International Energy Agency has warned that demand for some of these critical minerals could quadruple by 2040 (IEA, 2024). At the same time, demand for coal historically a major product for mining companies is falling fast as power stations switch to renewables. BHP has already sold its thermal coal businesses because it recognises where the world is heading the future belongs to materials that build a green economy, not fuels that warm it (BHP, 2024b).</w:t>
      </w:r>
    </w:p>
    <w:p xmlns:wp14="http://schemas.microsoft.com/office/word/2010/wordml" w:rsidP="20BE0FE0" wp14:paraId="5B9A362E" wp14:textId="40E8EF4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Yet making this switch is not simple. Electric mining trucks, hydrogen-powered haulage, and renewable-powered processing plants are </w:t>
      </w:r>
      <w:r w:rsidRPr="20BE0FE0" w:rsidR="698FE9C8">
        <w:rPr>
          <w:rFonts w:ascii="Arial" w:hAnsi="Arial" w:eastAsia="Arial" w:cs="Arial"/>
          <w:b w:val="0"/>
          <w:bCs w:val="0"/>
          <w:i w:val="0"/>
          <w:iCs w:val="0"/>
          <w:noProof w:val="0"/>
          <w:color w:val="000000" w:themeColor="text1" w:themeTint="FF" w:themeShade="FF"/>
          <w:sz w:val="24"/>
          <w:szCs w:val="24"/>
          <w:lang w:val="en-GB"/>
        </w:rPr>
        <w:t>new technology</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They work in theory and in small trials, but no one has yet converted an entire global mining fleet there is no </w:t>
      </w:r>
      <w:r w:rsidRPr="20BE0FE0" w:rsidR="1CC2C861">
        <w:rPr>
          <w:rFonts w:ascii="Arial" w:hAnsi="Arial" w:eastAsia="Arial" w:cs="Arial"/>
          <w:b w:val="0"/>
          <w:bCs w:val="0"/>
          <w:i w:val="0"/>
          <w:iCs w:val="0"/>
          <w:noProof w:val="0"/>
          <w:color w:val="000000" w:themeColor="text1" w:themeTint="FF" w:themeShade="FF"/>
          <w:sz w:val="24"/>
          <w:szCs w:val="24"/>
          <w:lang w:val="en-GB"/>
        </w:rPr>
        <w:t>readymade</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instruction manual. These changes also require huge investment up front, with payoff taking years (McKinsey &amp; Company, 2025). The environment is not just telling BHP to cut emissions it is reshaping what the company should mine, how it should mine it, and what kind of business it needs to become.</w:t>
      </w:r>
    </w:p>
    <w:p w:rsidR="5654A23E" w:rsidP="20BE0FE0" w:rsidRDefault="5654A23E" w14:paraId="019394BB" w14:textId="2A9C1FA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4405477C" wp14:textId="17D8614E">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821163209" w:id="1612639594"/>
      <w:r w:rsidRPr="20BE0FE0" w:rsidR="698FE9C8">
        <w:rPr>
          <w:rFonts w:ascii="Arial" w:hAnsi="Arial" w:eastAsia="Arial" w:cs="Arial"/>
          <w:b w:val="0"/>
          <w:bCs w:val="0"/>
          <w:i w:val="0"/>
          <w:iCs w:val="0"/>
          <w:noProof w:val="0"/>
          <w:color w:val="000000" w:themeColor="text1" w:themeTint="FF" w:themeShade="FF"/>
          <w:sz w:val="24"/>
          <w:szCs w:val="24"/>
          <w:lang w:val="en-GB"/>
        </w:rPr>
        <w:t>2. Rules and Laws: Governments Set the Standard</w:t>
      </w:r>
      <w:bookmarkEnd w:id="1612639594"/>
    </w:p>
    <w:p xmlns:wp14="http://schemas.microsoft.com/office/word/2010/wordml" w:rsidP="20BE0FE0" wp14:paraId="5CA6BFBC" wp14:textId="5603BFD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Nature provides the reason to change, but government policies provide the rules and the timeline. Around the world, national governments and international bodies are turning climate goals into binding requirements that companies simply cannot ignore.</w:t>
      </w:r>
    </w:p>
    <w:p xmlns:wp14="http://schemas.microsoft.com/office/word/2010/wordml" w:rsidP="20BE0FE0" wp14:paraId="4F5A79F9" wp14:textId="2491372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One of the most important developments is the Carbon Border Adjustment Mechanism (CBAM) from the European Union. Starting in 2026, any company selling steel, aluminium, cement, or selected minerals into the EU must report the full carbon footprint of its products and eventually pay a tariff based on how much pollution was created during production (European Commission, 2025). If BHP delivers high-carbon iron ore to a European steelmaker, that steelmaker will face extra costs, and eventually it will stop buying. CBAM means BHP cannot treat decarbonisation as optional it must lower emissions to keep access to one of the world’s biggest markets.</w:t>
      </w:r>
    </w:p>
    <w:p xmlns:wp14="http://schemas.microsoft.com/office/word/2010/wordml" w:rsidP="20BE0FE0" wp14:paraId="57853E32" wp14:textId="1CBF8D8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At home, Australia’s Safeguard Mechanism places a legal cap on emissions from every large industrial facility. Companies must reduce pollution year by year or buy credits from cleaner projects another direct cost for laggards (Australian Government, 2025). In Chile, where BHP </w:t>
      </w:r>
      <w:r w:rsidRPr="20BE0FE0" w:rsidR="698FE9C8">
        <w:rPr>
          <w:rFonts w:ascii="Arial" w:hAnsi="Arial" w:eastAsia="Arial" w:cs="Arial"/>
          <w:b w:val="0"/>
          <w:bCs w:val="0"/>
          <w:i w:val="0"/>
          <w:iCs w:val="0"/>
          <w:noProof w:val="0"/>
          <w:color w:val="000000" w:themeColor="text1" w:themeTint="FF" w:themeShade="FF"/>
          <w:sz w:val="24"/>
          <w:szCs w:val="24"/>
          <w:lang w:val="en-GB"/>
        </w:rPr>
        <w:t>operates</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its largest copper mines, new mining royalty laws tie payments partly to environmental performance, and stricter emissions standards apply to new operations (Government of Chile, 2024). Taken together, these policies mean BHP faces rising costs if it does not act and potentially rising rewards if it does. The company has already committed around US$4 billion to low-emission infrastructure and renewable energy by 2030, with policy timelines driving the pace of spending (BHP, 2024c).</w:t>
      </w:r>
    </w:p>
    <w:p xmlns:wp14="http://schemas.microsoft.com/office/word/2010/wordml" w:rsidP="20BE0FE0" wp14:paraId="0E9FD5F0" wp14:textId="2224FD7C">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However, rules are not consistent everywhere. Some countries have moved fast others have delayed or set weaker targets. This creates an uneven playing field: a competitor </w:t>
      </w:r>
      <w:r w:rsidRPr="20BE0FE0" w:rsidR="698FE9C8">
        <w:rPr>
          <w:rFonts w:ascii="Arial" w:hAnsi="Arial" w:eastAsia="Arial" w:cs="Arial"/>
          <w:b w:val="0"/>
          <w:bCs w:val="0"/>
          <w:i w:val="0"/>
          <w:iCs w:val="0"/>
          <w:noProof w:val="0"/>
          <w:color w:val="000000" w:themeColor="text1" w:themeTint="FF" w:themeShade="FF"/>
          <w:sz w:val="24"/>
          <w:szCs w:val="24"/>
          <w:lang w:val="en-GB"/>
        </w:rPr>
        <w:t>operating</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where environmental rules are less strict may have lower costs in the short term (OECD, 2025). There is also uncertainty a change of government could slow or reverse policies, leaving companies that invested early facing stranded assets. BHP must </w:t>
      </w:r>
      <w:r w:rsidRPr="20BE0FE0" w:rsidR="41F17A34">
        <w:rPr>
          <w:rFonts w:ascii="Arial" w:hAnsi="Arial" w:eastAsia="Arial" w:cs="Arial"/>
          <w:b w:val="0"/>
          <w:bCs w:val="0"/>
          <w:i w:val="0"/>
          <w:iCs w:val="0"/>
          <w:noProof w:val="0"/>
          <w:color w:val="000000" w:themeColor="text1" w:themeTint="FF" w:themeShade="FF"/>
          <w:sz w:val="24"/>
          <w:szCs w:val="24"/>
          <w:lang w:val="en-GB"/>
        </w:rPr>
        <w:t>plan</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even while the goalposts keep shifting, balancing confidence in the direction of travel with caution about exactly how fast it must move.</w:t>
      </w:r>
    </w:p>
    <w:p w:rsidR="5654A23E" w:rsidP="20BE0FE0" w:rsidRDefault="5654A23E" w14:paraId="14FF3B3C" w14:textId="138F8DC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3C78A5A6" wp14:textId="234563E7">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265807955" w:id="536531636"/>
      <w:r w:rsidRPr="20BE0FE0" w:rsidR="698FE9C8">
        <w:rPr>
          <w:rFonts w:ascii="Arial" w:hAnsi="Arial" w:eastAsia="Arial" w:cs="Arial"/>
          <w:b w:val="0"/>
          <w:bCs w:val="0"/>
          <w:i w:val="0"/>
          <w:iCs w:val="0"/>
          <w:noProof w:val="0"/>
          <w:color w:val="000000" w:themeColor="text1" w:themeTint="FF" w:themeShade="FF"/>
          <w:sz w:val="24"/>
          <w:szCs w:val="24"/>
          <w:lang w:val="en-GB"/>
        </w:rPr>
        <w:t>3. Markets and People: What Buyers and Investors Want</w:t>
      </w:r>
      <w:bookmarkEnd w:id="536531636"/>
    </w:p>
    <w:p xmlns:wp14="http://schemas.microsoft.com/office/word/2010/wordml" w:rsidP="20BE0FE0" wp14:paraId="6856FD93" wp14:textId="4EA64E2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Finally, customers and investors are pushing change from the business side. Climate action is not just about rules anymore it is about money, reputation, and who wants to do business with whom.</w:t>
      </w:r>
    </w:p>
    <w:p xmlns:wp14="http://schemas.microsoft.com/office/word/2010/wordml" w:rsidP="20BE0FE0" wp14:paraId="097A2AAF" wp14:textId="3F61DB4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Major steelmakers, car manufacturers, technology firms, and construction companies have all set their own net-zero targets. To meet those goals, they need clean materials there is no point building an electric car if the steel in its frame was made by burning coal. Companies like SSAB and Volvo now ask suppliers for full carbon data before placing orders, and some are willing to pay a small but meaningful premium for metals certified as </w:t>
      </w:r>
      <w:r w:rsidRPr="20BE0FE0" w:rsidR="7F4C26F7">
        <w:rPr>
          <w:rFonts w:ascii="Arial" w:hAnsi="Arial" w:eastAsia="Arial" w:cs="Arial"/>
          <w:b w:val="0"/>
          <w:bCs w:val="0"/>
          <w:i w:val="0"/>
          <w:iCs w:val="0"/>
          <w:noProof w:val="0"/>
          <w:color w:val="000000" w:themeColor="text1" w:themeTint="FF" w:themeShade="FF"/>
          <w:sz w:val="24"/>
          <w:szCs w:val="24"/>
          <w:lang w:val="en-GB"/>
        </w:rPr>
        <w:t>low emission</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(BHP, 2024d; Financial Times, 2025). This is not charity it is self-preservation. If a car company cannot prove its vehicles are green, it will lose customers and fall behind rivals. Those same pressures flow straight back to the mines.</w:t>
      </w:r>
    </w:p>
    <w:p xmlns:wp14="http://schemas.microsoft.com/office/word/2010/wordml" w:rsidP="20BE0FE0" wp14:paraId="0755E94B" wp14:textId="6EBC426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Investors amplify these trends. More than half of the world’s large investment funds now use environmental, social, and governance (ESG) criteria when choosing where to put money. If BHP’s emissions stay high, those funds will sell their shares, </w:t>
      </w:r>
      <w:r w:rsidRPr="20BE0FE0" w:rsidR="4DB1617C">
        <w:rPr>
          <w:rFonts w:ascii="Arial" w:hAnsi="Arial" w:eastAsia="Arial" w:cs="Arial"/>
          <w:b w:val="0"/>
          <w:bCs w:val="0"/>
          <w:i w:val="0"/>
          <w:iCs w:val="0"/>
          <w:noProof w:val="0"/>
          <w:color w:val="000000" w:themeColor="text1" w:themeTint="FF" w:themeShade="FF"/>
          <w:sz w:val="24"/>
          <w:szCs w:val="24"/>
          <w:lang w:val="en-GB"/>
        </w:rPr>
        <w:t>lower</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the company’s value and </w:t>
      </w:r>
      <w:r w:rsidRPr="20BE0FE0" w:rsidR="1F191309">
        <w:rPr>
          <w:rFonts w:ascii="Arial" w:hAnsi="Arial" w:eastAsia="Arial" w:cs="Arial"/>
          <w:b w:val="0"/>
          <w:bCs w:val="0"/>
          <w:i w:val="0"/>
          <w:iCs w:val="0"/>
          <w:noProof w:val="0"/>
          <w:color w:val="000000" w:themeColor="text1" w:themeTint="FF" w:themeShade="FF"/>
          <w:sz w:val="24"/>
          <w:szCs w:val="24"/>
          <w:lang w:val="en-GB"/>
        </w:rPr>
        <w:t>make</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it harder and more expensive to borrow money for new projects (MSCI, 2025). Conversely, being seen as a sustainability leader attracts capital, draws in partners, and builds goodwill with the public.</w:t>
      </w:r>
    </w:p>
    <w:p xmlns:wp14="http://schemas.microsoft.com/office/word/2010/wordml" w:rsidP="20BE0FE0" wp14:paraId="0E8BA3DB" wp14:textId="720C551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But there is a serious catch scrutiny has never been higher. Greenwashing claiming to be greener than you are carries massive reputational risk. When big companies are caught exaggerating progress, they face lawsuits, boycotts, and headlines that damage trust for years (Transparency International, 2025). Customers and investors want real numbers </w:t>
      </w:r>
      <w:r w:rsidRPr="20BE0FE0" w:rsidR="4C48D862">
        <w:rPr>
          <w:rFonts w:ascii="Arial" w:hAnsi="Arial" w:eastAsia="Arial" w:cs="Arial"/>
          <w:b w:val="0"/>
          <w:bCs w:val="0"/>
          <w:i w:val="0"/>
          <w:iCs w:val="0"/>
          <w:noProof w:val="0"/>
          <w:color w:val="000000" w:themeColor="text1" w:themeTint="FF" w:themeShade="FF"/>
          <w:sz w:val="24"/>
          <w:szCs w:val="24"/>
          <w:lang w:val="en-GB"/>
        </w:rPr>
        <w:t>independently checked</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not glossy brochures.</w:t>
      </w:r>
    </w:p>
    <w:p xmlns:wp14="http://schemas.microsoft.com/office/word/2010/wordml" w:rsidP="20BE0FE0" wp14:paraId="7A862C6F" wp14:textId="4EC8E07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At the same time, businesses </w:t>
      </w:r>
      <w:r w:rsidRPr="20BE0FE0" w:rsidR="698FE9C8">
        <w:rPr>
          <w:rFonts w:ascii="Arial" w:hAnsi="Arial" w:eastAsia="Arial" w:cs="Arial"/>
          <w:b w:val="0"/>
          <w:bCs w:val="0"/>
          <w:i w:val="0"/>
          <w:iCs w:val="0"/>
          <w:noProof w:val="0"/>
          <w:color w:val="000000" w:themeColor="text1" w:themeTint="FF" w:themeShade="FF"/>
          <w:sz w:val="24"/>
          <w:szCs w:val="24"/>
          <w:lang w:val="en-GB"/>
        </w:rPr>
        <w:t>remain</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careful with budgets. Even companies that want to buy green have limits the extra they will pay is small, and not every buyer measures emissions the same way. Some focus on pollution from the mine itself others on </w:t>
      </w:r>
      <w:r w:rsidRPr="20BE0FE0" w:rsidR="698FE9C8">
        <w:rPr>
          <w:rFonts w:ascii="Arial" w:hAnsi="Arial" w:eastAsia="Arial" w:cs="Arial"/>
          <w:b w:val="0"/>
          <w:bCs w:val="0"/>
          <w:i w:val="0"/>
          <w:iCs w:val="0"/>
          <w:noProof w:val="0"/>
          <w:color w:val="000000" w:themeColor="text1" w:themeTint="FF" w:themeShade="FF"/>
          <w:sz w:val="24"/>
          <w:szCs w:val="24"/>
          <w:lang w:val="en-GB"/>
        </w:rPr>
        <w:t>processing still</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others on transport across oceans. This means BHP cannot simply launch one green product it must offer transparency and flexibility to meet </w:t>
      </w:r>
      <w:r w:rsidRPr="20BE0FE0" w:rsidR="698FE9C8">
        <w:rPr>
          <w:rFonts w:ascii="Arial" w:hAnsi="Arial" w:eastAsia="Arial" w:cs="Arial"/>
          <w:b w:val="0"/>
          <w:bCs w:val="0"/>
          <w:i w:val="0"/>
          <w:iCs w:val="0"/>
          <w:noProof w:val="0"/>
          <w:color w:val="000000" w:themeColor="text1" w:themeTint="FF" w:themeShade="FF"/>
          <w:sz w:val="24"/>
          <w:szCs w:val="24"/>
          <w:lang w:val="en-GB"/>
        </w:rPr>
        <w:t>different needs</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(World Steel Association, 2025).</w:t>
      </w:r>
    </w:p>
    <w:p xmlns:wp14="http://schemas.microsoft.com/office/word/2010/wordml" w:rsidP="20BE0FE0" wp14:paraId="5CF67383" wp14:textId="441916F7">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793879870" w:id="1828606914"/>
      <w:r w:rsidRPr="20BE0FE0" w:rsidR="698FE9C8">
        <w:rPr>
          <w:rFonts w:ascii="Arial" w:hAnsi="Arial" w:eastAsia="Arial" w:cs="Arial"/>
          <w:b w:val="0"/>
          <w:bCs w:val="0"/>
          <w:i w:val="0"/>
          <w:iCs w:val="0"/>
          <w:noProof w:val="0"/>
          <w:color w:val="000000" w:themeColor="text1" w:themeTint="FF" w:themeShade="FF"/>
          <w:sz w:val="24"/>
          <w:szCs w:val="24"/>
          <w:lang w:val="en-GB"/>
        </w:rPr>
        <w:t>Conclusion</w:t>
      </w:r>
      <w:bookmarkEnd w:id="1828606914"/>
    </w:p>
    <w:p xmlns:wp14="http://schemas.microsoft.com/office/word/2010/wordml" w:rsidP="20BE0FE0" wp14:paraId="7FE78BC8" wp14:textId="045F357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These three forces nature, laws, and people do not work separately they reinforce one another. The natural environment sets the </w:t>
      </w:r>
      <w:r w:rsidRPr="20BE0FE0" w:rsidR="49DD8320">
        <w:rPr>
          <w:rFonts w:ascii="Arial" w:hAnsi="Arial" w:eastAsia="Arial" w:cs="Arial"/>
          <w:b w:val="0"/>
          <w:bCs w:val="0"/>
          <w:i w:val="0"/>
          <w:iCs w:val="0"/>
          <w:noProof w:val="0"/>
          <w:color w:val="000000" w:themeColor="text1" w:themeTint="FF" w:themeShade="FF"/>
          <w:sz w:val="24"/>
          <w:szCs w:val="24"/>
          <w:lang w:val="en-GB"/>
        </w:rPr>
        <w:t>direction,</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and the urgency governments turn that urgency into enforceable rules</w:t>
      </w:r>
      <w:r w:rsidRPr="20BE0FE0" w:rsidR="6731260B">
        <w:rPr>
          <w:rFonts w:ascii="Arial" w:hAnsi="Arial" w:eastAsia="Arial" w:cs="Arial"/>
          <w:b w:val="0"/>
          <w:bCs w:val="0"/>
          <w:i w:val="0"/>
          <w:iCs w:val="0"/>
          <w:noProof w:val="0"/>
          <w:color w:val="000000" w:themeColor="text1" w:themeTint="FF" w:themeShade="FF"/>
          <w:sz w:val="24"/>
          <w:szCs w:val="24"/>
          <w:lang w:val="en-GB"/>
        </w:rPr>
        <w:t xml:space="preserve"> </w:t>
      </w:r>
      <w:r w:rsidRPr="20BE0FE0" w:rsidR="698FE9C8">
        <w:rPr>
          <w:rFonts w:ascii="Arial" w:hAnsi="Arial" w:eastAsia="Arial" w:cs="Arial"/>
          <w:b w:val="0"/>
          <w:bCs w:val="0"/>
          <w:i w:val="0"/>
          <w:iCs w:val="0"/>
          <w:noProof w:val="0"/>
          <w:color w:val="000000" w:themeColor="text1" w:themeTint="FF" w:themeShade="FF"/>
          <w:sz w:val="24"/>
          <w:szCs w:val="24"/>
          <w:lang w:val="en-GB"/>
        </w:rPr>
        <w:t>and customers and investors reward companies that deliver. For BHP, success will not mean ticking boxes or issuing statements. It will mean building environmental care into every decision from how it powers its trucks to how it designs its products so that doing good and doing good business become the same thing.</w:t>
      </w:r>
    </w:p>
    <w:p xmlns:wp14="http://schemas.microsoft.com/office/word/2010/wordml" w:rsidP="20BE0FE0" wp14:paraId="69530E1A" wp14:textId="0D60B308">
      <w:pPr>
        <w:rPr>
          <w:rFonts w:ascii="Arial" w:hAnsi="Arial" w:eastAsia="Arial" w:cs="Arial"/>
          <w:sz w:val="24"/>
          <w:szCs w:val="24"/>
        </w:rPr>
      </w:pPr>
    </w:p>
    <w:p xmlns:wp14="http://schemas.microsoft.com/office/word/2010/wordml" w:rsidP="20BE0FE0" wp14:paraId="0FE660DB" wp14:textId="793B486F">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689632217" w:id="1580327146"/>
      <w:r w:rsidRPr="20BE0FE0" w:rsidR="698FE9C8">
        <w:rPr>
          <w:rFonts w:ascii="Arial" w:hAnsi="Arial" w:eastAsia="Arial" w:cs="Arial"/>
          <w:b w:val="0"/>
          <w:bCs w:val="0"/>
          <w:i w:val="0"/>
          <w:iCs w:val="0"/>
          <w:noProof w:val="0"/>
          <w:color w:val="000000" w:themeColor="text1" w:themeTint="FF" w:themeShade="FF"/>
          <w:sz w:val="24"/>
          <w:szCs w:val="24"/>
          <w:lang w:val="en-GB"/>
        </w:rPr>
        <w:t>Task 2 How Should BHP Grow?</w:t>
      </w:r>
      <w:bookmarkEnd w:id="1580327146"/>
    </w:p>
    <w:p xmlns:wp14="http://schemas.microsoft.com/office/word/2010/wordml" w:rsidP="20BE0FE0" wp14:paraId="5253D7CE" wp14:textId="7DBBB87C">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751066102" w:id="630509061"/>
      <w:r w:rsidRPr="20BE0FE0" w:rsidR="698FE9C8">
        <w:rPr>
          <w:rFonts w:ascii="Arial" w:hAnsi="Arial" w:eastAsia="Arial" w:cs="Arial"/>
          <w:b w:val="0"/>
          <w:bCs w:val="0"/>
          <w:i w:val="0"/>
          <w:iCs w:val="0"/>
          <w:noProof w:val="0"/>
          <w:color w:val="000000" w:themeColor="text1" w:themeTint="FF" w:themeShade="FF"/>
          <w:sz w:val="24"/>
          <w:szCs w:val="24"/>
          <w:lang w:val="en-GB"/>
        </w:rPr>
        <w:t>Introduction</w:t>
      </w:r>
      <w:bookmarkEnd w:id="630509061"/>
    </w:p>
    <w:p xmlns:wp14="http://schemas.microsoft.com/office/word/2010/wordml" w:rsidP="20BE0FE0" wp14:paraId="2EA685F2" wp14:textId="66C10B7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Now we understand the pressures BHP faces, we can map out a clear, practical plan for moving forward. Two simple but powerful tools guide this strategy</w:t>
      </w:r>
      <w:r w:rsidRPr="20BE0FE0" w:rsidR="1AD7B2E0">
        <w:rPr>
          <w:rFonts w:ascii="Arial" w:hAnsi="Arial" w:eastAsia="Arial" w:cs="Arial"/>
          <w:b w:val="0"/>
          <w:bCs w:val="0"/>
          <w:i w:val="0"/>
          <w:iCs w:val="0"/>
          <w:noProof w:val="0"/>
          <w:color w:val="000000" w:themeColor="text1" w:themeTint="FF" w:themeShade="FF"/>
          <w:sz w:val="24"/>
          <w:szCs w:val="24"/>
          <w:lang w:val="en-GB"/>
        </w:rPr>
        <w:t xml:space="preserve"> </w:t>
      </w:r>
      <w:r w:rsidRPr="20BE0FE0" w:rsidR="698FE9C8">
        <w:rPr>
          <w:rFonts w:ascii="Arial" w:hAnsi="Arial" w:eastAsia="Arial" w:cs="Arial"/>
          <w:b w:val="0"/>
          <w:bCs w:val="0"/>
          <w:i w:val="0"/>
          <w:iCs w:val="0"/>
          <w:noProof w:val="0"/>
          <w:color w:val="000000" w:themeColor="text1" w:themeTint="FF" w:themeShade="FF"/>
          <w:sz w:val="24"/>
          <w:szCs w:val="24"/>
          <w:lang w:val="en-GB"/>
        </w:rPr>
        <w:t>the Ansoff Matrix, which helps choose where and how to grow, and Porter’s Generic Strategies, which explains how to stand out from competitors. The Ansoff Matrix lays out four possible directions</w:t>
      </w:r>
      <w:r w:rsidRPr="20BE0FE0" w:rsidR="55AA1906">
        <w:rPr>
          <w:rFonts w:ascii="Arial" w:hAnsi="Arial" w:eastAsia="Arial" w:cs="Arial"/>
          <w:b w:val="0"/>
          <w:bCs w:val="0"/>
          <w:i w:val="0"/>
          <w:iCs w:val="0"/>
          <w:noProof w:val="0"/>
          <w:color w:val="000000" w:themeColor="text1" w:themeTint="FF" w:themeShade="FF"/>
          <w:sz w:val="24"/>
          <w:szCs w:val="24"/>
          <w:lang w:val="en-GB"/>
        </w:rPr>
        <w:t xml:space="preserve"> </w:t>
      </w:r>
      <w:r w:rsidRPr="20BE0FE0" w:rsidR="698FE9C8">
        <w:rPr>
          <w:rFonts w:ascii="Arial" w:hAnsi="Arial" w:eastAsia="Arial" w:cs="Arial"/>
          <w:b w:val="0"/>
          <w:bCs w:val="0"/>
          <w:i w:val="0"/>
          <w:iCs w:val="0"/>
          <w:noProof w:val="0"/>
          <w:color w:val="000000" w:themeColor="text1" w:themeTint="FF" w:themeShade="FF"/>
          <w:sz w:val="24"/>
          <w:szCs w:val="24"/>
          <w:lang w:val="en-GB"/>
        </w:rPr>
        <w:t>selling more of what you already have to familiar customers creating better products for those same customers selling existing and improved products to new groups or branching out into entirely new kinds of business (Ansoff, 1957; Kotler et al., 2024, p. 79).</w:t>
      </w:r>
    </w:p>
    <w:p xmlns:wp14="http://schemas.microsoft.com/office/word/2010/wordml" w:rsidP="20BE0FE0" wp14:paraId="16391A22" wp14:textId="32784FB0">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481687843" w:id="806956117"/>
      <w:r w:rsidRPr="20BE0FE0" w:rsidR="698FE9C8">
        <w:rPr>
          <w:rFonts w:ascii="Arial" w:hAnsi="Arial" w:eastAsia="Arial" w:cs="Arial"/>
          <w:b w:val="0"/>
          <w:bCs w:val="0"/>
          <w:i w:val="0"/>
          <w:iCs w:val="0"/>
          <w:noProof w:val="0"/>
          <w:color w:val="000000" w:themeColor="text1" w:themeTint="FF" w:themeShade="FF"/>
          <w:sz w:val="24"/>
          <w:szCs w:val="24"/>
          <w:lang w:val="en-GB"/>
        </w:rPr>
        <w:t>Main Strategy: Better Products for Existing Customers</w:t>
      </w:r>
      <w:bookmarkEnd w:id="806956117"/>
    </w:p>
    <w:p xmlns:wp14="http://schemas.microsoft.com/office/word/2010/wordml" w:rsidP="20BE0FE0" wp14:paraId="28BC57C2" wp14:textId="05E20D79">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712260774" w:id="1602003320"/>
      <w:r w:rsidRPr="20BE0FE0" w:rsidR="698FE9C8">
        <w:rPr>
          <w:rFonts w:ascii="Arial" w:hAnsi="Arial" w:eastAsia="Arial" w:cs="Arial"/>
          <w:b w:val="0"/>
          <w:bCs w:val="0"/>
          <w:i w:val="0"/>
          <w:iCs w:val="0"/>
          <w:noProof w:val="0"/>
          <w:color w:val="000000" w:themeColor="text1" w:themeTint="FF" w:themeShade="FF"/>
          <w:sz w:val="24"/>
          <w:szCs w:val="24"/>
          <w:lang w:val="en-GB"/>
        </w:rPr>
        <w:t>The most important first step is product development creating improved, low-carbon versions of what BHP already sells to customers it already knows and trusts. This is the smartest priority because demand is already there: steelmakers, battery makers, and infrastructure builders are actively seeking cleaner materials; the missing piece is reliable supply.</w:t>
      </w:r>
      <w:bookmarkEnd w:id="1602003320"/>
    </w:p>
    <w:p xmlns:wp14="http://schemas.microsoft.com/office/word/2010/wordml" w:rsidP="20BE0FE0" wp14:paraId="630BA150" wp14:textId="6FB0957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Specific actions include:</w:t>
      </w:r>
    </w:p>
    <w:p xmlns:wp14="http://schemas.microsoft.com/office/word/2010/wordml" w:rsidP="20BE0FE0" wp14:paraId="52828DBD" wp14:textId="32AF5496">
      <w:pPr>
        <w:pStyle w:val="ListParagraph"/>
        <w:numPr>
          <w:ilvl w:val="0"/>
          <w:numId w:val="1"/>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Green-certified iron ore and briquettes: High-grade ore processed to work perfectly with hydrogen-powered and electric steelmaking, carrying clear, independently verified carbon labels showing exactly how clean it is. This is not just lower pollution it is a product designed for the next generation of industry.</w:t>
      </w:r>
    </w:p>
    <w:p xmlns:wp14="http://schemas.microsoft.com/office/word/2010/wordml" w:rsidP="20BE0FE0" wp14:paraId="20C62940" wp14:textId="44FC8358">
      <w:pPr>
        <w:pStyle w:val="ListParagraph"/>
        <w:numPr>
          <w:ilvl w:val="0"/>
          <w:numId w:val="1"/>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Transparent copper and nickel: Every stage of production extraction, processing, transport measured and reported. Buyers use this data to prove their own products are sustainable, making BHP a vital partner in their success.</w:t>
      </w:r>
    </w:p>
    <w:p xmlns:wp14="http://schemas.microsoft.com/office/word/2010/wordml" w:rsidP="20BE0FE0" wp14:paraId="6073A16E" wp14:textId="693D3E88">
      <w:pPr>
        <w:pStyle w:val="ListParagraph"/>
        <w:numPr>
          <w:ilvl w:val="0"/>
          <w:numId w:val="1"/>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Circular and recycled materials: Metals recovered from processing waste or collected from end-of-life products, processed and sold alongside newly mined material. This reduces the need for constant digging and appeals to customers focused on waste reduction.</w:t>
      </w:r>
    </w:p>
    <w:p xmlns:wp14="http://schemas.microsoft.com/office/word/2010/wordml" w:rsidP="20BE0FE0" wp14:paraId="5AACE7EE" wp14:textId="15B3EE5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This approach delivers differentiation advantage being different in a way that matters (Porter, 1985). Competitors may eventually lower their emissions, but they cannot easily copy BHP’s early </w:t>
      </w:r>
      <w:r w:rsidRPr="20BE0FE0" w:rsidR="698FE9C8">
        <w:rPr>
          <w:rFonts w:ascii="Arial" w:hAnsi="Arial" w:eastAsia="Arial" w:cs="Arial"/>
          <w:b w:val="0"/>
          <w:bCs w:val="0"/>
          <w:i w:val="0"/>
          <w:iCs w:val="0"/>
          <w:noProof w:val="0"/>
          <w:color w:val="000000" w:themeColor="text1" w:themeTint="FF" w:themeShade="FF"/>
          <w:sz w:val="24"/>
          <w:szCs w:val="24"/>
          <w:lang w:val="en-GB"/>
        </w:rPr>
        <w:t>track record</w:t>
      </w:r>
      <w:r w:rsidRPr="20BE0FE0" w:rsidR="698FE9C8">
        <w:rPr>
          <w:rFonts w:ascii="Arial" w:hAnsi="Arial" w:eastAsia="Arial" w:cs="Arial"/>
          <w:b w:val="0"/>
          <w:bCs w:val="0"/>
          <w:i w:val="0"/>
          <w:iCs w:val="0"/>
          <w:noProof w:val="0"/>
          <w:color w:val="000000" w:themeColor="text1" w:themeTint="FF" w:themeShade="FF"/>
          <w:sz w:val="24"/>
          <w:szCs w:val="24"/>
          <w:lang w:val="en-GB"/>
        </w:rPr>
        <w:t>, trusted relationships, and established credibility. Over time, the BHP green label itself becomes a mark of quality something customers actively seek (Chen, 2023).</w:t>
      </w:r>
    </w:p>
    <w:p w:rsidR="5654A23E" w:rsidP="20BE0FE0" w:rsidRDefault="5654A23E" w14:paraId="0F2E84F1" w14:textId="17FBA65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109B7CAD" wp14:textId="3FAF9F91">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713189468" w:id="990912473"/>
      <w:r w:rsidRPr="20BE0FE0" w:rsidR="698FE9C8">
        <w:rPr>
          <w:rFonts w:ascii="Arial" w:hAnsi="Arial" w:eastAsia="Arial" w:cs="Arial"/>
          <w:b w:val="0"/>
          <w:bCs w:val="0"/>
          <w:i w:val="0"/>
          <w:iCs w:val="0"/>
          <w:noProof w:val="0"/>
          <w:color w:val="000000" w:themeColor="text1" w:themeTint="FF" w:themeShade="FF"/>
          <w:sz w:val="24"/>
          <w:szCs w:val="24"/>
          <w:lang w:val="en-GB"/>
        </w:rPr>
        <w:t>Supporting Strategy: Reach New Markets</w:t>
      </w:r>
      <w:bookmarkEnd w:id="990912473"/>
    </w:p>
    <w:p xmlns:wp14="http://schemas.microsoft.com/office/word/2010/wordml" w:rsidP="20BE0FE0" wp14:paraId="0BD06E76" wp14:textId="5284B9A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Next, BHP should pursue market development taking these cleaner products to new regions and sectors. Europe, North America, Japan, and South Korea have the strictest climate rules and the strongest demand for sustainable materials. By opening local hubs, forming partnerships with regional industry leaders, and explaining how BHP’s metals support national climate goals, the company can lock in long-term deals before competitors fully catch up (Chatham House, 2024).</w:t>
      </w:r>
    </w:p>
    <w:p w:rsidR="5654A23E" w:rsidP="20BE0FE0" w:rsidRDefault="5654A23E" w14:paraId="6FA7D7BA" w14:textId="1F0BDD3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26712F67" wp14:textId="506031F0">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580207380" w:id="322959786"/>
      <w:r w:rsidRPr="20BE0FE0" w:rsidR="698FE9C8">
        <w:rPr>
          <w:rFonts w:ascii="Arial" w:hAnsi="Arial" w:eastAsia="Arial" w:cs="Arial"/>
          <w:b w:val="0"/>
          <w:bCs w:val="0"/>
          <w:i w:val="0"/>
          <w:iCs w:val="0"/>
          <w:noProof w:val="0"/>
          <w:color w:val="000000" w:themeColor="text1" w:themeTint="FF" w:themeShade="FF"/>
          <w:sz w:val="24"/>
          <w:szCs w:val="24"/>
          <w:lang w:val="en-GB"/>
        </w:rPr>
        <w:t>Foundation Strategy: Work Smarter Everywhere</w:t>
      </w:r>
      <w:bookmarkEnd w:id="322959786"/>
    </w:p>
    <w:p xmlns:wp14="http://schemas.microsoft.com/office/word/2010/wordml" w:rsidP="20BE0FE0" wp14:paraId="05438887" wp14:textId="4BA9F1F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Underpinning everything is continuous improvement in current operations effectively market penetration through efficiency. Switching mine power to solar and wind, replacing diesel fleets with electric or hydrogen vehicles, and recovering water for reuse cuts pollution and lowers costs. Renewable energy protects against volatile fuel prices, while simpler, cleaner processes need less maintenance and fewer expensive consumables (McKinsey &amp; Company, 2025). This builds cost leadership doing the same essential work for less money and frees up cash to invest in new products and markets.</w:t>
      </w:r>
    </w:p>
    <w:p w:rsidR="5654A23E" w:rsidP="20BE0FE0" w:rsidRDefault="5654A23E" w14:paraId="2D6D4A79" w14:textId="7425EF5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w:rsidR="698FE9C8" w:rsidP="20BE0FE0" w:rsidRDefault="698FE9C8" w14:paraId="2B977137" w14:textId="31B555F7">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454881702" w:id="1814153138"/>
      <w:r w:rsidRPr="20BE0FE0" w:rsidR="698FE9C8">
        <w:rPr>
          <w:rFonts w:ascii="Arial" w:hAnsi="Arial" w:eastAsia="Arial" w:cs="Arial"/>
          <w:b w:val="0"/>
          <w:bCs w:val="0"/>
          <w:i w:val="0"/>
          <w:iCs w:val="0"/>
          <w:noProof w:val="0"/>
          <w:color w:val="000000" w:themeColor="text1" w:themeTint="FF" w:themeShade="FF"/>
          <w:sz w:val="24"/>
          <w:szCs w:val="24"/>
          <w:lang w:val="en-GB"/>
        </w:rPr>
        <w:t>Future Option: Branch Out</w:t>
      </w:r>
      <w:bookmarkEnd w:id="1814153138"/>
    </w:p>
    <w:p xmlns:wp14="http://schemas.microsoft.com/office/word/2010/wordml" w:rsidP="20BE0FE0" wp14:paraId="084B9572" wp14:textId="779D3F4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Further ahead, once core products are </w:t>
      </w:r>
      <w:r w:rsidRPr="20BE0FE0" w:rsidR="698FE9C8">
        <w:rPr>
          <w:rFonts w:ascii="Arial" w:hAnsi="Arial" w:eastAsia="Arial" w:cs="Arial"/>
          <w:b w:val="0"/>
          <w:bCs w:val="0"/>
          <w:i w:val="0"/>
          <w:iCs w:val="0"/>
          <w:noProof w:val="0"/>
          <w:color w:val="000000" w:themeColor="text1" w:themeTint="FF" w:themeShade="FF"/>
          <w:sz w:val="24"/>
          <w:szCs w:val="24"/>
          <w:lang w:val="en-GB"/>
        </w:rPr>
        <w:t>established</w:t>
      </w:r>
      <w:r w:rsidRPr="20BE0FE0" w:rsidR="698FE9C8">
        <w:rPr>
          <w:rFonts w:ascii="Arial" w:hAnsi="Arial" w:eastAsia="Arial" w:cs="Arial"/>
          <w:b w:val="0"/>
          <w:bCs w:val="0"/>
          <w:i w:val="0"/>
          <w:iCs w:val="0"/>
          <w:noProof w:val="0"/>
          <w:color w:val="000000" w:themeColor="text1" w:themeTint="FF" w:themeShade="FF"/>
          <w:sz w:val="24"/>
          <w:szCs w:val="24"/>
          <w:lang w:val="en-GB"/>
        </w:rPr>
        <w:t>, BHP can carefully explore diversification entering related but new areas such as on-site renewable generation, joint ventures in carbon capture, or metal recycling facilities. These moves carry higher risk and require new skills, but they open entirely new income streams beyond traditional mining (IEA, 2024). Crucially, they should wait until the core low-carbon product strategy is well underway leading with what you know is always safer than trying to reinvent yourself overnight.</w:t>
      </w:r>
    </w:p>
    <w:p xmlns:wp14="http://schemas.microsoft.com/office/word/2010/wordml" w:rsidP="20BE0FE0" wp14:paraId="46FB578D" wp14:textId="280028FF">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621236002" w:id="1288371908"/>
      <w:r w:rsidRPr="20BE0FE0" w:rsidR="698FE9C8">
        <w:rPr>
          <w:rFonts w:ascii="Arial" w:hAnsi="Arial" w:eastAsia="Arial" w:cs="Arial"/>
          <w:b w:val="0"/>
          <w:bCs w:val="0"/>
          <w:i w:val="0"/>
          <w:iCs w:val="0"/>
          <w:noProof w:val="0"/>
          <w:color w:val="000000" w:themeColor="text1" w:themeTint="FF" w:themeShade="FF"/>
          <w:sz w:val="24"/>
          <w:szCs w:val="24"/>
          <w:lang w:val="en-GB"/>
        </w:rPr>
        <w:t>BHP’s Green Transition Timeline</w:t>
      </w:r>
      <w:bookmarkEnd w:id="1288371908"/>
    </w:p>
    <w:p xmlns:wp14="http://schemas.microsoft.com/office/word/2010/wordml" w:rsidP="20BE0FE0" wp14:paraId="2A1C10F2" wp14:textId="11B0140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Table</w:t>
      </w:r>
    </w:p>
    <w:tbl>
      <w:tblPr>
        <w:tblStyle w:val="TableNormal"/>
        <w:bidiVisual w:val="0"/>
        <w:tblW w:w="0" w:type="auto"/>
        <w:tblLook w:val="06A0" w:firstRow="1" w:lastRow="0" w:firstColumn="1" w:lastColumn="0" w:noHBand="1" w:noVBand="1"/>
      </w:tblPr>
      <w:tblGrid>
        <w:gridCol w:w="960"/>
        <w:gridCol w:w="1305"/>
        <w:gridCol w:w="6750"/>
      </w:tblGrid>
      <w:tr w:rsidR="156ACB83" w:rsidTr="20BE0FE0" w14:paraId="0A238CB9">
        <w:trPr>
          <w:trHeight w:val="300"/>
        </w:trPr>
        <w:tc>
          <w:tcPr>
            <w:tcW w:w="9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23E040BE" w14:textId="699A8FC0">
            <w:pPr>
              <w:bidi w:val="0"/>
              <w:spacing w:before="0" w:beforeAutospacing="off" w:after="0" w:afterAutospacing="off"/>
              <w:jc w:val="left"/>
              <w:rPr>
                <w:rFonts w:ascii="Arial" w:hAnsi="Arial" w:eastAsia="Arial" w:cs="Arial"/>
                <w:b w:val="1"/>
                <w:bCs w:val="1"/>
                <w:sz w:val="24"/>
                <w:szCs w:val="24"/>
              </w:rPr>
            </w:pPr>
            <w:r w:rsidRPr="20BE0FE0" w:rsidR="2B4688B3">
              <w:rPr>
                <w:rFonts w:ascii="Arial" w:hAnsi="Arial" w:eastAsia="Arial" w:cs="Arial"/>
                <w:b w:val="1"/>
                <w:bCs w:val="1"/>
                <w:sz w:val="24"/>
                <w:szCs w:val="24"/>
              </w:rPr>
              <w:t>Timeframe</w:t>
            </w:r>
          </w:p>
        </w:tc>
        <w:tc>
          <w:tcPr>
            <w:tcW w:w="13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7D6CB58C" w14:textId="400E1171">
            <w:pPr>
              <w:bidi w:val="0"/>
              <w:spacing w:before="0" w:beforeAutospacing="off" w:after="0" w:afterAutospacing="off"/>
              <w:jc w:val="left"/>
              <w:rPr>
                <w:rFonts w:ascii="Arial" w:hAnsi="Arial" w:eastAsia="Arial" w:cs="Arial"/>
                <w:b w:val="1"/>
                <w:bCs w:val="1"/>
                <w:sz w:val="24"/>
                <w:szCs w:val="24"/>
              </w:rPr>
            </w:pPr>
            <w:r w:rsidRPr="20BE0FE0" w:rsidR="2B4688B3">
              <w:rPr>
                <w:rFonts w:ascii="Arial" w:hAnsi="Arial" w:eastAsia="Arial" w:cs="Arial"/>
                <w:b w:val="1"/>
                <w:bCs w:val="1"/>
                <w:sz w:val="24"/>
                <w:szCs w:val="24"/>
              </w:rPr>
              <w:t>Focus Area</w:t>
            </w:r>
          </w:p>
        </w:tc>
        <w:tc>
          <w:tcPr>
            <w:tcW w:w="67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25952303" w14:textId="43FCDE89">
            <w:pPr>
              <w:bidi w:val="0"/>
              <w:spacing w:before="0" w:beforeAutospacing="off" w:after="0" w:afterAutospacing="off"/>
              <w:jc w:val="left"/>
              <w:rPr>
                <w:rFonts w:ascii="Arial" w:hAnsi="Arial" w:eastAsia="Arial" w:cs="Arial"/>
                <w:b w:val="1"/>
                <w:bCs w:val="1"/>
                <w:sz w:val="24"/>
                <w:szCs w:val="24"/>
              </w:rPr>
            </w:pPr>
            <w:r w:rsidRPr="20BE0FE0" w:rsidR="2B4688B3">
              <w:rPr>
                <w:rFonts w:ascii="Arial" w:hAnsi="Arial" w:eastAsia="Arial" w:cs="Arial"/>
                <w:b w:val="1"/>
                <w:bCs w:val="1"/>
                <w:sz w:val="24"/>
                <w:szCs w:val="24"/>
              </w:rPr>
              <w:t>Key Steps</w:t>
            </w:r>
          </w:p>
        </w:tc>
      </w:tr>
      <w:tr w:rsidR="156ACB83" w:rsidTr="20BE0FE0" w14:paraId="651FF94B">
        <w:trPr>
          <w:trHeight w:val="300"/>
        </w:trPr>
        <w:tc>
          <w:tcPr>
            <w:tcW w:w="9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3C029C9E" w14:textId="6EE6907F">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2026–2028</w:t>
            </w:r>
          </w:p>
        </w:tc>
        <w:tc>
          <w:tcPr>
            <w:tcW w:w="13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4A971ED4" w14:textId="63D15F42">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Build the foundation</w:t>
            </w:r>
          </w:p>
        </w:tc>
        <w:tc>
          <w:tcPr>
            <w:tcW w:w="67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2E80C5D9" w14:textId="2EE38F03">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Switch to clean power; track emissions across the supply chain; test low</w:t>
            </w:r>
            <w:r>
              <w:noBreakHyphen/>
            </w:r>
            <w:r w:rsidRPr="20BE0FE0" w:rsidR="2B4688B3">
              <w:rPr>
                <w:rFonts w:ascii="Arial" w:hAnsi="Arial" w:eastAsia="Arial" w:cs="Arial"/>
                <w:sz w:val="24"/>
                <w:szCs w:val="24"/>
              </w:rPr>
              <w:t>carbon iron</w:t>
            </w:r>
          </w:p>
        </w:tc>
      </w:tr>
      <w:tr w:rsidR="156ACB83" w:rsidTr="20BE0FE0" w14:paraId="7C902F96">
        <w:trPr>
          <w:trHeight w:val="300"/>
        </w:trPr>
        <w:tc>
          <w:tcPr>
            <w:tcW w:w="9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226DB348" w14:textId="60AC6F3E">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2028–2032</w:t>
            </w:r>
          </w:p>
        </w:tc>
        <w:tc>
          <w:tcPr>
            <w:tcW w:w="13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4A294503" w14:textId="350699C4">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Scale up</w:t>
            </w:r>
          </w:p>
        </w:tc>
        <w:tc>
          <w:tcPr>
            <w:tcW w:w="67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559C4F73" w14:textId="724B762B">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Launch certified products; sign long</w:t>
            </w:r>
            <w:r>
              <w:noBreakHyphen/>
            </w:r>
            <w:r w:rsidRPr="20BE0FE0" w:rsidR="2B4688B3">
              <w:rPr>
                <w:rFonts w:ascii="Arial" w:hAnsi="Arial" w:eastAsia="Arial" w:cs="Arial"/>
                <w:sz w:val="24"/>
                <w:szCs w:val="24"/>
              </w:rPr>
              <w:t>term deals in Europe/Asia; switch fleets to electric</w:t>
            </w:r>
          </w:p>
        </w:tc>
      </w:tr>
      <w:tr w:rsidR="156ACB83" w:rsidTr="20BE0FE0" w14:paraId="70E8C716">
        <w:trPr>
          <w:trHeight w:val="300"/>
        </w:trPr>
        <w:tc>
          <w:tcPr>
            <w:tcW w:w="9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43723BBE" w14:textId="4109B307">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2032–2040</w:t>
            </w:r>
          </w:p>
        </w:tc>
        <w:tc>
          <w:tcPr>
            <w:tcW w:w="130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0D307B9A" w14:textId="157008DF">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Lead and grow</w:t>
            </w:r>
          </w:p>
        </w:tc>
        <w:tc>
          <w:tcPr>
            <w:tcW w:w="67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56ACB83" w:rsidP="20BE0FE0" w:rsidRDefault="156ACB83" w14:paraId="3281EAD2" w14:textId="281162E3">
            <w:pPr>
              <w:bidi w:val="0"/>
              <w:spacing w:before="0" w:beforeAutospacing="off" w:after="0" w:afterAutospacing="off"/>
              <w:jc w:val="left"/>
              <w:rPr>
                <w:rFonts w:ascii="Arial" w:hAnsi="Arial" w:eastAsia="Arial" w:cs="Arial"/>
                <w:sz w:val="24"/>
                <w:szCs w:val="24"/>
              </w:rPr>
            </w:pPr>
            <w:r w:rsidRPr="20BE0FE0" w:rsidR="2B4688B3">
              <w:rPr>
                <w:rFonts w:ascii="Arial" w:hAnsi="Arial" w:eastAsia="Arial" w:cs="Arial"/>
                <w:sz w:val="24"/>
                <w:szCs w:val="24"/>
              </w:rPr>
              <w:t>Reach net zero in operations; expand recycling; become the name people trust for responsible mining</w:t>
            </w:r>
          </w:p>
        </w:tc>
      </w:tr>
    </w:tbl>
    <w:p xmlns:wp14="http://schemas.microsoft.com/office/word/2010/wordml" w:rsidP="20BE0FE0" wp14:paraId="158D6A84" wp14:textId="2D1CB0BE">
      <w:pPr>
        <w:bidi w:val="0"/>
        <w:spacing w:before="0" w:beforeAutospacing="off" w:after="0" w:afterAutospacing="off" w:line="360" w:lineRule="auto"/>
        <w:rPr>
          <w:rFonts w:ascii="Arial" w:hAnsi="Arial" w:eastAsia="Arial" w:cs="Arial"/>
          <w:b w:val="0"/>
          <w:bCs w:val="0"/>
          <w:i w:val="1"/>
          <w:iCs w:val="1"/>
          <w:noProof w:val="0"/>
          <w:color w:val="000000" w:themeColor="text1" w:themeTint="FF" w:themeShade="FF"/>
          <w:sz w:val="24"/>
          <w:szCs w:val="24"/>
          <w:lang w:val="en-GB"/>
        </w:rPr>
      </w:pPr>
    </w:p>
    <w:p xmlns:wp14="http://schemas.microsoft.com/office/word/2010/wordml" w:rsidP="20BE0FE0" wp14:paraId="124850D9" wp14:textId="0DBAB385">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Figure 1 BHP low-carbon transition roadmap. Source: Author, based on BHP (2024c) and IEA (2024).</w:t>
      </w:r>
    </w:p>
    <w:p w:rsidR="5654A23E" w:rsidP="20BE0FE0" w:rsidRDefault="5654A23E" w14:paraId="185D60DF" w14:textId="5B0EF335">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243978FA" wp14:textId="4B56A5F2">
      <w:pPr>
        <w:pStyle w:val="Heading3"/>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878360051" w:id="28292095"/>
      <w:r w:rsidRPr="20BE0FE0" w:rsidR="698FE9C8">
        <w:rPr>
          <w:rFonts w:ascii="Arial" w:hAnsi="Arial" w:eastAsia="Arial" w:cs="Arial"/>
          <w:b w:val="0"/>
          <w:bCs w:val="0"/>
          <w:i w:val="0"/>
          <w:iCs w:val="0"/>
          <w:noProof w:val="0"/>
          <w:color w:val="000000" w:themeColor="text1" w:themeTint="FF" w:themeShade="FF"/>
          <w:sz w:val="24"/>
          <w:szCs w:val="24"/>
          <w:lang w:val="en-GB"/>
        </w:rPr>
        <w:t>How to Stay Ahead</w:t>
      </w:r>
      <w:bookmarkEnd w:id="28292095"/>
    </w:p>
    <w:p xmlns:wp14="http://schemas.microsoft.com/office/word/2010/wordml" w:rsidP="20BE0FE0" wp14:paraId="7B4C4BA9" wp14:textId="2DAFC06C">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BHP’s competitive advantage comes from three linked strengths: trusted, verified sustainability that rivals cannot simply copy real efficiency gains that cut costs as emissions fall; and early, locked-in partnerships that guarantee demand as rules tighten. Acting now builds a lead that is </w:t>
      </w:r>
      <w:r w:rsidRPr="20BE0FE0" w:rsidR="698FE9C8">
        <w:rPr>
          <w:rFonts w:ascii="Arial" w:hAnsi="Arial" w:eastAsia="Arial" w:cs="Arial"/>
          <w:b w:val="0"/>
          <w:bCs w:val="0"/>
          <w:i w:val="0"/>
          <w:iCs w:val="0"/>
          <w:noProof w:val="0"/>
          <w:color w:val="000000" w:themeColor="text1" w:themeTint="FF" w:themeShade="FF"/>
          <w:sz w:val="24"/>
          <w:szCs w:val="24"/>
          <w:lang w:val="en-GB"/>
        </w:rPr>
        <w:t>very hard</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to close every year of consistent progress makes BHP the safe, obvious choice for anyone buying metals.</w:t>
      </w:r>
    </w:p>
    <w:p xmlns:wp14="http://schemas.microsoft.com/office/word/2010/wordml" w:rsidP="20BE0FE0" wp14:paraId="6C50E8D1" wp14:textId="468722AB">
      <w:pPr>
        <w:pStyle w:val="Heading3"/>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138909665" w:id="992168021"/>
      <w:r w:rsidRPr="20BE0FE0" w:rsidR="698FE9C8">
        <w:rPr>
          <w:rFonts w:ascii="Arial" w:hAnsi="Arial" w:eastAsia="Arial" w:cs="Arial"/>
          <w:b w:val="0"/>
          <w:bCs w:val="0"/>
          <w:i w:val="0"/>
          <w:iCs w:val="0"/>
          <w:noProof w:val="0"/>
          <w:color w:val="000000" w:themeColor="text1" w:themeTint="FF" w:themeShade="FF"/>
          <w:sz w:val="24"/>
          <w:szCs w:val="24"/>
          <w:lang w:val="en-GB"/>
        </w:rPr>
        <w:t>Conclusion</w:t>
      </w:r>
      <w:bookmarkEnd w:id="992168021"/>
    </w:p>
    <w:p xmlns:wp14="http://schemas.microsoft.com/office/word/2010/wordml" w:rsidP="20BE0FE0" wp14:paraId="5726CE2A" wp14:textId="003D69C5">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Prioritising better products first backed by efficiency, market expansion, and careful future diversification gives BHP the strongest balanced strategy. It delivers what customers already want, builds resilience against future rules, and turns sustainability from a cost into the company’s biggest advantage.</w:t>
      </w:r>
    </w:p>
    <w:p xmlns:wp14="http://schemas.microsoft.com/office/word/2010/wordml" w:rsidP="20BE0FE0" wp14:paraId="49D84A8C" wp14:textId="360AF9BD">
      <w:pPr>
        <w:rPr>
          <w:rFonts w:ascii="Arial" w:hAnsi="Arial" w:eastAsia="Arial" w:cs="Arial"/>
          <w:sz w:val="24"/>
          <w:szCs w:val="24"/>
        </w:rPr>
      </w:pPr>
    </w:p>
    <w:p xmlns:wp14="http://schemas.microsoft.com/office/word/2010/wordml" w:rsidP="20BE0FE0" wp14:paraId="51C678F0" wp14:textId="2DE22C00">
      <w:pPr>
        <w:pStyle w:val="Heading2"/>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44694397" w:id="302730255"/>
      <w:r w:rsidRPr="20BE0FE0" w:rsidR="698FE9C8">
        <w:rPr>
          <w:rFonts w:ascii="Arial" w:hAnsi="Arial" w:eastAsia="Arial" w:cs="Arial"/>
          <w:b w:val="0"/>
          <w:bCs w:val="0"/>
          <w:i w:val="0"/>
          <w:iCs w:val="0"/>
          <w:noProof w:val="0"/>
          <w:color w:val="000000" w:themeColor="text1" w:themeTint="FF" w:themeShade="FF"/>
          <w:sz w:val="24"/>
          <w:szCs w:val="24"/>
          <w:lang w:val="en-GB"/>
        </w:rPr>
        <w:t>Task 3 Looking Back: Decisions, Choices, and What We Cannot Know</w:t>
      </w:r>
      <w:bookmarkEnd w:id="302730255"/>
    </w:p>
    <w:p xmlns:wp14="http://schemas.microsoft.com/office/word/2010/wordml" w:rsidP="20BE0FE0" wp14:paraId="49C7E29A" wp14:textId="67DCBECC">
      <w:pPr>
        <w:pStyle w:val="Heading3"/>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191261256" w:id="1033103881"/>
      <w:r w:rsidRPr="20BE0FE0" w:rsidR="698FE9C8">
        <w:rPr>
          <w:rFonts w:ascii="Arial" w:hAnsi="Arial" w:eastAsia="Arial" w:cs="Arial"/>
          <w:b w:val="0"/>
          <w:bCs w:val="0"/>
          <w:i w:val="0"/>
          <w:iCs w:val="0"/>
          <w:noProof w:val="0"/>
          <w:color w:val="000000" w:themeColor="text1" w:themeTint="FF" w:themeShade="FF"/>
          <w:sz w:val="24"/>
          <w:szCs w:val="24"/>
          <w:lang w:val="en-GB"/>
        </w:rPr>
        <w:t>Why I Made These Choices</w:t>
      </w:r>
      <w:bookmarkEnd w:id="1033103881"/>
    </w:p>
    <w:p xmlns:wp14="http://schemas.microsoft.com/office/word/2010/wordml" w:rsidP="20BE0FE0" wp14:paraId="482648F3" wp14:textId="2B230A02">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I selected BHP because it is a global leader large enough to act, </w:t>
      </w:r>
      <w:r w:rsidRPr="20BE0FE0" w:rsidR="698FE9C8">
        <w:rPr>
          <w:rFonts w:ascii="Arial" w:hAnsi="Arial" w:eastAsia="Arial" w:cs="Arial"/>
          <w:b w:val="0"/>
          <w:bCs w:val="0"/>
          <w:i w:val="0"/>
          <w:iCs w:val="0"/>
          <w:noProof w:val="0"/>
          <w:color w:val="000000" w:themeColor="text1" w:themeTint="FF" w:themeShade="FF"/>
          <w:sz w:val="24"/>
          <w:szCs w:val="24"/>
          <w:lang w:val="en-GB"/>
        </w:rPr>
        <w:t>operating</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across continents, and facing every pressure covered here. Smaller firms could not afford these changes or set industry standards the same way; BHP’s decisions set an example for the whole sector.</w:t>
      </w:r>
    </w:p>
    <w:p xmlns:wp14="http://schemas.microsoft.com/office/word/2010/wordml" w:rsidP="20BE0FE0" wp14:paraId="711480A4" wp14:textId="4155704E">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I put the natural environment first because it is the root cause laws and market trends are responses to planetary limits. Focusing only on rules or sales would miss the bigger picture this is about protecting the world we live in. Regulation and market demand were chosen because they </w:t>
      </w:r>
      <w:r w:rsidRPr="20BE0FE0" w:rsidR="11C10BF3">
        <w:rPr>
          <w:rFonts w:ascii="Arial" w:hAnsi="Arial" w:eastAsia="Arial" w:cs="Arial"/>
          <w:b w:val="0"/>
          <w:bCs w:val="0"/>
          <w:i w:val="0"/>
          <w:iCs w:val="0"/>
          <w:noProof w:val="0"/>
          <w:color w:val="000000" w:themeColor="text1" w:themeTint="FF" w:themeShade="FF"/>
          <w:sz w:val="24"/>
          <w:szCs w:val="24"/>
          <w:lang w:val="en-GB"/>
        </w:rPr>
        <w:t>turn,</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we should into we must they create deadlines, costs, and buying decisions that no company can ignore.</w:t>
      </w:r>
    </w:p>
    <w:p xmlns:wp14="http://schemas.microsoft.com/office/word/2010/wordml" w:rsidP="20BE0FE0" wp14:paraId="026A4F11" wp14:textId="00C01A89">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For strategy, product development came first because customers already want cleaner metals the problem is supply, not demand. Diversification was last because BHP’s strength lies in resources straying too far would be risky. The plan builds step-by-step</w:t>
      </w:r>
      <w:r w:rsidRPr="20BE0FE0" w:rsidR="558C98A3">
        <w:rPr>
          <w:rFonts w:ascii="Arial" w:hAnsi="Arial" w:eastAsia="Arial" w:cs="Arial"/>
          <w:b w:val="0"/>
          <w:bCs w:val="0"/>
          <w:i w:val="0"/>
          <w:iCs w:val="0"/>
          <w:noProof w:val="0"/>
          <w:color w:val="000000" w:themeColor="text1" w:themeTint="FF" w:themeShade="FF"/>
          <w:sz w:val="24"/>
          <w:szCs w:val="24"/>
          <w:lang w:val="en-GB"/>
        </w:rPr>
        <w:t xml:space="preserve"> </w:t>
      </w:r>
      <w:r w:rsidRPr="20BE0FE0" w:rsidR="698FE9C8">
        <w:rPr>
          <w:rFonts w:ascii="Arial" w:hAnsi="Arial" w:eastAsia="Arial" w:cs="Arial"/>
          <w:b w:val="0"/>
          <w:bCs w:val="0"/>
          <w:i w:val="0"/>
          <w:iCs w:val="0"/>
          <w:noProof w:val="0"/>
          <w:color w:val="000000" w:themeColor="text1" w:themeTint="FF" w:themeShade="FF"/>
          <w:sz w:val="24"/>
          <w:szCs w:val="24"/>
          <w:lang w:val="en-GB"/>
        </w:rPr>
        <w:t>improve products, expand markets, then branch into new areas.</w:t>
      </w:r>
    </w:p>
    <w:p w:rsidR="5654A23E" w:rsidP="20BE0FE0" w:rsidRDefault="5654A23E" w14:paraId="1004E694" w14:textId="4DF61B97">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20BE0FE0" wp14:paraId="4ACCAB25" wp14:textId="559E4763">
      <w:pPr>
        <w:pStyle w:val="Heading3"/>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bookmarkStart w:name="_Toc1383833541" w:id="425190855"/>
      <w:r w:rsidRPr="20BE0FE0" w:rsidR="698FE9C8">
        <w:rPr>
          <w:rFonts w:ascii="Arial" w:hAnsi="Arial" w:eastAsia="Arial" w:cs="Arial"/>
          <w:b w:val="0"/>
          <w:bCs w:val="0"/>
          <w:i w:val="0"/>
          <w:iCs w:val="0"/>
          <w:noProof w:val="0"/>
          <w:color w:val="000000" w:themeColor="text1" w:themeTint="FF" w:themeShade="FF"/>
          <w:sz w:val="24"/>
          <w:szCs w:val="24"/>
          <w:lang w:val="en-GB"/>
        </w:rPr>
        <w:t>Limitations and Gaps</w:t>
      </w:r>
      <w:bookmarkEnd w:id="425190855"/>
    </w:p>
    <w:p xmlns:wp14="http://schemas.microsoft.com/office/word/2010/wordml" w:rsidP="20BE0FE0" wp14:paraId="720F8ED7" wp14:textId="54A703A5">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This report uses public data, but real consultants would independently verify emissions, speak directly with teams and communities, and map full supply chains. Local factors water rights, community agreements, political stability shape outcomes but are simplified here.</w:t>
      </w:r>
    </w:p>
    <w:p xmlns:wp14="http://schemas.microsoft.com/office/word/2010/wordml" w:rsidP="20BE0FE0" wp14:paraId="5DBCBC7E" wp14:textId="6EB8A268">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 xml:space="preserve">Financial estimates are broad: payback times, price sensitivity, and customer willingness to pay are not exact. I assumed steady progress from competitors if one moves faster, BHP’s lead narrows. </w:t>
      </w:r>
      <w:r w:rsidRPr="20BE0FE0" w:rsidR="698FE9C8">
        <w:rPr>
          <w:rFonts w:ascii="Arial" w:hAnsi="Arial" w:eastAsia="Arial" w:cs="Arial"/>
          <w:b w:val="0"/>
          <w:bCs w:val="0"/>
          <w:i w:val="0"/>
          <w:iCs w:val="0"/>
          <w:noProof w:val="0"/>
          <w:color w:val="000000" w:themeColor="text1" w:themeTint="FF" w:themeShade="FF"/>
          <w:sz w:val="24"/>
          <w:szCs w:val="24"/>
          <w:lang w:val="en-GB"/>
        </w:rPr>
        <w:t>New technology</w:t>
      </w:r>
      <w:r w:rsidRPr="20BE0FE0" w:rsidR="698FE9C8">
        <w:rPr>
          <w:rFonts w:ascii="Arial" w:hAnsi="Arial" w:eastAsia="Arial" w:cs="Arial"/>
          <w:b w:val="0"/>
          <w:bCs w:val="0"/>
          <w:i w:val="0"/>
          <w:iCs w:val="0"/>
          <w:noProof w:val="0"/>
          <w:color w:val="000000" w:themeColor="text1" w:themeTint="FF" w:themeShade="FF"/>
          <w:sz w:val="24"/>
          <w:szCs w:val="24"/>
          <w:lang w:val="en-GB"/>
        </w:rPr>
        <w:t xml:space="preserve"> like hydrogen steelmaking is still unproven at scale and could take longer than expected.</w:t>
      </w:r>
    </w:p>
    <w:p xmlns:wp14="http://schemas.microsoft.com/office/word/2010/wordml" w:rsidP="20BE0FE0" wp14:paraId="3BE6663C" wp14:textId="232F9040">
      <w:pPr>
        <w:bidi w:val="0"/>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lang w:val="en-GB"/>
        </w:rPr>
      </w:pPr>
      <w:r w:rsidRPr="20BE0FE0" w:rsidR="698FE9C8">
        <w:rPr>
          <w:rFonts w:ascii="Arial" w:hAnsi="Arial" w:eastAsia="Arial" w:cs="Arial"/>
          <w:b w:val="0"/>
          <w:bCs w:val="0"/>
          <w:i w:val="0"/>
          <w:iCs w:val="0"/>
          <w:noProof w:val="0"/>
          <w:color w:val="000000" w:themeColor="text1" w:themeTint="FF" w:themeShade="FF"/>
          <w:sz w:val="24"/>
          <w:szCs w:val="24"/>
          <w:lang w:val="en-GB"/>
        </w:rPr>
        <w:t>Before finalising, professionals would run future scenarios, consult stakeholders, and test every assumption against real operational data.</w:t>
      </w:r>
    </w:p>
    <w:p xmlns:wp14="http://schemas.microsoft.com/office/word/2010/wordml" wp14:paraId="5E5787A5" wp14:textId="044DA779"/>
    <w:p w:rsidR="5654A23E" w:rsidRDefault="5654A23E" w14:paraId="174C0A30" w14:textId="3ED45BC1"/>
    <w:p w:rsidR="5654A23E" w:rsidP="5654A23E" w:rsidRDefault="5654A23E" w14:paraId="6C43B887" w14:textId="66CCD1C2">
      <w:pPr>
        <w:pStyle w:val="Normal"/>
      </w:pPr>
    </w:p>
    <w:p w:rsidR="2239F13E" w:rsidP="5654A23E" w:rsidRDefault="2239F13E" w14:paraId="0BC35236" w14:textId="7BA05E91">
      <w:pPr>
        <w:pStyle w:val="Heading2"/>
        <w:keepNext w:val="1"/>
        <w:keepLines w:val="1"/>
        <w:spacing w:before="0" w:beforeAutospacing="off" w:after="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Toc1701506441" w:id="718887623"/>
      <w:r w:rsidRPr="5654A23E" w:rsidR="2239F13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References</w:t>
      </w:r>
      <w:bookmarkEnd w:id="718887623"/>
    </w:p>
    <w:p w:rsidR="2239F13E" w:rsidP="20BE0FE0" w:rsidRDefault="2239F13E" w14:paraId="35EA0F9E" w14:textId="7767E845">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ACS Publications (2026) ‘Toward decarbonized metal mining and shifting environmental impacts’,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Environmental Science &amp; Technology</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60(12), pp. 4512–4523.</w:t>
      </w:r>
    </w:p>
    <w:p w:rsidR="2239F13E" w:rsidP="20BE0FE0" w:rsidRDefault="2239F13E" w14:paraId="1EDFCAAD" w14:textId="14B2E3A7">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Ansoff, H.I. (1957) ‘Strategies for diversification’,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Harvard Business Review</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35(2), pp. 113–124.</w:t>
      </w:r>
    </w:p>
    <w:p w:rsidR="2239F13E" w:rsidP="20BE0FE0" w:rsidRDefault="2239F13E" w14:paraId="6B08E50F" w14:textId="0B3E1487">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Australian Government (2025)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Safeguard mechanism: updating the scheme</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Canberra: Department of Climate Change, Energy, the Environment and Water.</w:t>
      </w:r>
    </w:p>
    <w:p w:rsidR="2239F13E" w:rsidP="20BE0FE0" w:rsidRDefault="2239F13E" w14:paraId="5C7A9105" w14:textId="35E005E8">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Bank for International Settlements (2024)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Climate</w:t>
      </w:r>
      <w:r>
        <w:noBreakHyphen/>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related financial risks in the mining sector</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Basel: BIS.</w:t>
      </w:r>
    </w:p>
    <w:p w:rsidR="2239F13E" w:rsidP="20BE0FE0" w:rsidRDefault="2239F13E" w14:paraId="0E5AF291" w14:textId="347E245D">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BHP (2024a)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Climate report 2024</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Melbourne: BHP Group Limited.</w:t>
      </w:r>
    </w:p>
    <w:p w:rsidR="2239F13E" w:rsidP="20BE0FE0" w:rsidRDefault="2239F13E" w14:paraId="2BF2CF15" w14:textId="220C7676">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BHP (2024b)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Portfolio transformation and commodity outlook</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Melbourne: BHP Group Limited.</w:t>
      </w:r>
    </w:p>
    <w:p w:rsidR="2239F13E" w:rsidP="20BE0FE0" w:rsidRDefault="2239F13E" w14:paraId="6F113D62" w14:textId="33B63EFD">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BHP (2024c)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Sustainability investment plan 2024–2030</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Melbourne: BHP Group Limited.</w:t>
      </w:r>
    </w:p>
    <w:p w:rsidR="2239F13E" w:rsidP="20BE0FE0" w:rsidRDefault="2239F13E" w14:paraId="79838279" w14:textId="5FB01D93">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BHP (2024d)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Low</w:t>
      </w:r>
      <w:r>
        <w:noBreakHyphen/>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carbon products and customer collaboration</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Melbourne: BHP Group Limited.</w:t>
      </w:r>
    </w:p>
    <w:p w:rsidR="2239F13E" w:rsidP="20BE0FE0" w:rsidRDefault="2239F13E" w14:paraId="64AAC584" w14:textId="790F7E5A">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Carbon Disclosure Project (2025)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Global mining sector benchmark 2025</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London: CDP Worldwide.</w:t>
      </w:r>
    </w:p>
    <w:p w:rsidR="2239F13E" w:rsidP="20BE0FE0" w:rsidRDefault="2239F13E" w14:paraId="78E4A77C" w14:textId="42838FEE">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Chatham House (2024)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The Carbon Border Adjustment Mechanism and global trade</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London: The Royal Institute of International Affairs.</w:t>
      </w:r>
    </w:p>
    <w:p w:rsidR="2239F13E" w:rsidP="20BE0FE0" w:rsidRDefault="2239F13E" w14:paraId="61B3328E" w14:textId="5C07BD42">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Chen, Y. (2023) ‘Green innovation and competitive advantage in extractive industries’,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Journal of Business Research</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161, p. 113829.</w:t>
      </w:r>
    </w:p>
    <w:p w:rsidR="2239F13E" w:rsidP="20BE0FE0" w:rsidRDefault="2239F13E" w14:paraId="53E7F55E" w14:textId="794D4449">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CSIRO (2026)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Australia’s green metals opportunity</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Canberra: Commonwealth Scientific and Industrial Research Organisation.</w:t>
      </w:r>
    </w:p>
    <w:p w:rsidR="2239F13E" w:rsidP="20BE0FE0" w:rsidRDefault="2239F13E" w14:paraId="0A10DC55" w14:textId="1C843A13">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European Commission (2025)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CBAM implementation and reporting guidance</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Brussels: European Commission.</w:t>
      </w:r>
    </w:p>
    <w:p w:rsidR="2239F13E" w:rsidP="20BE0FE0" w:rsidRDefault="2239F13E" w14:paraId="69084829" w14:textId="5EB73CE7">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Financial Times (2025) ‘BHP signs low</w:t>
      </w:r>
      <w:r>
        <w:noBreakHyphen/>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carbon iron ore deals with European steelmakers’, 14 March, p. 15.</w:t>
      </w:r>
    </w:p>
    <w:p w:rsidR="2239F13E" w:rsidP="20BE0FE0" w:rsidRDefault="2239F13E" w14:paraId="116E762B" w14:textId="53528555">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 of Chile (2024)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Mining royalty and emissions regulation update</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Santiago: Ministry of Mining.</w:t>
      </w:r>
    </w:p>
    <w:p w:rsidR="2239F13E" w:rsidP="20BE0FE0" w:rsidRDefault="2239F13E" w14:paraId="30BFC172" w14:textId="00AC877E">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IEA (2024)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The critical minerals and energy transition</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Paris: International Energy Agency.</w:t>
      </w:r>
    </w:p>
    <w:p w:rsidR="2239F13E" w:rsidP="20BE0FE0" w:rsidRDefault="2239F13E" w14:paraId="0187749E" w14:textId="04E9AF12">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IPCC (2023)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Sixth assessment report: synthesis report</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Geneva: Intergovernmental Panel on Climate Change.</w:t>
      </w:r>
    </w:p>
    <w:p w:rsidR="2239F13E" w:rsidP="20BE0FE0" w:rsidRDefault="2239F13E" w14:paraId="529FD471" w14:textId="653B5074">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Kotler, P., Armstrong, G., Harris, L.C. and He, H. (2024)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Principles of marketing</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19th edn. Harlow: Pearson.</w:t>
      </w:r>
    </w:p>
    <w:p w:rsidR="2239F13E" w:rsidP="20BE0FE0" w:rsidRDefault="2239F13E" w14:paraId="04AE24A7" w14:textId="21CFC6E6">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McKinsey &amp; Company (2025)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Creating the zero</w:t>
      </w:r>
      <w:r>
        <w:noBreakHyphen/>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carbon mine: decarbonisation pathways for metals and mining</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London: McKinsey &amp; Company.</w:t>
      </w:r>
    </w:p>
    <w:p w:rsidR="2239F13E" w:rsidP="20BE0FE0" w:rsidRDefault="2239F13E" w14:paraId="76579085" w14:textId="26C6BE47">
      <w:pPr>
        <w:pStyle w:val="ListParagraph"/>
        <w:numPr>
          <w:ilvl w:val="0"/>
          <w:numId w:val="2"/>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xml:space="preserve">MSCI (2025) </w:t>
      </w:r>
      <w:r w:rsidRPr="20BE0FE0" w:rsidR="2239F13E">
        <w:rPr>
          <w:rFonts w:ascii="Arial" w:hAnsi="Arial" w:eastAsia="Arial" w:cs="Arial"/>
          <w:b w:val="0"/>
          <w:bCs w:val="0"/>
          <w:i w:val="1"/>
          <w:iCs w:val="1"/>
          <w:caps w:val="0"/>
          <w:smallCaps w:val="0"/>
          <w:noProof w:val="0"/>
          <w:color w:val="000000" w:themeColor="text1" w:themeTint="FF" w:themeShade="FF"/>
          <w:sz w:val="24"/>
          <w:szCs w:val="24"/>
          <w:lang w:val="en-GB"/>
        </w:rPr>
        <w:t>ESG investing trends 2025</w:t>
      </w:r>
      <w:r w:rsidRPr="20BE0FE0" w:rsidR="2239F13E">
        <w:rPr>
          <w:rFonts w:ascii="Arial" w:hAnsi="Arial" w:eastAsia="Arial" w:cs="Arial"/>
          <w:b w:val="0"/>
          <w:bCs w:val="0"/>
          <w:i w:val="0"/>
          <w:iCs w:val="0"/>
          <w:caps w:val="0"/>
          <w:smallCaps w:val="0"/>
          <w:noProof w:val="0"/>
          <w:color w:val="000000" w:themeColor="text1" w:themeTint="FF" w:themeShade="FF"/>
          <w:sz w:val="24"/>
          <w:szCs w:val="24"/>
          <w:lang w:val="en-GB"/>
        </w:rPr>
        <w:t>. New York: MSCI Inc.</w:t>
      </w:r>
    </w:p>
    <w:p w:rsidR="5654A23E" w:rsidP="5654A23E" w:rsidRDefault="5654A23E" w14:paraId="0B02E3FE" w14:textId="54C9BB53">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654A23E" w:rsidP="5654A23E" w:rsidRDefault="5654A23E" w14:paraId="4A965280" w14:textId="5A85C6F5">
      <w:pPr>
        <w:pStyle w:val="Normal"/>
      </w:pPr>
    </w:p>
    <w:sectPr>
      <w:pgSz w:w="11906" w:h="16838" w:orient="portrait"/>
      <w:pgMar w:top="1440" w:right="1440" w:bottom="1440" w:left="1440" w:header="720" w:footer="720" w:gutter="0"/>
      <w:cols w:space="720"/>
      <w:docGrid w:linePitch="360"/>
      <w:headerReference w:type="default" r:id="Re7b601ba9dea439e"/>
      <w:footerReference w:type="default" r:id="R37460ef6aaec4b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54A23E" w:rsidTr="20BE0FE0" w14:paraId="14B190DC">
      <w:trPr>
        <w:trHeight w:val="300"/>
      </w:trPr>
      <w:tc>
        <w:tcPr>
          <w:tcW w:w="3005" w:type="dxa"/>
          <w:tcMar/>
        </w:tcPr>
        <w:p w:rsidR="5654A23E" w:rsidP="5654A23E" w:rsidRDefault="5654A23E" w14:paraId="7B9188A3" w14:textId="5BD2C85A">
          <w:pPr>
            <w:pStyle w:val="Header"/>
            <w:bidi w:val="0"/>
            <w:ind w:left="-115"/>
            <w:jc w:val="left"/>
          </w:pPr>
        </w:p>
      </w:tc>
      <w:tc>
        <w:tcPr>
          <w:tcW w:w="3005" w:type="dxa"/>
          <w:tcMar/>
        </w:tcPr>
        <w:p w:rsidR="5654A23E" w:rsidP="5654A23E" w:rsidRDefault="5654A23E" w14:paraId="4AD55DE9" w14:textId="41A4AC4B">
          <w:pPr>
            <w:pStyle w:val="Header"/>
            <w:bidi w:val="0"/>
            <w:jc w:val="center"/>
          </w:pPr>
        </w:p>
      </w:tc>
      <w:tc>
        <w:tcPr>
          <w:tcW w:w="3005" w:type="dxa"/>
          <w:tcMar/>
        </w:tcPr>
        <w:p w:rsidR="5654A23E" w:rsidP="5654A23E" w:rsidRDefault="5654A23E" w14:paraId="1F609CBD" w14:textId="65DB1F82">
          <w:pPr>
            <w:pStyle w:val="Header"/>
            <w:bidi w:val="0"/>
            <w:ind w:right="-115"/>
            <w:jc w:val="right"/>
          </w:pPr>
          <w:r>
            <w:fldChar w:fldCharType="begin"/>
          </w:r>
          <w:r>
            <w:instrText xml:space="preserve">PAGE</w:instrText>
          </w:r>
          <w:r>
            <w:fldChar w:fldCharType="separate"/>
          </w:r>
          <w:r>
            <w:fldChar w:fldCharType="end"/>
          </w:r>
        </w:p>
      </w:tc>
    </w:tr>
  </w:tbl>
  <w:p w:rsidR="5654A23E" w:rsidP="5654A23E" w:rsidRDefault="5654A23E" w14:paraId="0E735994" w14:textId="61817A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54A23E" w:rsidTr="5654A23E" w14:paraId="29305AF8">
      <w:trPr>
        <w:trHeight w:val="300"/>
      </w:trPr>
      <w:tc>
        <w:tcPr>
          <w:tcW w:w="3005" w:type="dxa"/>
          <w:tcMar/>
        </w:tcPr>
        <w:p w:rsidR="5654A23E" w:rsidP="5654A23E" w:rsidRDefault="5654A23E" w14:paraId="4AD76A10" w14:textId="4D087428">
          <w:pPr>
            <w:pStyle w:val="Header"/>
            <w:bidi w:val="0"/>
            <w:ind w:left="-115"/>
            <w:jc w:val="left"/>
          </w:pPr>
        </w:p>
      </w:tc>
      <w:tc>
        <w:tcPr>
          <w:tcW w:w="3005" w:type="dxa"/>
          <w:tcMar/>
        </w:tcPr>
        <w:p w:rsidR="5654A23E" w:rsidP="5654A23E" w:rsidRDefault="5654A23E" w14:paraId="21609DE9" w14:textId="1E5DE1F5">
          <w:pPr>
            <w:pStyle w:val="Header"/>
            <w:bidi w:val="0"/>
            <w:jc w:val="center"/>
          </w:pPr>
        </w:p>
      </w:tc>
      <w:tc>
        <w:tcPr>
          <w:tcW w:w="3005" w:type="dxa"/>
          <w:tcMar/>
        </w:tcPr>
        <w:p w:rsidR="5654A23E" w:rsidP="5654A23E" w:rsidRDefault="5654A23E" w14:paraId="3CCA0060" w14:textId="25683D07">
          <w:pPr>
            <w:pStyle w:val="Header"/>
            <w:bidi w:val="0"/>
            <w:ind w:right="-115"/>
            <w:jc w:val="right"/>
          </w:pPr>
        </w:p>
      </w:tc>
    </w:tr>
  </w:tbl>
  <w:p w:rsidR="5654A23E" w:rsidP="5654A23E" w:rsidRDefault="5654A23E" w14:paraId="60C630BC" w14:textId="3A541933">
    <w:pPr>
      <w:pStyle w:val="Header"/>
      <w:bidi w:val="0"/>
    </w:pPr>
  </w:p>
</w:hdr>
</file>

<file path=word/numbering.xml><?xml version="1.0" encoding="utf-8"?>
<w:numbering xmlns:w="http://schemas.openxmlformats.org/wordprocessingml/2006/main">
  <w:abstractNum xmlns:w="http://schemas.openxmlformats.org/wordprocessingml/2006/main" w:abstractNumId="2">
    <w:nsid w:val="6d4735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c4b6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F53D4"/>
    <w:rsid w:val="005AA2EA"/>
    <w:rsid w:val="0183765A"/>
    <w:rsid w:val="02FAC689"/>
    <w:rsid w:val="06871D26"/>
    <w:rsid w:val="0A71F423"/>
    <w:rsid w:val="0BD32C83"/>
    <w:rsid w:val="0C04C0B5"/>
    <w:rsid w:val="0C3B2B9E"/>
    <w:rsid w:val="0CD98F53"/>
    <w:rsid w:val="0E58E5FF"/>
    <w:rsid w:val="11C10BF3"/>
    <w:rsid w:val="13199EFC"/>
    <w:rsid w:val="13830D67"/>
    <w:rsid w:val="154C5406"/>
    <w:rsid w:val="156ACB83"/>
    <w:rsid w:val="16BD2FB7"/>
    <w:rsid w:val="16F3CBD3"/>
    <w:rsid w:val="19B552D5"/>
    <w:rsid w:val="1A13B56D"/>
    <w:rsid w:val="1AD7B2E0"/>
    <w:rsid w:val="1CC2C861"/>
    <w:rsid w:val="1DC5F4EC"/>
    <w:rsid w:val="1F191309"/>
    <w:rsid w:val="20BE0FE0"/>
    <w:rsid w:val="20F8101B"/>
    <w:rsid w:val="212D49AE"/>
    <w:rsid w:val="2239F13E"/>
    <w:rsid w:val="22BAB6EA"/>
    <w:rsid w:val="24C0907F"/>
    <w:rsid w:val="2995BBD5"/>
    <w:rsid w:val="2B4688B3"/>
    <w:rsid w:val="2C6FD3AB"/>
    <w:rsid w:val="2C9A37E0"/>
    <w:rsid w:val="2C9ABC2E"/>
    <w:rsid w:val="2C9B7B20"/>
    <w:rsid w:val="2CB37FB1"/>
    <w:rsid w:val="2E7C5542"/>
    <w:rsid w:val="32EC5003"/>
    <w:rsid w:val="33A9B172"/>
    <w:rsid w:val="33A9B172"/>
    <w:rsid w:val="3496A2CD"/>
    <w:rsid w:val="3A42E2AE"/>
    <w:rsid w:val="3A8CF7F7"/>
    <w:rsid w:val="3DA856D1"/>
    <w:rsid w:val="3E048664"/>
    <w:rsid w:val="3E5D8F42"/>
    <w:rsid w:val="3E72919B"/>
    <w:rsid w:val="41119C2A"/>
    <w:rsid w:val="41F17A34"/>
    <w:rsid w:val="42BE9715"/>
    <w:rsid w:val="42F2A935"/>
    <w:rsid w:val="440530EC"/>
    <w:rsid w:val="45A46BCE"/>
    <w:rsid w:val="46B9250B"/>
    <w:rsid w:val="46C2494E"/>
    <w:rsid w:val="46EE8A66"/>
    <w:rsid w:val="49DD8320"/>
    <w:rsid w:val="4A650124"/>
    <w:rsid w:val="4A753C76"/>
    <w:rsid w:val="4C2882ED"/>
    <w:rsid w:val="4C48D862"/>
    <w:rsid w:val="4D53045B"/>
    <w:rsid w:val="4DB1617C"/>
    <w:rsid w:val="5053BCF3"/>
    <w:rsid w:val="506780AB"/>
    <w:rsid w:val="543A4F18"/>
    <w:rsid w:val="558C98A3"/>
    <w:rsid w:val="55AA1906"/>
    <w:rsid w:val="5654A23E"/>
    <w:rsid w:val="57677CFE"/>
    <w:rsid w:val="58008A35"/>
    <w:rsid w:val="5C6C0B72"/>
    <w:rsid w:val="5C8D0B86"/>
    <w:rsid w:val="601BF150"/>
    <w:rsid w:val="653BD809"/>
    <w:rsid w:val="65BBDACA"/>
    <w:rsid w:val="6731260B"/>
    <w:rsid w:val="681FE4CD"/>
    <w:rsid w:val="69423E28"/>
    <w:rsid w:val="698FE9C8"/>
    <w:rsid w:val="6A88F29D"/>
    <w:rsid w:val="6C3A2C1E"/>
    <w:rsid w:val="6C7396C4"/>
    <w:rsid w:val="6E256FD0"/>
    <w:rsid w:val="6E8E8E20"/>
    <w:rsid w:val="70F68861"/>
    <w:rsid w:val="71118A02"/>
    <w:rsid w:val="715AA71B"/>
    <w:rsid w:val="71C8AA44"/>
    <w:rsid w:val="727359DC"/>
    <w:rsid w:val="738267A2"/>
    <w:rsid w:val="738441B6"/>
    <w:rsid w:val="752F53D4"/>
    <w:rsid w:val="7570D8B3"/>
    <w:rsid w:val="76631846"/>
    <w:rsid w:val="767CB53A"/>
    <w:rsid w:val="7696C957"/>
    <w:rsid w:val="76C447A8"/>
    <w:rsid w:val="799A6503"/>
    <w:rsid w:val="7B75600E"/>
    <w:rsid w:val="7C6D9B71"/>
    <w:rsid w:val="7CA49F56"/>
    <w:rsid w:val="7E6B2D77"/>
    <w:rsid w:val="7F1D17E6"/>
    <w:rsid w:val="7F4C26F7"/>
    <w:rsid w:val="7FAB1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12C7C"/>
  <w15:chartTrackingRefBased/>
  <w15:docId w15:val="{4B7A1ED4-25C7-45BF-8C4B-5BFF052DBA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56ACB8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56ACB8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56ACB8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2">
    <w:uiPriority w:val="39"/>
    <w:name w:val="toc 2"/>
    <w:basedOn w:val="Normal"/>
    <w:next w:val="Normal"/>
    <w:unhideWhenUsed/>
    <w:rsid w:val="5654A23E"/>
    <w:pPr>
      <w:spacing w:after="100"/>
      <w:ind w:left="220"/>
    </w:pPr>
  </w:style>
  <w:style w:type="paragraph" w:styleId="TOC3">
    <w:uiPriority w:val="39"/>
    <w:name w:val="toc 3"/>
    <w:basedOn w:val="Normal"/>
    <w:next w:val="Normal"/>
    <w:unhideWhenUsed/>
    <w:rsid w:val="5654A23E"/>
    <w:pPr>
      <w:spacing w:after="100"/>
      <w:ind w:left="440"/>
    </w:pPr>
  </w:style>
  <w:style w:type="paragraph" w:styleId="Header">
    <w:uiPriority w:val="99"/>
    <w:name w:val="header"/>
    <w:basedOn w:val="Normal"/>
    <w:unhideWhenUsed/>
    <w:rsid w:val="5654A23E"/>
    <w:pPr>
      <w:tabs>
        <w:tab w:val="center" w:leader="none" w:pos="4680"/>
        <w:tab w:val="right" w:leader="none" w:pos="9360"/>
      </w:tabs>
      <w:spacing w:after="0" w:line="240" w:lineRule="auto"/>
    </w:pPr>
  </w:style>
  <w:style w:type="paragraph" w:styleId="Footer">
    <w:uiPriority w:val="99"/>
    <w:name w:val="footer"/>
    <w:basedOn w:val="Normal"/>
    <w:unhideWhenUsed/>
    <w:rsid w:val="5654A23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8dff300d7b24c26" /><Relationship Type="http://schemas.openxmlformats.org/officeDocument/2006/relationships/header" Target="/word/header.xml" Id="Re7b601ba9dea439e" /><Relationship Type="http://schemas.openxmlformats.org/officeDocument/2006/relationships/footer" Target="/word/footer.xml" Id="R37460ef6aaec4b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Rudolf Jony (2315845)</dc:creator>
  <keywords/>
  <dc:description/>
  <lastModifiedBy>Rudolf Jony (2315845)</lastModifiedBy>
  <revision>5</revision>
  <dcterms:created xsi:type="dcterms:W3CDTF">2026-10-09T15:35:13.8992603Z</dcterms:created>
  <dcterms:modified xsi:type="dcterms:W3CDTF">2026-10-19T13:36:48.4131964Z</dcterms:modified>
</coreProperties>
</file>