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449539755"/>
        <w:docPartObj>
          <w:docPartGallery w:val="Cover Pages"/>
          <w:docPartUnique/>
        </w:docPartObj>
      </w:sdtPr>
      <w:sdtEndPr>
        <w:rPr>
          <w:rFonts w:ascii="Arial Black" w:hAnsi="Arial Black" w:cs="Arial"/>
          <w:u w:val="dotDash"/>
        </w:rPr>
      </w:sdtEndPr>
      <w:sdtContent>
        <w:p w14:paraId="3C7058F6" w14:textId="4BE2BF2F" w:rsidR="009E2882" w:rsidRDefault="009E2882"/>
        <w:p w14:paraId="0401680D" w14:textId="4A1ABA3F" w:rsidR="009E2882" w:rsidRDefault="009E2882">
          <w:pPr>
            <w:rPr>
              <w:rFonts w:ascii="Arial Black" w:hAnsi="Arial Black" w:cs="Arial"/>
              <w:u w:val="dotDash"/>
            </w:rPr>
          </w:pPr>
          <w:r>
            <w:rPr>
              <w:noProof/>
            </w:rPr>
            <mc:AlternateContent>
              <mc:Choice Requires="wps">
                <w:drawing>
                  <wp:anchor distT="0" distB="0" distL="114300" distR="114300" simplePos="0" relativeHeight="251662336" behindDoc="0" locked="0" layoutInCell="1" allowOverlap="1" wp14:anchorId="6B5B8BD6" wp14:editId="321081F6">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9100</wp14:pctPosVOffset>
                        </wp:positionV>
                      </mc:Choice>
                      <mc:Fallback>
                        <wp:positionV relativeFrom="page">
                          <wp:posOffset>972820</wp:posOffset>
                        </wp:positionV>
                      </mc:Fallback>
                    </mc:AlternateContent>
                    <wp:extent cx="3660775" cy="3651250"/>
                    <wp:effectExtent l="0" t="0" r="10160" b="7620"/>
                    <wp:wrapSquare wrapText="bothSides"/>
                    <wp:docPr id="111" name="Text Box 111"/>
                    <wp:cNvGraphicFramePr/>
                    <a:graphic xmlns:a="http://schemas.openxmlformats.org/drawingml/2006/main">
                      <a:graphicData uri="http://schemas.microsoft.com/office/word/2010/wordprocessingShape">
                        <wps:wsp>
                          <wps:cNvSpPr txBox="1"/>
                          <wps:spPr>
                            <a:xfrm>
                              <a:off x="0" y="0"/>
                              <a:ext cx="3660775" cy="36512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Black" w:hAnsi="Arial Black"/>
                                    <w:caps/>
                                    <w:color w:val="0A1D30" w:themeColor="text2" w:themeShade="BF"/>
                                    <w:sz w:val="40"/>
                                    <w:szCs w:val="40"/>
                                  </w:rPr>
                                  <w:alias w:val="Publish Date"/>
                                  <w:tag w:val=""/>
                                  <w:id w:val="400952559"/>
                                  <w:dataBinding w:prefixMappings="xmlns:ns0='http://schemas.microsoft.com/office/2006/coverPageProps' " w:xpath="/ns0:CoverPageProperties[1]/ns0:PublishDate[1]" w:storeItemID="{55AF091B-3C7A-41E3-B477-F2FDAA23CFDA}"/>
                                  <w:date w:fullDate="2025-03-14T00:00:00Z">
                                    <w:dateFormat w:val="MMMM d, yyyy"/>
                                    <w:lid w:val="en-US"/>
                                    <w:storeMappedDataAs w:val="dateTime"/>
                                    <w:calendar w:val="gregorian"/>
                                  </w:date>
                                </w:sdtPr>
                                <w:sdtContent>
                                  <w:p w14:paraId="6579EED7" w14:textId="5C70B24B" w:rsidR="009E2882" w:rsidRPr="009E2882" w:rsidRDefault="009E2882">
                                    <w:pPr>
                                      <w:pStyle w:val="NoSpacing"/>
                                      <w:jc w:val="right"/>
                                      <w:rPr>
                                        <w:rFonts w:ascii="Arial Black" w:hAnsi="Arial Black"/>
                                        <w:caps/>
                                        <w:color w:val="0A1D30" w:themeColor="text2" w:themeShade="BF"/>
                                        <w:sz w:val="40"/>
                                        <w:szCs w:val="40"/>
                                      </w:rPr>
                                    </w:pPr>
                                    <w:r w:rsidRPr="009E2882">
                                      <w:rPr>
                                        <w:rFonts w:ascii="Arial Black" w:hAnsi="Arial Black"/>
                                        <w:caps/>
                                        <w:color w:val="0A1D30" w:themeColor="text2" w:themeShade="BF"/>
                                        <w:sz w:val="40"/>
                                        <w:szCs w:val="40"/>
                                      </w:rPr>
                                      <w:t>March 14, 2025</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73400</wp14:pctWidth>
                    </wp14:sizeRelH>
                    <wp14:sizeRelV relativeFrom="page">
                      <wp14:pctHeight>36300</wp14:pctHeight>
                    </wp14:sizeRelV>
                  </wp:anchor>
                </w:drawing>
              </mc:Choice>
              <mc:Fallback>
                <w:pict>
                  <v:shapetype w14:anchorId="6B5B8BD6" id="_x0000_t202" coordsize="21600,21600" o:spt="202" path="m,l,21600r21600,l21600,xe">
                    <v:stroke joinstyle="miter"/>
                    <v:path gradientshapeok="t" o:connecttype="rect"/>
                  </v:shapetype>
                  <v:shape id="Text Box 111" o:spid="_x0000_s1026" type="#_x0000_t202" style="position:absolute;margin-left:0;margin-top:0;width:288.25pt;height:287.5pt;z-index:251662336;visibility:visible;mso-wrap-style:square;mso-width-percent:734;mso-height-percent:363;mso-left-percent:150;mso-top-percent:91;mso-wrap-distance-left:9pt;mso-wrap-distance-top:0;mso-wrap-distance-right:9pt;mso-wrap-distance-bottom:0;mso-position-horizontal-relative:page;mso-position-vertical-relative:page;mso-width-percent:734;mso-height-percent:363;mso-left-percent:150;mso-top-percent:91;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" filled="f" stroked="f" strokeweight=".5pt">
                    <v:textbox style="mso-fit-shape-to-text:t" inset="0,0,0,0">
                      <w:txbxContent>
                        <w:sdt>
                          <w:sdtPr>
                            <w:rPr>
                              <w:rFonts w:ascii="Arial Black" w:hAnsi="Arial Black"/>
                              <w:caps/>
                              <w:color w:val="0A1D30" w:themeColor="text2" w:themeShade="BF"/>
                              <w:sz w:val="40"/>
                              <w:szCs w:val="40"/>
                            </w:rPr>
                            <w:alias w:val="Publish Date"/>
                            <w:tag w:val=""/>
                            <w:id w:val="400952559"/>
                            <w:dataBinding w:prefixMappings="xmlns:ns0='http://schemas.microsoft.com/office/2006/coverPageProps' " w:xpath="/ns0:CoverPageProperties[1]/ns0:PublishDate[1]" w:storeItemID="{55AF091B-3C7A-41E3-B477-F2FDAA23CFDA}"/>
                            <w:date w:fullDate="2025-03-14T00:00:00Z">
                              <w:dateFormat w:val="MMMM d, yyyy"/>
                              <w:lid w:val="en-US"/>
                              <w:storeMappedDataAs w:val="dateTime"/>
                              <w:calendar w:val="gregorian"/>
                            </w:date>
                          </w:sdtPr>
                          <w:sdtContent>
                            <w:p w14:paraId="6579EED7" w14:textId="5C70B24B" w:rsidR="009E2882" w:rsidRPr="009E2882" w:rsidRDefault="009E2882">
                              <w:pPr>
                                <w:pStyle w:val="NoSpacing"/>
                                <w:jc w:val="right"/>
                                <w:rPr>
                                  <w:rFonts w:ascii="Arial Black" w:hAnsi="Arial Black"/>
                                  <w:caps/>
                                  <w:color w:val="0A1D30" w:themeColor="text2" w:themeShade="BF"/>
                                  <w:sz w:val="40"/>
                                  <w:szCs w:val="40"/>
                                </w:rPr>
                              </w:pPr>
                              <w:r w:rsidRPr="009E2882">
                                <w:rPr>
                                  <w:rFonts w:ascii="Arial Black" w:hAnsi="Arial Black"/>
                                  <w:caps/>
                                  <w:color w:val="0A1D30" w:themeColor="text2" w:themeShade="BF"/>
                                  <w:sz w:val="40"/>
                                  <w:szCs w:val="40"/>
                                </w:rPr>
                                <w:t>March 14, 2025</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6BDAE1A9" wp14:editId="7E67D00F">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45500</wp14:pctPosVOffset>
                        </wp:positionV>
                      </mc:Choice>
                      <mc:Fallback>
                        <wp:positionV relativeFrom="page">
                          <wp:posOffset>4864735</wp:posOffset>
                        </wp:positionV>
                      </mc:Fallback>
                    </mc:AlternateContent>
                    <wp:extent cx="5753100" cy="525780"/>
                    <wp:effectExtent l="0" t="0" r="10160" b="6350"/>
                    <wp:wrapSquare wrapText="bothSides"/>
                    <wp:docPr id="113" name="Text Box 113"/>
                    <wp:cNvGraphicFramePr/>
                    <a:graphic xmlns:a="http://schemas.openxmlformats.org/drawingml/2006/main">
                      <a:graphicData uri="http://schemas.microsoft.com/office/word/2010/wordprocessingShape">
                        <wps:wsp>
                          <wps:cNvSpPr txBox="1"/>
                          <wps:spPr>
                            <a:xfrm>
                              <a:off x="0" y="0"/>
                              <a:ext cx="5753100" cy="525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4031DEB" w14:textId="01721CC3" w:rsidR="009E2882" w:rsidRPr="009E2882" w:rsidRDefault="009E2882">
                                <w:pPr>
                                  <w:pStyle w:val="NoSpacing"/>
                                  <w:jc w:val="right"/>
                                  <w:rPr>
                                    <w:rFonts w:ascii="Arial Black" w:hAnsi="Arial Black"/>
                                    <w:caps/>
                                    <w:color w:val="0A1D30" w:themeColor="text2" w:themeShade="BF"/>
                                    <w:sz w:val="96"/>
                                    <w:szCs w:val="96"/>
                                    <w:u w:val="dotDash"/>
                                  </w:rPr>
                                </w:pPr>
                                <w:sdt>
                                  <w:sdtPr>
                                    <w:rPr>
                                      <w:rFonts w:ascii="Arial Black" w:hAnsi="Arial Black"/>
                                      <w:caps/>
                                      <w:color w:val="0A1D30" w:themeColor="text2" w:themeShade="BF"/>
                                      <w:sz w:val="96"/>
                                      <w:szCs w:val="96"/>
                                      <w:u w:val="dotDash"/>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Content>
                                    <w:r w:rsidRPr="009E2882">
                                      <w:rPr>
                                        <w:rFonts w:ascii="Arial Black" w:hAnsi="Arial Black"/>
                                        <w:caps/>
                                        <w:color w:val="0A1D30" w:themeColor="text2" w:themeShade="BF"/>
                                        <w:sz w:val="96"/>
                                        <w:szCs w:val="96"/>
                                        <w:u w:val="dotDash"/>
                                      </w:rPr>
                                      <w:t>GreenGlow Cosmetics</w:t>
                                    </w:r>
                                  </w:sdtContent>
                                </w:sdt>
                              </w:p>
                              <w:sdt>
                                <w:sdtPr>
                                  <w:rPr>
                                    <w:rFonts w:ascii="Arial Black" w:hAnsi="Arial Black"/>
                                    <w:smallCaps/>
                                    <w:color w:val="0E2841" w:themeColor="text2"/>
                                    <w:sz w:val="96"/>
                                    <w:szCs w:val="96"/>
                                    <w:u w:val="dotDash"/>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Content>
                                  <w:p w14:paraId="269F7F03" w14:textId="7BA75193" w:rsidR="009E2882" w:rsidRDefault="009E2882">
                                    <w:pPr>
                                      <w:pStyle w:val="NoSpacing"/>
                                      <w:jc w:val="right"/>
                                      <w:rPr>
                                        <w:smallCaps/>
                                        <w:color w:val="0E2841" w:themeColor="text2"/>
                                        <w:sz w:val="36"/>
                                        <w:szCs w:val="36"/>
                                      </w:rPr>
                                    </w:pPr>
                                    <w:r w:rsidRPr="009E2882">
                                      <w:rPr>
                                        <w:rFonts w:ascii="Arial Black" w:hAnsi="Arial Black"/>
                                        <w:smallCaps/>
                                        <w:color w:val="0E2841" w:themeColor="text2"/>
                                        <w:sz w:val="96"/>
                                        <w:szCs w:val="96"/>
                                        <w:u w:val="dotDash"/>
                                      </w:rPr>
                                      <w:t xml:space="preserve">BUSINESS PLAN </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36300</wp14:pctHeight>
                    </wp14:sizeRelV>
                  </wp:anchor>
                </w:drawing>
              </mc:Choice>
              <mc:Fallback>
                <w:pict>
                  <v:shape w14:anchorId="6BDAE1A9" id="Text Box 113" o:spid="_x0000_s1027" type="#_x0000_t202" style="position:absolute;margin-left:0;margin-top:0;width:453pt;height:41.4pt;z-index:251660288;visibility:visible;mso-wrap-style:square;mso-width-percent:734;mso-height-percent:363;mso-left-percent:150;mso-top-percent:455;mso-wrap-distance-left:9pt;mso-wrap-distance-top:0;mso-wrap-distance-right:9pt;mso-wrap-distance-bottom:0;mso-position-horizontal-relative:page;mso-position-vertical-relative:page;mso-width-percent:734;mso-height-percent:363;mso-left-percent:150;mso-top-percent:45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" filled="f" stroked="f" strokeweight=".5pt">
                    <v:textbox inset="0,0,0,0">
                      <w:txbxContent>
                        <w:p w14:paraId="24031DEB" w14:textId="01721CC3" w:rsidR="009E2882" w:rsidRPr="009E2882" w:rsidRDefault="009E2882">
                          <w:pPr>
                            <w:pStyle w:val="NoSpacing"/>
                            <w:jc w:val="right"/>
                            <w:rPr>
                              <w:rFonts w:ascii="Arial Black" w:hAnsi="Arial Black"/>
                              <w:caps/>
                              <w:color w:val="0A1D30" w:themeColor="text2" w:themeShade="BF"/>
                              <w:sz w:val="96"/>
                              <w:szCs w:val="96"/>
                              <w:u w:val="dotDash"/>
                            </w:rPr>
                          </w:pPr>
                          <w:sdt>
                            <w:sdtPr>
                              <w:rPr>
                                <w:rFonts w:ascii="Arial Black" w:hAnsi="Arial Black"/>
                                <w:caps/>
                                <w:color w:val="0A1D30" w:themeColor="text2" w:themeShade="BF"/>
                                <w:sz w:val="96"/>
                                <w:szCs w:val="96"/>
                                <w:u w:val="dotDash"/>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Content>
                              <w:r w:rsidRPr="009E2882">
                                <w:rPr>
                                  <w:rFonts w:ascii="Arial Black" w:hAnsi="Arial Black"/>
                                  <w:caps/>
                                  <w:color w:val="0A1D30" w:themeColor="text2" w:themeShade="BF"/>
                                  <w:sz w:val="96"/>
                                  <w:szCs w:val="96"/>
                                  <w:u w:val="dotDash"/>
                                </w:rPr>
                                <w:t>GreenGlow Cosmetics</w:t>
                              </w:r>
                            </w:sdtContent>
                          </w:sdt>
                        </w:p>
                        <w:sdt>
                          <w:sdtPr>
                            <w:rPr>
                              <w:rFonts w:ascii="Arial Black" w:hAnsi="Arial Black"/>
                              <w:smallCaps/>
                              <w:color w:val="0E2841" w:themeColor="text2"/>
                              <w:sz w:val="96"/>
                              <w:szCs w:val="96"/>
                              <w:u w:val="dotDash"/>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Content>
                            <w:p w14:paraId="269F7F03" w14:textId="7BA75193" w:rsidR="009E2882" w:rsidRDefault="009E2882">
                              <w:pPr>
                                <w:pStyle w:val="NoSpacing"/>
                                <w:jc w:val="right"/>
                                <w:rPr>
                                  <w:smallCaps/>
                                  <w:color w:val="0E2841" w:themeColor="text2"/>
                                  <w:sz w:val="36"/>
                                  <w:szCs w:val="36"/>
                                </w:rPr>
                              </w:pPr>
                              <w:r w:rsidRPr="009E2882">
                                <w:rPr>
                                  <w:rFonts w:ascii="Arial Black" w:hAnsi="Arial Black"/>
                                  <w:smallCaps/>
                                  <w:color w:val="0E2841" w:themeColor="text2"/>
                                  <w:sz w:val="96"/>
                                  <w:szCs w:val="96"/>
                                  <w:u w:val="dotDash"/>
                                </w:rPr>
                                <w:t xml:space="preserve">BUSINESS PLAN </w:t>
                              </w:r>
                            </w:p>
                          </w:sdtContent>
                        </w:sdt>
                      </w:txbxContent>
                    </v:textbox>
                    <w10:wrap type="square" anchorx="page" anchory="page"/>
                  </v:shape>
                </w:pict>
              </mc:Fallback>
            </mc:AlternateContent>
          </w:r>
          <w:r>
            <w:rPr>
              <w:noProof/>
            </w:rPr>
            <mc:AlternateContent>
              <mc:Choice Requires="wpg">
                <w:drawing>
                  <wp:anchor distT="0" distB="0" distL="114300" distR="114300" simplePos="0" relativeHeight="251659264" behindDoc="0" locked="0" layoutInCell="1" allowOverlap="1" wp14:anchorId="4E5C6F20" wp14:editId="4B1FF3E5">
                    <wp:simplePos x="0" y="0"/>
                    <mc:AlternateContent>
                      <mc:Choice Requires="wp14">
                        <wp:positionH relativeFrom="page">
                          <wp14:pctPosHOffset>4500</wp14:pctPosHOffset>
                        </wp:positionH>
                      </mc:Choice>
                      <mc:Fallback>
                        <wp:positionH relativeFrom="page">
                          <wp:posOffset>339725</wp:posOffset>
                        </wp:positionH>
                      </mc:Fallback>
                    </mc:AlternateContent>
                    <wp:positionV relativeFrom="page">
                      <wp:align>center</wp:align>
                    </wp:positionV>
                    <wp:extent cx="228600" cy="9144000"/>
                    <wp:effectExtent l="0" t="0" r="3175" b="635"/>
                    <wp:wrapNone/>
                    <wp:docPr id="114" name="Group 115"/>
                    <wp:cNvGraphicFramePr/>
                    <a:graphic xmlns:a="http://schemas.openxmlformats.org/drawingml/2006/main">
                      <a:graphicData uri="http://schemas.microsoft.com/office/word/2010/wordprocessingGroup">
                        <wpg:wgp>
                          <wpg:cNvGrpSpPr/>
                          <wpg:grpSpPr>
                            <a:xfrm>
                              <a:off x="0" y="0"/>
                              <a:ext cx="228600" cy="9144000"/>
                              <a:chOff x="0" y="0"/>
                              <a:chExt cx="228600" cy="9144000"/>
                            </a:xfrm>
                          </wpg:grpSpPr>
                          <wps:wsp>
                            <wps:cNvPr id="115" name="Rectangle 115"/>
                            <wps:cNvSpPr/>
                            <wps:spPr>
                              <a:xfrm>
                                <a:off x="0" y="0"/>
                                <a:ext cx="228600" cy="87820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Rectangle 116"/>
                            <wps:cNvSpPr>
                              <a:spLocks noChangeAspect="1"/>
                            </wps:cNvSpPr>
                            <wps:spPr>
                              <a:xfrm>
                                <a:off x="0" y="8915400"/>
                                <a:ext cx="228600" cy="228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w:pict>
                  <v:group w14:anchorId="03ED6208" id="Group 115" o:spid="_x0000_s1026" style="position:absolute;margin-left:0;margin-top:0;width:18pt;height:10in;z-index:251659264;mso-width-percent:29;mso-height-percent:909;mso-left-percent:45;mso-position-horizontal-relative:page;mso-position-vertical:center;mso-position-vertical-relative:page;mso-width-percent:29;mso-height-percent:909;mso-left-percent:45" coordsize="2286,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">
                    <v:rect id="Rectangle 115" o:spid="_x0000_s1027" style="position:absolute;width:2286;height:878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" fillcolor="#e97132 [3205]" stroked="f" strokeweight="1pt"/>
                    <v:rect id="Rectangle 116" o:spid="_x0000_s1028" style="position:absolute;top:89154;width:2286;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" fillcolor="#156082 [3204]" stroked="f" strokeweight="1pt">
                      <o:lock v:ext="edit" aspectratio="t"/>
                    </v:rect>
                    <w10:wrap anchorx="page" anchory="page"/>
                  </v:group>
                </w:pict>
              </mc:Fallback>
            </mc:AlternateContent>
          </w:r>
          <w:r>
            <w:rPr>
              <w:rFonts w:ascii="Arial Black" w:hAnsi="Arial Black" w:cs="Arial"/>
              <w:u w:val="dotDash"/>
            </w:rPr>
            <w:br w:type="page"/>
          </w:r>
        </w:p>
      </w:sdtContent>
    </w:sdt>
    <w:p w14:paraId="233E7C74" w14:textId="63711361" w:rsidR="006B1C49" w:rsidRPr="00CB76E6" w:rsidRDefault="006B1C49" w:rsidP="006B1C49">
      <w:pPr>
        <w:spacing w:line="480" w:lineRule="auto"/>
        <w:jc w:val="both"/>
        <w:rPr>
          <w:rFonts w:ascii="Arial Black" w:hAnsi="Arial Black" w:cs="Arial"/>
          <w:u w:val="dotDash"/>
        </w:rPr>
      </w:pPr>
      <w:r w:rsidRPr="00CB76E6">
        <w:rPr>
          <w:rFonts w:ascii="Arial Black" w:hAnsi="Arial Black" w:cs="Arial"/>
          <w:u w:val="dotDash"/>
        </w:rPr>
        <w:lastRenderedPageBreak/>
        <w:t>Executive Summary</w:t>
      </w:r>
    </w:p>
    <w:p w14:paraId="5E4EECBF" w14:textId="77777777" w:rsidR="00CB76E6" w:rsidRDefault="00CB76E6" w:rsidP="00CB76E6">
      <w:pPr>
        <w:spacing w:line="480" w:lineRule="auto"/>
        <w:jc w:val="both"/>
        <w:rPr>
          <w:rFonts w:ascii="Arial" w:hAnsi="Arial" w:cs="Arial"/>
        </w:rPr>
      </w:pPr>
      <w:r w:rsidRPr="00CB76E6">
        <w:rPr>
          <w:rFonts w:ascii="Arial" w:hAnsi="Arial" w:cs="Arial"/>
        </w:rPr>
        <w:t>GreenGlow Cosmetics is a sustainable entrepreneurship start-up that is a pioneer in the cosmetics industry. The organisation is committed to transforming the conventional cosmetics industry by integrating ethical sourcing practices, cutting-edge production technologies, and environmental stewardship. This business plan delineates the strategic objectives, comprehensive sustainability framework, and resource requirements necessary to achieve long-term profitability and growth. It outlines the enterprise's strategy for reducing its environmental impact while producing high-quality products by utilising renewable energy, innovative manufacturing processes, and responsible part acquisition.</w:t>
      </w:r>
    </w:p>
    <w:p w14:paraId="2B2D233A" w14:textId="77777777" w:rsidR="00ED5FFA" w:rsidRDefault="00CB76E6" w:rsidP="00CB76E6">
      <w:pPr>
        <w:spacing w:line="480" w:lineRule="auto"/>
        <w:jc w:val="both"/>
        <w:rPr>
          <w:rFonts w:ascii="Arial" w:hAnsi="Arial" w:cs="Arial"/>
        </w:rPr>
      </w:pPr>
      <w:r w:rsidRPr="00CB76E6">
        <w:rPr>
          <w:rFonts w:ascii="Arial" w:hAnsi="Arial" w:cs="Arial"/>
        </w:rPr>
        <w:t>The plan encompasses a comprehensive marketing strategy that is intended to engage environmentally conscious consumers through both traditional outreach and digital platforms. The objective of this dual strategy is to increase the visibility of the brand and secure a substantial portion of the green cosmetics market. Furthermore, comprehensive SWOT and PESTLE assessments are conducted to identify and analyse the political, economic, social, technological, legal, and environmental factors that affect the enterprise, as well as its internal strengths, weaknesses, opportunities, and threats.</w:t>
      </w:r>
    </w:p>
    <w:p w14:paraId="44B35FEA" w14:textId="09876B54" w:rsidR="00CB76E6" w:rsidRDefault="00CB76E6" w:rsidP="00CB76E6">
      <w:pPr>
        <w:spacing w:line="480" w:lineRule="auto"/>
        <w:jc w:val="both"/>
        <w:rPr>
          <w:rFonts w:ascii="Arial" w:hAnsi="Arial" w:cs="Arial"/>
        </w:rPr>
      </w:pPr>
      <w:r w:rsidRPr="00CB76E6">
        <w:rPr>
          <w:rFonts w:ascii="Arial" w:hAnsi="Arial" w:cs="Arial"/>
        </w:rPr>
        <w:t xml:space="preserve">The expected income, costs, and net cash flow over a five-year period are projected in a table-formatted financial cashflow overview. The initial investments will result in negative cash flow in the early stages, but the transition to positive cash flow by the third year will be facilitated by the realisation of operational efficiencies. Additionally, a contingency plan is implemented to mitigate potential hazards, including market volatility and supply chain disruptions. The business plan is primarily derived from </w:t>
      </w:r>
      <w:r w:rsidRPr="00CB76E6">
        <w:rPr>
          <w:rFonts w:ascii="Arial" w:hAnsi="Arial" w:cs="Arial"/>
        </w:rPr>
        <w:lastRenderedPageBreak/>
        <w:t>current research and industry best practices, as well as insights from Thompson (2010) and Edgeman and Eskildsen (2014).</w:t>
      </w:r>
    </w:p>
    <w:p w14:paraId="7753850B" w14:textId="77777777" w:rsidR="00ED5FFA" w:rsidRPr="00CB76E6" w:rsidRDefault="00ED5FFA" w:rsidP="00CB76E6">
      <w:pPr>
        <w:spacing w:line="480" w:lineRule="auto"/>
        <w:jc w:val="both"/>
        <w:rPr>
          <w:rFonts w:ascii="Arial" w:hAnsi="Arial" w:cs="Arial"/>
        </w:rPr>
      </w:pPr>
    </w:p>
    <w:p w14:paraId="415D92F2" w14:textId="77777777" w:rsidR="006B1C49" w:rsidRPr="006B1C49" w:rsidRDefault="006B1C49" w:rsidP="006B1C49">
      <w:pPr>
        <w:spacing w:line="480" w:lineRule="auto"/>
        <w:jc w:val="both"/>
        <w:rPr>
          <w:rFonts w:ascii="Arial" w:hAnsi="Arial" w:cs="Arial"/>
        </w:rPr>
      </w:pPr>
    </w:p>
    <w:p w14:paraId="020D4646" w14:textId="77777777" w:rsidR="006B1C49" w:rsidRDefault="006B1C49" w:rsidP="006B1C49">
      <w:pPr>
        <w:spacing w:line="480" w:lineRule="auto"/>
        <w:jc w:val="both"/>
        <w:rPr>
          <w:rFonts w:ascii="Arial" w:hAnsi="Arial" w:cs="Arial"/>
        </w:rPr>
      </w:pPr>
    </w:p>
    <w:p w14:paraId="077584C8" w14:textId="77777777" w:rsidR="006B1C49" w:rsidRDefault="006B1C49" w:rsidP="006B1C49">
      <w:pPr>
        <w:spacing w:line="480" w:lineRule="auto"/>
        <w:jc w:val="both"/>
        <w:rPr>
          <w:rFonts w:ascii="Arial" w:hAnsi="Arial" w:cs="Arial"/>
        </w:rPr>
      </w:pPr>
    </w:p>
    <w:p w14:paraId="698B01BF" w14:textId="77777777" w:rsidR="006B1C49" w:rsidRDefault="006B1C49" w:rsidP="006B1C49">
      <w:pPr>
        <w:spacing w:line="480" w:lineRule="auto"/>
        <w:jc w:val="both"/>
        <w:rPr>
          <w:rFonts w:ascii="Arial" w:hAnsi="Arial" w:cs="Arial"/>
        </w:rPr>
      </w:pPr>
    </w:p>
    <w:p w14:paraId="5EA3F93D" w14:textId="77777777" w:rsidR="006B1C49" w:rsidRDefault="006B1C49" w:rsidP="006B1C49">
      <w:pPr>
        <w:spacing w:line="480" w:lineRule="auto"/>
        <w:jc w:val="both"/>
        <w:rPr>
          <w:rFonts w:ascii="Arial" w:hAnsi="Arial" w:cs="Arial"/>
        </w:rPr>
      </w:pPr>
    </w:p>
    <w:p w14:paraId="5EACE67E" w14:textId="77777777" w:rsidR="006B1C49" w:rsidRDefault="006B1C49" w:rsidP="006B1C49">
      <w:pPr>
        <w:spacing w:line="480" w:lineRule="auto"/>
        <w:jc w:val="both"/>
        <w:rPr>
          <w:rFonts w:ascii="Arial" w:hAnsi="Arial" w:cs="Arial"/>
        </w:rPr>
      </w:pPr>
    </w:p>
    <w:p w14:paraId="42C20946" w14:textId="77777777" w:rsidR="006B1C49" w:rsidRDefault="006B1C49" w:rsidP="006B1C49">
      <w:pPr>
        <w:spacing w:line="480" w:lineRule="auto"/>
        <w:jc w:val="both"/>
        <w:rPr>
          <w:rFonts w:ascii="Arial" w:hAnsi="Arial" w:cs="Arial"/>
        </w:rPr>
      </w:pPr>
    </w:p>
    <w:p w14:paraId="4B90D3B4" w14:textId="77777777" w:rsidR="006B1C49" w:rsidRDefault="006B1C49" w:rsidP="006B1C49">
      <w:pPr>
        <w:spacing w:line="480" w:lineRule="auto"/>
        <w:jc w:val="both"/>
        <w:rPr>
          <w:rFonts w:ascii="Arial" w:hAnsi="Arial" w:cs="Arial"/>
        </w:rPr>
      </w:pPr>
    </w:p>
    <w:p w14:paraId="1019B293" w14:textId="77777777" w:rsidR="006B1C49" w:rsidRDefault="006B1C49" w:rsidP="006B1C49">
      <w:pPr>
        <w:spacing w:line="480" w:lineRule="auto"/>
        <w:jc w:val="both"/>
        <w:rPr>
          <w:rFonts w:ascii="Arial" w:hAnsi="Arial" w:cs="Arial"/>
        </w:rPr>
      </w:pPr>
    </w:p>
    <w:p w14:paraId="08696424" w14:textId="77777777" w:rsidR="006B1C49" w:rsidRDefault="006B1C49" w:rsidP="006B1C49">
      <w:pPr>
        <w:spacing w:line="480" w:lineRule="auto"/>
        <w:jc w:val="both"/>
        <w:rPr>
          <w:rFonts w:ascii="Arial" w:hAnsi="Arial" w:cs="Arial"/>
        </w:rPr>
      </w:pPr>
    </w:p>
    <w:p w14:paraId="2365B174" w14:textId="77777777" w:rsidR="006B1C49" w:rsidRDefault="006B1C49" w:rsidP="006B1C49">
      <w:pPr>
        <w:spacing w:line="480" w:lineRule="auto"/>
        <w:jc w:val="both"/>
        <w:rPr>
          <w:rFonts w:ascii="Arial" w:hAnsi="Arial" w:cs="Arial"/>
        </w:rPr>
      </w:pPr>
    </w:p>
    <w:p w14:paraId="5C0AFE2B" w14:textId="77777777" w:rsidR="006B1C49" w:rsidRDefault="006B1C49" w:rsidP="006B1C49">
      <w:pPr>
        <w:spacing w:line="480" w:lineRule="auto"/>
        <w:jc w:val="both"/>
        <w:rPr>
          <w:rFonts w:ascii="Arial" w:hAnsi="Arial" w:cs="Arial"/>
        </w:rPr>
      </w:pPr>
    </w:p>
    <w:p w14:paraId="2DF51220" w14:textId="77777777" w:rsidR="00ED5FFA" w:rsidRDefault="00ED5FFA" w:rsidP="006B1C49">
      <w:pPr>
        <w:spacing w:line="480" w:lineRule="auto"/>
        <w:jc w:val="both"/>
        <w:rPr>
          <w:rFonts w:ascii="Arial Black" w:hAnsi="Arial Black" w:cs="Arial"/>
          <w:u w:val="dotDash"/>
        </w:rPr>
      </w:pPr>
    </w:p>
    <w:p w14:paraId="7D98BDFB" w14:textId="77777777" w:rsidR="00ED5FFA" w:rsidRDefault="00ED5FFA" w:rsidP="006B1C49">
      <w:pPr>
        <w:spacing w:line="480" w:lineRule="auto"/>
        <w:jc w:val="both"/>
        <w:rPr>
          <w:rFonts w:ascii="Arial Black" w:hAnsi="Arial Black" w:cs="Arial"/>
          <w:u w:val="dotDash"/>
        </w:rPr>
      </w:pPr>
    </w:p>
    <w:p w14:paraId="6305B880" w14:textId="77777777" w:rsidR="00ED5FFA" w:rsidRDefault="00ED5FFA" w:rsidP="006B1C49">
      <w:pPr>
        <w:spacing w:line="480" w:lineRule="auto"/>
        <w:jc w:val="both"/>
        <w:rPr>
          <w:rFonts w:ascii="Arial Black" w:hAnsi="Arial Black" w:cs="Arial"/>
          <w:u w:val="dotDash"/>
        </w:rPr>
      </w:pPr>
    </w:p>
    <w:p w14:paraId="7AC0330E" w14:textId="77777777" w:rsidR="00ED5FFA" w:rsidRDefault="00ED5FFA" w:rsidP="006B1C49">
      <w:pPr>
        <w:spacing w:line="480" w:lineRule="auto"/>
        <w:jc w:val="both"/>
        <w:rPr>
          <w:rFonts w:ascii="Arial Black" w:hAnsi="Arial Black" w:cs="Arial"/>
          <w:u w:val="dotDash"/>
        </w:rPr>
      </w:pPr>
    </w:p>
    <w:p w14:paraId="3DDB2129" w14:textId="6D83F7A4" w:rsidR="006B1C49" w:rsidRPr="006B1C49" w:rsidRDefault="006B1C49" w:rsidP="006B1C49">
      <w:pPr>
        <w:spacing w:line="480" w:lineRule="auto"/>
        <w:jc w:val="both"/>
        <w:rPr>
          <w:rFonts w:ascii="Arial Black" w:hAnsi="Arial Black" w:cs="Arial"/>
          <w:u w:val="dotDash"/>
        </w:rPr>
      </w:pPr>
      <w:r w:rsidRPr="006B1C49">
        <w:rPr>
          <w:rFonts w:ascii="Arial Black" w:hAnsi="Arial Black" w:cs="Arial"/>
          <w:u w:val="dotDash"/>
        </w:rPr>
        <w:lastRenderedPageBreak/>
        <w:t>Business Description and Vision</w:t>
      </w:r>
    </w:p>
    <w:p w14:paraId="0D521A99" w14:textId="77777777" w:rsidR="006B1C49" w:rsidRDefault="006B1C49" w:rsidP="006B1C49">
      <w:pPr>
        <w:spacing w:line="480" w:lineRule="auto"/>
        <w:jc w:val="both"/>
        <w:rPr>
          <w:rFonts w:ascii="Arial" w:hAnsi="Arial" w:cs="Arial"/>
        </w:rPr>
      </w:pPr>
      <w:r w:rsidRPr="006B1C49">
        <w:rPr>
          <w:rFonts w:ascii="Arial" w:hAnsi="Arial" w:cs="Arial"/>
        </w:rPr>
        <w:t>GreenGlow Cosmetics was founded with the distinct goal of revolutionising the cosmetics industry with a thorough focus on sustainability and social responsibility. The company's mission is to become a global leader in sustainable cosmetics by creating high-performing products that are also environmentally friendly. GreenGlow Cosmetics' operations prioritise the use of renewable energy, the implementation of lean manufacturing techniques, and a dedication to waste reduction throughout the product lifetime. Its ethical sourcing standards ensure that all natural ingredients come from certified organic and fair-trade suppliers, benefiting biodiversity and local people. The company's goal is not just to manufacture great beauty products, but also to set a new standard for corporate responsibility and environmental care in the industry (Thompson, 2010).</w:t>
      </w:r>
    </w:p>
    <w:p w14:paraId="705B3886" w14:textId="3F5DD21B" w:rsidR="006B1C49" w:rsidRPr="006B1C49" w:rsidRDefault="006B1C49" w:rsidP="006B1C49">
      <w:pPr>
        <w:spacing w:line="480" w:lineRule="auto"/>
        <w:jc w:val="both"/>
        <w:rPr>
          <w:rFonts w:ascii="Arial Black" w:hAnsi="Arial Black" w:cs="Arial"/>
          <w:u w:val="dotDash"/>
        </w:rPr>
      </w:pPr>
      <w:r w:rsidRPr="006B1C49">
        <w:rPr>
          <w:rFonts w:ascii="Arial Black" w:hAnsi="Arial Black" w:cs="Arial"/>
          <w:u w:val="dotDash"/>
        </w:rPr>
        <w:t>Goals &amp; Objectives</w:t>
      </w:r>
    </w:p>
    <w:p w14:paraId="769461CA" w14:textId="13AC8EA3" w:rsidR="006B1C49" w:rsidRPr="006B1C49" w:rsidRDefault="006B1C49" w:rsidP="006B1C49">
      <w:pPr>
        <w:spacing w:line="480" w:lineRule="auto"/>
        <w:jc w:val="both"/>
        <w:rPr>
          <w:rFonts w:ascii="Arial" w:hAnsi="Arial" w:cs="Arial"/>
        </w:rPr>
      </w:pPr>
      <w:r w:rsidRPr="006B1C49">
        <w:rPr>
          <w:rFonts w:ascii="Arial" w:hAnsi="Arial" w:cs="Arial"/>
        </w:rPr>
        <w:t>GreenGlow Cosmetics has formed a set of strategic goals and objectives aimed at promoting market growth, operational excellence, and good social impact. Initially, the company will focus on creating a comprehensive product line using solely natural, organic materials. The goal is to obtain internationally recognised eco-certifications like EcoCert and USDA Organic within the first 18 months of operation. GreenGlow Cosmetics aims to gain an important portion of the green cosmetics market by targeting a varied group of millennials and Generation Z</w:t>
      </w:r>
      <w:r>
        <w:rPr>
          <w:rFonts w:ascii="Arial" w:hAnsi="Arial" w:cs="Arial"/>
        </w:rPr>
        <w:t>-</w:t>
      </w:r>
      <w:r w:rsidRPr="006B1C49">
        <w:rPr>
          <w:rFonts w:ascii="Arial" w:hAnsi="Arial" w:cs="Arial"/>
        </w:rPr>
        <w:t>consumers who value transparency, sustainability, and ethical practices (Amberg &amp; Fogarassy, 2019).</w:t>
      </w:r>
    </w:p>
    <w:p w14:paraId="35787EFD" w14:textId="77777777" w:rsidR="006B1C49" w:rsidRPr="006B1C49" w:rsidRDefault="006B1C49" w:rsidP="006B1C49">
      <w:pPr>
        <w:spacing w:line="480" w:lineRule="auto"/>
        <w:jc w:val="both"/>
        <w:rPr>
          <w:rFonts w:ascii="Arial" w:hAnsi="Arial" w:cs="Arial"/>
        </w:rPr>
      </w:pPr>
    </w:p>
    <w:p w14:paraId="39222631" w14:textId="77777777" w:rsidR="006B1C49" w:rsidRDefault="006B1C49" w:rsidP="006B1C49">
      <w:pPr>
        <w:spacing w:line="480" w:lineRule="auto"/>
        <w:jc w:val="both"/>
        <w:rPr>
          <w:rFonts w:ascii="Arial" w:hAnsi="Arial" w:cs="Arial"/>
        </w:rPr>
      </w:pPr>
      <w:r w:rsidRPr="006B1C49">
        <w:rPr>
          <w:rFonts w:ascii="Arial" w:hAnsi="Arial" w:cs="Arial"/>
        </w:rPr>
        <w:lastRenderedPageBreak/>
        <w:t>Furthermore, the company is committed to operational excellence, having implemented an advanced sustainable enterprise resource planning (ERP) system. This technology will optimise production processes, reduce waste, and maintain transparency throughout the supply chain. Financial goals include reaching break-even within the first two years of operation and generating consistent cash flow through a variety of revenue streams such as online retail, wholesale partnerships, and subscription services. Socially, the company will reinvest a portion of its income in community development and environmental conservation projects, demonstrating its dedication to social entrepreneurial methods (Thompson, 2010).</w:t>
      </w:r>
    </w:p>
    <w:p w14:paraId="03AAA463" w14:textId="77777777" w:rsidR="006B1C49" w:rsidRPr="006B1C49" w:rsidRDefault="006B1C49" w:rsidP="006B1C49">
      <w:pPr>
        <w:spacing w:line="480" w:lineRule="auto"/>
        <w:jc w:val="both"/>
        <w:rPr>
          <w:rFonts w:ascii="Arial Black" w:hAnsi="Arial Black" w:cs="Arial"/>
          <w:u w:val="dotDash"/>
        </w:rPr>
      </w:pPr>
      <w:r w:rsidRPr="006B1C49">
        <w:rPr>
          <w:rFonts w:ascii="Arial Black" w:hAnsi="Arial Black" w:cs="Arial"/>
          <w:u w:val="dotDash"/>
        </w:rPr>
        <w:t>Sustainability Framework</w:t>
      </w:r>
    </w:p>
    <w:p w14:paraId="7A329560" w14:textId="77777777" w:rsidR="006B1C49" w:rsidRDefault="006B1C49" w:rsidP="006B1C49">
      <w:pPr>
        <w:spacing w:line="480" w:lineRule="auto"/>
        <w:jc w:val="both"/>
        <w:rPr>
          <w:rFonts w:ascii="Arial" w:hAnsi="Arial" w:cs="Arial"/>
        </w:rPr>
      </w:pPr>
      <w:r w:rsidRPr="006B1C49">
        <w:rPr>
          <w:rFonts w:ascii="Arial" w:hAnsi="Arial" w:cs="Arial"/>
        </w:rPr>
        <w:t>GreenGlow Cosmetics' sustainability framework is a comprehensive system that prioritises resource efficiency, stakeholder participation, and constant innovation. The company uses lean manufacturing practices to reduce energy use and material waste. Renewable energy sources, such as solar panels and wind turbines, are installed in production facilities, as are advanced water recycling systems. Packaging materials are chosen for their biodegradability and recyclability, and the company intends to establish product return efforts to support circular economy ideas.</w:t>
      </w:r>
    </w:p>
    <w:p w14:paraId="61192101" w14:textId="77777777" w:rsidR="006B1C49" w:rsidRDefault="006B1C49" w:rsidP="006B1C49">
      <w:pPr>
        <w:spacing w:line="480" w:lineRule="auto"/>
        <w:jc w:val="both"/>
        <w:rPr>
          <w:rFonts w:ascii="Arial" w:hAnsi="Arial" w:cs="Arial"/>
        </w:rPr>
      </w:pPr>
      <w:r w:rsidRPr="006B1C49">
        <w:rPr>
          <w:rFonts w:ascii="Arial" w:hAnsi="Arial" w:cs="Arial"/>
        </w:rPr>
        <w:t xml:space="preserve">GreenGlow Cosmetics has put in place comprehensive monitoring and reporting processes to guarantee that sustainability is integrated into all aspects of its business. Annual sustainability reports will offer stakeholders with public updates on environmental performance and social effect, and regular audits will ensure compliance with international environmental standards. By integrating sustainable enterprise resource planning (ERP) tools, the organisation guarantees that all divisions, from procurement to manufacturing, are in line with its overall sustainability </w:t>
      </w:r>
      <w:r w:rsidRPr="006B1C49">
        <w:rPr>
          <w:rFonts w:ascii="Arial" w:hAnsi="Arial" w:cs="Arial"/>
        </w:rPr>
        <w:lastRenderedPageBreak/>
        <w:t>goals (</w:t>
      </w:r>
      <w:proofErr w:type="spellStart"/>
      <w:r w:rsidRPr="006B1C49">
        <w:rPr>
          <w:rFonts w:ascii="Arial" w:hAnsi="Arial" w:cs="Arial"/>
        </w:rPr>
        <w:t>Chofreh</w:t>
      </w:r>
      <w:proofErr w:type="spellEnd"/>
      <w:r w:rsidRPr="006B1C49">
        <w:rPr>
          <w:rFonts w:ascii="Arial" w:hAnsi="Arial" w:cs="Arial"/>
        </w:rPr>
        <w:t>, 2018). This comprehensive approach reduces the company's environmental footprint while positioning GreenGlow Cosmetics as a leader in sustainable innovation in the cosmetics industry.</w:t>
      </w:r>
    </w:p>
    <w:p w14:paraId="20F553A5" w14:textId="77777777" w:rsidR="006B1C49" w:rsidRPr="006B1C49" w:rsidRDefault="006B1C49" w:rsidP="006B1C49">
      <w:pPr>
        <w:spacing w:line="480" w:lineRule="auto"/>
        <w:jc w:val="both"/>
        <w:rPr>
          <w:rFonts w:ascii="Arial Black" w:hAnsi="Arial Black" w:cs="Arial"/>
          <w:u w:val="dotDash"/>
        </w:rPr>
      </w:pPr>
      <w:r w:rsidRPr="006B1C49">
        <w:rPr>
          <w:rFonts w:ascii="Arial Black" w:hAnsi="Arial Black" w:cs="Arial"/>
          <w:u w:val="dotDash"/>
        </w:rPr>
        <w:t>Required Resources</w:t>
      </w:r>
    </w:p>
    <w:p w14:paraId="7C34EFCF" w14:textId="77777777" w:rsidR="006B1C49" w:rsidRDefault="006B1C49" w:rsidP="006B1C49">
      <w:pPr>
        <w:spacing w:line="480" w:lineRule="auto"/>
        <w:jc w:val="both"/>
        <w:rPr>
          <w:rFonts w:ascii="Arial" w:hAnsi="Arial" w:cs="Arial"/>
        </w:rPr>
      </w:pPr>
      <w:r w:rsidRPr="006B1C49">
        <w:rPr>
          <w:rFonts w:ascii="Arial" w:hAnsi="Arial" w:cs="Arial"/>
        </w:rPr>
        <w:t>To achieve its strategic objectives, GreenGlow Cosmetics will use a balanced combination of physical, human, and financial resources. The enterprise's physical infrastructure includes a cutting-edge manufacturing facility that is built to fulfil environmentally friendly criteria. This facility will have modern green technology like renewable energy installations and water recycling systems, which are crucial for decreasing environmental effect. In addition, an on-site research and development (R&amp;D) centre will drive the development of novel cosmetic formulations that follow sustainable and ethical methods.</w:t>
      </w:r>
    </w:p>
    <w:p w14:paraId="40F2F937" w14:textId="4583647B" w:rsidR="006B1C49" w:rsidRDefault="006B1C49" w:rsidP="006B1C49">
      <w:pPr>
        <w:spacing w:line="480" w:lineRule="auto"/>
        <w:jc w:val="both"/>
        <w:rPr>
          <w:rFonts w:ascii="Arial" w:hAnsi="Arial" w:cs="Arial"/>
        </w:rPr>
      </w:pPr>
      <w:r w:rsidRPr="006B1C49">
        <w:rPr>
          <w:rFonts w:ascii="Arial" w:hAnsi="Arial" w:cs="Arial"/>
        </w:rPr>
        <w:t xml:space="preserve">Human resources are equally important to the enterprise's success. The management team consists of experienced professionals who specialise in sustainability, business strategy, and cosmetics manufacture. This leadership group will be supported by a dedicated team of R&amp;D experts, including chemists and formulators who specialise in producing natural and organic cosmetic products. </w:t>
      </w:r>
      <w:r w:rsidRPr="006B1C49">
        <w:rPr>
          <w:rFonts w:ascii="Arial" w:hAnsi="Arial" w:cs="Arial"/>
        </w:rPr>
        <w:t>An</w:t>
      </w:r>
      <w:r w:rsidRPr="006B1C49">
        <w:rPr>
          <w:rFonts w:ascii="Arial" w:hAnsi="Arial" w:cs="Arial"/>
        </w:rPr>
        <w:t xml:space="preserve"> experienced marketing and sales team will </w:t>
      </w:r>
      <w:r w:rsidRPr="006B1C49">
        <w:rPr>
          <w:rFonts w:ascii="Arial" w:hAnsi="Arial" w:cs="Arial"/>
        </w:rPr>
        <w:t>oversee</w:t>
      </w:r>
      <w:r w:rsidRPr="006B1C49">
        <w:rPr>
          <w:rFonts w:ascii="Arial" w:hAnsi="Arial" w:cs="Arial"/>
        </w:rPr>
        <w:t xml:space="preserve"> developing and implementing the enterprise's sustainability narrative, guaranteeing effective engagement with target customers. Furthermore, the company will hire sustainability officers and supply chain managers to oversee ethical sourcing and ensure environmental compliance (Csorba </w:t>
      </w:r>
      <w:r>
        <w:rPr>
          <w:rFonts w:ascii="Arial" w:hAnsi="Arial" w:cs="Arial"/>
        </w:rPr>
        <w:t>&amp;</w:t>
      </w:r>
      <w:r w:rsidRPr="006B1C49">
        <w:rPr>
          <w:rFonts w:ascii="Arial" w:hAnsi="Arial" w:cs="Arial"/>
        </w:rPr>
        <w:t xml:space="preserve"> </w:t>
      </w:r>
      <w:proofErr w:type="spellStart"/>
      <w:r w:rsidRPr="006B1C49">
        <w:rPr>
          <w:rFonts w:ascii="Arial" w:hAnsi="Arial" w:cs="Arial"/>
        </w:rPr>
        <w:t>Boglea</w:t>
      </w:r>
      <w:proofErr w:type="spellEnd"/>
      <w:r w:rsidRPr="006B1C49">
        <w:rPr>
          <w:rFonts w:ascii="Arial" w:hAnsi="Arial" w:cs="Arial"/>
        </w:rPr>
        <w:t>, 2011).</w:t>
      </w:r>
    </w:p>
    <w:p w14:paraId="22EB2971" w14:textId="77777777" w:rsidR="006B1C49" w:rsidRDefault="006B1C49" w:rsidP="006B1C49">
      <w:pPr>
        <w:spacing w:line="480" w:lineRule="auto"/>
        <w:jc w:val="both"/>
        <w:rPr>
          <w:rFonts w:ascii="Arial" w:hAnsi="Arial" w:cs="Arial"/>
        </w:rPr>
      </w:pPr>
      <w:r w:rsidRPr="006B1C49">
        <w:rPr>
          <w:rFonts w:ascii="Arial" w:hAnsi="Arial" w:cs="Arial"/>
        </w:rPr>
        <w:t xml:space="preserve">Financial resources will be secured through a combination of venture capital investments, government grants aimed at sustainable innovation, and contributions from environmentally conscious impact investors. The initial capital investment will </w:t>
      </w:r>
      <w:r w:rsidRPr="006B1C49">
        <w:rPr>
          <w:rFonts w:ascii="Arial" w:hAnsi="Arial" w:cs="Arial"/>
        </w:rPr>
        <w:lastRenderedPageBreak/>
        <w:t>cover the costs of building the production facility, obtaining innovative technology, and launching thorough marketing efforts. A precise operational budget will be maintained to ensure that funds are distributed efficiently across research and development, manufacturing, marketing, and logistics. In addition, contingency money will be set aside to cover unexpected expenses such as raw material price variations or technological improvements.</w:t>
      </w:r>
    </w:p>
    <w:p w14:paraId="74CA605E" w14:textId="492EC93E" w:rsidR="006B1C49" w:rsidRPr="006B1C49" w:rsidRDefault="006B1C49" w:rsidP="006B1C49">
      <w:pPr>
        <w:spacing w:line="480" w:lineRule="auto"/>
        <w:jc w:val="both"/>
        <w:rPr>
          <w:rFonts w:ascii="Arial Black" w:hAnsi="Arial Black" w:cs="Arial"/>
          <w:u w:val="dotDash"/>
        </w:rPr>
      </w:pPr>
      <w:r w:rsidRPr="006B1C49">
        <w:rPr>
          <w:rFonts w:ascii="Arial Black" w:hAnsi="Arial Black" w:cs="Arial"/>
          <w:u w:val="dotDash"/>
        </w:rPr>
        <w:t>Marketing Strategy</w:t>
      </w:r>
    </w:p>
    <w:p w14:paraId="2E18C2CE" w14:textId="77777777" w:rsidR="00CB76E6" w:rsidRDefault="006B1C49" w:rsidP="006B1C49">
      <w:pPr>
        <w:spacing w:line="480" w:lineRule="auto"/>
        <w:jc w:val="both"/>
        <w:rPr>
          <w:rFonts w:ascii="Arial" w:hAnsi="Arial" w:cs="Arial"/>
        </w:rPr>
      </w:pPr>
      <w:r w:rsidRPr="006B1C49">
        <w:rPr>
          <w:rFonts w:ascii="Arial" w:hAnsi="Arial" w:cs="Arial"/>
        </w:rPr>
        <w:t>GreenGlow Cosmetics' marketing strategy is based on their commitment to openness, sustainability, and ethical standards. The company targets environmentally concerned customers who are increasingly looking for items that are both effective and environmentally beneficial. GreenGlow Cosmetics will establish a strong brand identity centred on green principles and social responsibility by leveraging both digital and conventional marketing platforms. Social media advertising, influencer relationships, and engaging content emphasising the ethical production process and sustainable sourcing procedures will be part of the company's digital marketing initiatives. This technique is meant to appeal to millennials and Generation Z, who are recognised for their affinity for environmentally friendly products and open company processes (Lin et al., 2018).</w:t>
      </w:r>
    </w:p>
    <w:p w14:paraId="62699213" w14:textId="77777777" w:rsidR="00CB76E6" w:rsidRDefault="006B1C49" w:rsidP="006B1C49">
      <w:pPr>
        <w:spacing w:line="480" w:lineRule="auto"/>
        <w:jc w:val="both"/>
        <w:rPr>
          <w:rFonts w:ascii="Arial" w:hAnsi="Arial" w:cs="Arial"/>
        </w:rPr>
      </w:pPr>
      <w:r w:rsidRPr="006B1C49">
        <w:rPr>
          <w:rFonts w:ascii="Arial" w:hAnsi="Arial" w:cs="Arial"/>
        </w:rPr>
        <w:t xml:space="preserve">In addition to internet outreach, GreenGlow Cosmetics will attend industry trade fairs and green expos to raise brand awareness among environmentally conscious consumers. Collaborations with environmental organisations and sustainable lifestyle influencers will help to strengthen the brand's credibility and commitment to sustainability. The marketing narrative will be carefully created to focus on each product's journey, from ethical raw material procurement to advanced sustainable </w:t>
      </w:r>
      <w:r w:rsidRPr="006B1C49">
        <w:rPr>
          <w:rFonts w:ascii="Arial" w:hAnsi="Arial" w:cs="Arial"/>
        </w:rPr>
        <w:lastRenderedPageBreak/>
        <w:t>production practices. By emphasising the tangible environmental benefits and high-quality performance of its products, the company hopes to build a devoted consumer base and gain a competitive advantage in the growing green cosmetics market.</w:t>
      </w:r>
    </w:p>
    <w:p w14:paraId="29F1D9A8" w14:textId="2C1FFE3F" w:rsidR="006B1C49" w:rsidRPr="00CB76E6" w:rsidRDefault="006B1C49" w:rsidP="006B1C49">
      <w:pPr>
        <w:spacing w:line="480" w:lineRule="auto"/>
        <w:jc w:val="both"/>
        <w:rPr>
          <w:rFonts w:ascii="Arial Black" w:hAnsi="Arial Black" w:cs="Arial"/>
          <w:u w:val="dotDash"/>
        </w:rPr>
      </w:pPr>
      <w:r w:rsidRPr="00CB76E6">
        <w:rPr>
          <w:rFonts w:ascii="Arial Black" w:hAnsi="Arial Black" w:cs="Arial"/>
          <w:u w:val="dotDash"/>
        </w:rPr>
        <w:t>PESTLE Analysis.</w:t>
      </w:r>
    </w:p>
    <w:p w14:paraId="232BA76D" w14:textId="77777777" w:rsidR="00CB76E6" w:rsidRDefault="006B1C49" w:rsidP="006B1C49">
      <w:pPr>
        <w:spacing w:line="480" w:lineRule="auto"/>
        <w:jc w:val="both"/>
        <w:rPr>
          <w:rFonts w:ascii="Arial" w:hAnsi="Arial" w:cs="Arial"/>
        </w:rPr>
      </w:pPr>
      <w:r w:rsidRPr="006B1C49">
        <w:rPr>
          <w:rFonts w:ascii="Arial" w:hAnsi="Arial" w:cs="Arial"/>
        </w:rPr>
        <w:t>GreenGlow Cosmetics' external business environment was carefully assessed using a PESTLE study. Politically, the enterprise benefits from government initiatives that promote sustainable business practices and green technology. Many regions provide incentives and subsidies to businesses that engage in renewable energy and environmentally friendly manufacturing processes, resulting in a favourable regulatory environment for the organisation (</w:t>
      </w:r>
      <w:proofErr w:type="spellStart"/>
      <w:r w:rsidRPr="006B1C49">
        <w:rPr>
          <w:rFonts w:ascii="Arial" w:hAnsi="Arial" w:cs="Arial"/>
        </w:rPr>
        <w:t>Febrizal</w:t>
      </w:r>
      <w:proofErr w:type="spellEnd"/>
      <w:r w:rsidRPr="006B1C49">
        <w:rPr>
          <w:rFonts w:ascii="Arial" w:hAnsi="Arial" w:cs="Arial"/>
        </w:rPr>
        <w:t xml:space="preserve"> </w:t>
      </w:r>
      <w:proofErr w:type="spellStart"/>
      <w:r w:rsidRPr="006B1C49">
        <w:rPr>
          <w:rFonts w:ascii="Arial" w:hAnsi="Arial" w:cs="Arial"/>
        </w:rPr>
        <w:t>Rahmana</w:t>
      </w:r>
      <w:proofErr w:type="spellEnd"/>
      <w:r w:rsidRPr="006B1C49">
        <w:rPr>
          <w:rFonts w:ascii="Arial" w:hAnsi="Arial" w:cs="Arial"/>
        </w:rPr>
        <w:t xml:space="preserve"> &amp; </w:t>
      </w:r>
      <w:proofErr w:type="spellStart"/>
      <w:r w:rsidRPr="006B1C49">
        <w:rPr>
          <w:rFonts w:ascii="Arial" w:hAnsi="Arial" w:cs="Arial"/>
        </w:rPr>
        <w:t>Bawono</w:t>
      </w:r>
      <w:proofErr w:type="spellEnd"/>
      <w:r w:rsidRPr="006B1C49">
        <w:rPr>
          <w:rFonts w:ascii="Arial" w:hAnsi="Arial" w:cs="Arial"/>
        </w:rPr>
        <w:t>, 2020).</w:t>
      </w:r>
    </w:p>
    <w:p w14:paraId="7560E1D3" w14:textId="77777777" w:rsidR="00CB76E6" w:rsidRDefault="006B1C49" w:rsidP="006B1C49">
      <w:pPr>
        <w:spacing w:line="480" w:lineRule="auto"/>
        <w:jc w:val="both"/>
        <w:rPr>
          <w:rFonts w:ascii="Arial" w:hAnsi="Arial" w:cs="Arial"/>
        </w:rPr>
      </w:pPr>
      <w:r w:rsidRPr="006B1C49">
        <w:rPr>
          <w:rFonts w:ascii="Arial" w:hAnsi="Arial" w:cs="Arial"/>
        </w:rPr>
        <w:t>Consumers are increasingly demanding sustainable and ethically made cosmetics. Although high-quality natural components may have greater initial costs, the long-term market trend favours items that reflect customer values, enabling premium pricing methods. Social aspects are also important; there is a growing cultural awareness of environmental issues and a need for transparency in business processes. Technological advances in green chemistry and sustainable production enable the company to constantly innovate and improve product compositions.</w:t>
      </w:r>
    </w:p>
    <w:p w14:paraId="228BCCAB" w14:textId="77777777" w:rsidR="00CB76E6" w:rsidRDefault="006B1C49" w:rsidP="006B1C49">
      <w:pPr>
        <w:spacing w:line="480" w:lineRule="auto"/>
        <w:jc w:val="both"/>
        <w:rPr>
          <w:rFonts w:ascii="Arial" w:hAnsi="Arial" w:cs="Arial"/>
        </w:rPr>
      </w:pPr>
      <w:r w:rsidRPr="006B1C49">
        <w:rPr>
          <w:rFonts w:ascii="Arial" w:hAnsi="Arial" w:cs="Arial"/>
        </w:rPr>
        <w:t xml:space="preserve">Legal considerations revolve around adherence to severe environmental and safety regulations. GreenGlow Cosmetics is dedicated to completing all legal obligations, including getting relevant certifications and conforming to international standards. The enterprise's operations prioritise environmental issues, with a significant emphasis on lowering carbon emissions, successfully managing waste, and utilising renewable resources. This complete examination of external elements generates a supporting </w:t>
      </w:r>
      <w:r w:rsidRPr="006B1C49">
        <w:rPr>
          <w:rFonts w:ascii="Arial" w:hAnsi="Arial" w:cs="Arial"/>
        </w:rPr>
        <w:lastRenderedPageBreak/>
        <w:t>ecosystem for GreenGlow Cosmetics, allowing it to negotiate the obstacles of the sustainable cosmetics sector (</w:t>
      </w:r>
      <w:proofErr w:type="spellStart"/>
      <w:r w:rsidRPr="006B1C49">
        <w:rPr>
          <w:rFonts w:ascii="Arial" w:hAnsi="Arial" w:cs="Arial"/>
        </w:rPr>
        <w:t>Febrizal</w:t>
      </w:r>
      <w:proofErr w:type="spellEnd"/>
      <w:r w:rsidRPr="006B1C49">
        <w:rPr>
          <w:rFonts w:ascii="Arial" w:hAnsi="Arial" w:cs="Arial"/>
        </w:rPr>
        <w:t xml:space="preserve"> </w:t>
      </w:r>
      <w:proofErr w:type="spellStart"/>
      <w:r w:rsidRPr="006B1C49">
        <w:rPr>
          <w:rFonts w:ascii="Arial" w:hAnsi="Arial" w:cs="Arial"/>
        </w:rPr>
        <w:t>Rahmana</w:t>
      </w:r>
      <w:proofErr w:type="spellEnd"/>
      <w:r w:rsidRPr="006B1C49">
        <w:rPr>
          <w:rFonts w:ascii="Arial" w:hAnsi="Arial" w:cs="Arial"/>
        </w:rPr>
        <w:t xml:space="preserve"> &amp; </w:t>
      </w:r>
      <w:proofErr w:type="spellStart"/>
      <w:r w:rsidRPr="006B1C49">
        <w:rPr>
          <w:rFonts w:ascii="Arial" w:hAnsi="Arial" w:cs="Arial"/>
        </w:rPr>
        <w:t>Bawono</w:t>
      </w:r>
      <w:proofErr w:type="spellEnd"/>
      <w:r w:rsidRPr="006B1C49">
        <w:rPr>
          <w:rFonts w:ascii="Arial" w:hAnsi="Arial" w:cs="Arial"/>
        </w:rPr>
        <w:t>, 2020).</w:t>
      </w:r>
    </w:p>
    <w:p w14:paraId="4F7FDA4E" w14:textId="2521F39E" w:rsidR="006B1C49" w:rsidRPr="00CB76E6" w:rsidRDefault="006B1C49" w:rsidP="006B1C49">
      <w:pPr>
        <w:spacing w:line="480" w:lineRule="auto"/>
        <w:jc w:val="both"/>
        <w:rPr>
          <w:rFonts w:ascii="Arial Black" w:hAnsi="Arial Black" w:cs="Arial"/>
          <w:u w:val="dotDash"/>
        </w:rPr>
      </w:pPr>
      <w:r w:rsidRPr="00CB76E6">
        <w:rPr>
          <w:rFonts w:ascii="Arial Black" w:hAnsi="Arial Black" w:cs="Arial"/>
          <w:u w:val="dotDash"/>
        </w:rPr>
        <w:t>SWOT Analysis</w:t>
      </w:r>
    </w:p>
    <w:p w14:paraId="3E513271" w14:textId="77777777" w:rsidR="00CB76E6" w:rsidRDefault="006B1C49" w:rsidP="006B1C49">
      <w:pPr>
        <w:spacing w:line="480" w:lineRule="auto"/>
        <w:jc w:val="both"/>
        <w:rPr>
          <w:rFonts w:ascii="Arial" w:hAnsi="Arial" w:cs="Arial"/>
        </w:rPr>
      </w:pPr>
      <w:r w:rsidRPr="006B1C49">
        <w:rPr>
          <w:rFonts w:ascii="Arial" w:hAnsi="Arial" w:cs="Arial"/>
        </w:rPr>
        <w:t>A complete SWOT analysis was undertaken to assess GreenGlow Cosmetics' internal strengths and weaknesses, as well as the external opportunities and dangers it confronts. One of the company's primary assets is its strong dedication to sustainability, as evidenced by its use of renewable energy sources and environmentally friendly manufacturing techniques. Its ethical sourcing techniques and use of a sustainable ERP system improve operational efficiency and credibility. However, obstacles exist, such as the costly initial capital expenditures required to build cutting-edge manufacturing facilities and the possibility of supply chain disruptions due to the reliance on premium organic ingredients.</w:t>
      </w:r>
    </w:p>
    <w:p w14:paraId="34911709" w14:textId="77777777" w:rsidR="00CB76E6" w:rsidRDefault="006B1C49" w:rsidP="006B1C49">
      <w:pPr>
        <w:spacing w:line="480" w:lineRule="auto"/>
        <w:jc w:val="both"/>
        <w:rPr>
          <w:rFonts w:ascii="Arial" w:hAnsi="Arial" w:cs="Arial"/>
        </w:rPr>
      </w:pPr>
      <w:r w:rsidRPr="006B1C49">
        <w:rPr>
          <w:rFonts w:ascii="Arial" w:hAnsi="Arial" w:cs="Arial"/>
        </w:rPr>
        <w:t>Growth opportunities abound, fuelled by rising global demand for green cosmetics and customer preferences for sustainable products. The company may capitalise on these developments by broadening its product offerings and creating strategic collaborations with environmental organisations and eco-friendly shops. Threats include fierce competition from established cosmetic firms that may enter the green market category, as well as the possibility of regulatory changes that may raise expenses. The SWOT analysis emphasises the significance of continual innovation, strategic planning, and flexible management in maintaining a competitive edge in a changing market environment (</w:t>
      </w:r>
      <w:proofErr w:type="spellStart"/>
      <w:r w:rsidRPr="006B1C49">
        <w:rPr>
          <w:rFonts w:ascii="Arial" w:hAnsi="Arial" w:cs="Arial"/>
        </w:rPr>
        <w:t>Amrina</w:t>
      </w:r>
      <w:proofErr w:type="spellEnd"/>
      <w:r w:rsidRPr="006B1C49">
        <w:rPr>
          <w:rFonts w:ascii="Arial" w:hAnsi="Arial" w:cs="Arial"/>
        </w:rPr>
        <w:t xml:space="preserve"> et al., 2021).</w:t>
      </w:r>
    </w:p>
    <w:p w14:paraId="0F449B71" w14:textId="77777777" w:rsidR="00CB76E6" w:rsidRDefault="00CB76E6" w:rsidP="006B1C49">
      <w:pPr>
        <w:spacing w:line="480" w:lineRule="auto"/>
        <w:jc w:val="both"/>
        <w:rPr>
          <w:rFonts w:ascii="Arial Black" w:hAnsi="Arial Black" w:cs="Arial"/>
          <w:u w:val="dotDash"/>
        </w:rPr>
      </w:pPr>
    </w:p>
    <w:p w14:paraId="257C7FDA" w14:textId="77777777" w:rsidR="00CB76E6" w:rsidRDefault="00CB76E6" w:rsidP="006B1C49">
      <w:pPr>
        <w:spacing w:line="480" w:lineRule="auto"/>
        <w:jc w:val="both"/>
        <w:rPr>
          <w:rFonts w:ascii="Arial Black" w:hAnsi="Arial Black" w:cs="Arial"/>
          <w:u w:val="dotDash"/>
        </w:rPr>
      </w:pPr>
    </w:p>
    <w:p w14:paraId="56021F13" w14:textId="560C0083" w:rsidR="006B1C49" w:rsidRPr="00CB76E6" w:rsidRDefault="006B1C49" w:rsidP="006B1C49">
      <w:pPr>
        <w:spacing w:line="480" w:lineRule="auto"/>
        <w:jc w:val="both"/>
        <w:rPr>
          <w:rFonts w:ascii="Arial Black" w:hAnsi="Arial Black" w:cs="Arial"/>
          <w:u w:val="dotDash"/>
        </w:rPr>
      </w:pPr>
      <w:r w:rsidRPr="00CB76E6">
        <w:rPr>
          <w:rFonts w:ascii="Arial Black" w:hAnsi="Arial Black" w:cs="Arial"/>
          <w:u w:val="dotDash"/>
        </w:rPr>
        <w:lastRenderedPageBreak/>
        <w:t>Financial Cashflow Overview</w:t>
      </w:r>
    </w:p>
    <w:p w14:paraId="784A10B5" w14:textId="77777777" w:rsidR="00CB76E6" w:rsidRDefault="006B1C49" w:rsidP="006B1C49">
      <w:pPr>
        <w:spacing w:line="480" w:lineRule="auto"/>
        <w:jc w:val="both"/>
        <w:rPr>
          <w:rFonts w:ascii="Arial" w:hAnsi="Arial" w:cs="Arial"/>
        </w:rPr>
      </w:pPr>
      <w:r w:rsidRPr="006B1C49">
        <w:rPr>
          <w:rFonts w:ascii="Arial" w:hAnsi="Arial" w:cs="Arial"/>
        </w:rPr>
        <w:t>GreenGlow Cosmetics has created a detailed financial model that shows a positive cash flow trend as the company grows. Significant initial investments in technology, R&amp;D, and marketing are envisaged in the early years, with a break-even point estimated between the second and third years of operation. The financial model accounts for expected swings in market demand and raw material costs, ensuring the enterprise's resilience in the face of economic risk. The table below shows a simplified projection of the expected income, costs, and net cash flow over a five-year period:</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709"/>
        <w:gridCol w:w="2405"/>
        <w:gridCol w:w="2410"/>
        <w:gridCol w:w="2268"/>
      </w:tblGrid>
      <w:tr w:rsidR="00ED5FFA" w:rsidRPr="00CB76E6" w14:paraId="12AD67BA" w14:textId="77777777" w:rsidTr="00ED5FFA">
        <w:trPr>
          <w:tblHeader/>
          <w:tblCellSpacing w:w="15" w:type="dxa"/>
        </w:trPr>
        <w:tc>
          <w:tcPr>
            <w:tcW w:w="0" w:type="auto"/>
            <w:shd w:val="clear" w:color="auto" w:fill="FFC000"/>
            <w:vAlign w:val="center"/>
            <w:hideMark/>
          </w:tcPr>
          <w:p w14:paraId="6D85DBE8" w14:textId="77777777" w:rsidR="00CB76E6" w:rsidRPr="00CB76E6" w:rsidRDefault="00CB76E6" w:rsidP="00CB76E6">
            <w:pPr>
              <w:shd w:val="clear" w:color="auto" w:fill="FFC000"/>
              <w:spacing w:after="0" w:line="240" w:lineRule="auto"/>
              <w:jc w:val="center"/>
              <w:rPr>
                <w:rFonts w:ascii="Arial Black" w:eastAsia="Times New Roman" w:hAnsi="Arial Black" w:cs="Times New Roman"/>
                <w:b/>
                <w:bCs/>
                <w:kern w:val="0"/>
                <w:lang w:eastAsia="en-GB"/>
                <w14:ligatures w14:val="none"/>
              </w:rPr>
            </w:pPr>
            <w:r w:rsidRPr="00CB76E6">
              <w:rPr>
                <w:rFonts w:ascii="Arial Black" w:eastAsia="Times New Roman" w:hAnsi="Arial Black" w:cs="Times New Roman"/>
                <w:b/>
                <w:bCs/>
                <w:kern w:val="0"/>
                <w:shd w:val="clear" w:color="auto" w:fill="FFC000"/>
                <w:lang w:eastAsia="en-GB"/>
                <w14:ligatures w14:val="none"/>
              </w:rPr>
              <w:t>Yea</w:t>
            </w:r>
            <w:r w:rsidRPr="00CB76E6">
              <w:rPr>
                <w:rFonts w:ascii="Arial Black" w:eastAsia="Times New Roman" w:hAnsi="Arial Black" w:cs="Times New Roman"/>
                <w:b/>
                <w:bCs/>
                <w:kern w:val="0"/>
                <w:lang w:eastAsia="en-GB"/>
                <w14:ligatures w14:val="none"/>
              </w:rPr>
              <w:t>r</w:t>
            </w:r>
          </w:p>
        </w:tc>
        <w:tc>
          <w:tcPr>
            <w:tcW w:w="2375" w:type="dxa"/>
            <w:shd w:val="clear" w:color="auto" w:fill="FFC000"/>
            <w:vAlign w:val="center"/>
            <w:hideMark/>
          </w:tcPr>
          <w:p w14:paraId="435253C9" w14:textId="77777777" w:rsidR="00CB76E6" w:rsidRPr="00CB76E6" w:rsidRDefault="00CB76E6" w:rsidP="00CB76E6">
            <w:pPr>
              <w:shd w:val="clear" w:color="auto" w:fill="FFC000"/>
              <w:spacing w:after="0" w:line="240" w:lineRule="auto"/>
              <w:jc w:val="center"/>
              <w:rPr>
                <w:rFonts w:ascii="Arial Black" w:eastAsia="Times New Roman" w:hAnsi="Arial Black" w:cs="Times New Roman"/>
                <w:b/>
                <w:bCs/>
                <w:kern w:val="0"/>
                <w:lang w:eastAsia="en-GB"/>
                <w14:ligatures w14:val="none"/>
              </w:rPr>
            </w:pPr>
            <w:r w:rsidRPr="00CB76E6">
              <w:rPr>
                <w:rFonts w:ascii="Arial Black" w:eastAsia="Times New Roman" w:hAnsi="Arial Black" w:cs="Times New Roman"/>
                <w:b/>
                <w:bCs/>
                <w:kern w:val="0"/>
                <w:lang w:eastAsia="en-GB"/>
                <w14:ligatures w14:val="none"/>
              </w:rPr>
              <w:t>Expected Income (USD)</w:t>
            </w:r>
          </w:p>
        </w:tc>
        <w:tc>
          <w:tcPr>
            <w:tcW w:w="2380" w:type="dxa"/>
            <w:vAlign w:val="center"/>
            <w:hideMark/>
          </w:tcPr>
          <w:p w14:paraId="48650D47" w14:textId="77777777" w:rsidR="00CB76E6" w:rsidRPr="00CB76E6" w:rsidRDefault="00CB76E6" w:rsidP="00CB76E6">
            <w:pPr>
              <w:shd w:val="clear" w:color="auto" w:fill="FFC000"/>
              <w:spacing w:after="0" w:line="240" w:lineRule="auto"/>
              <w:jc w:val="center"/>
              <w:rPr>
                <w:rFonts w:ascii="Arial Black" w:eastAsia="Times New Roman" w:hAnsi="Arial Black" w:cs="Times New Roman"/>
                <w:b/>
                <w:bCs/>
                <w:kern w:val="0"/>
                <w:lang w:eastAsia="en-GB"/>
                <w14:ligatures w14:val="none"/>
              </w:rPr>
            </w:pPr>
            <w:r w:rsidRPr="00CB76E6">
              <w:rPr>
                <w:rFonts w:ascii="Arial Black" w:eastAsia="Times New Roman" w:hAnsi="Arial Black" w:cs="Times New Roman"/>
                <w:b/>
                <w:bCs/>
                <w:kern w:val="0"/>
                <w:lang w:eastAsia="en-GB"/>
                <w14:ligatures w14:val="none"/>
              </w:rPr>
              <w:t>Expected Costs (USD)</w:t>
            </w:r>
          </w:p>
        </w:tc>
        <w:tc>
          <w:tcPr>
            <w:tcW w:w="2223" w:type="dxa"/>
            <w:vAlign w:val="center"/>
            <w:hideMark/>
          </w:tcPr>
          <w:p w14:paraId="67BB2CAA" w14:textId="77777777" w:rsidR="00CB76E6" w:rsidRPr="00CB76E6" w:rsidRDefault="00CB76E6" w:rsidP="00CB76E6">
            <w:pPr>
              <w:shd w:val="clear" w:color="auto" w:fill="FFC000"/>
              <w:spacing w:after="0" w:line="240" w:lineRule="auto"/>
              <w:jc w:val="center"/>
              <w:rPr>
                <w:rFonts w:ascii="Arial Black" w:eastAsia="Times New Roman" w:hAnsi="Arial Black" w:cs="Times New Roman"/>
                <w:b/>
                <w:bCs/>
                <w:kern w:val="0"/>
                <w:lang w:eastAsia="en-GB"/>
                <w14:ligatures w14:val="none"/>
              </w:rPr>
            </w:pPr>
            <w:r w:rsidRPr="00CB76E6">
              <w:rPr>
                <w:rFonts w:ascii="Arial Black" w:eastAsia="Times New Roman" w:hAnsi="Arial Black" w:cs="Times New Roman"/>
                <w:b/>
                <w:bCs/>
                <w:kern w:val="0"/>
                <w:lang w:eastAsia="en-GB"/>
                <w14:ligatures w14:val="none"/>
              </w:rPr>
              <w:t>Net Cash Flow (USD)</w:t>
            </w:r>
          </w:p>
        </w:tc>
      </w:tr>
    </w:tbl>
    <w:p w14:paraId="2171089D" w14:textId="77777777" w:rsidR="00CB76E6" w:rsidRPr="00CB76E6" w:rsidRDefault="00CB76E6" w:rsidP="00CB76E6">
      <w:pPr>
        <w:shd w:val="clear" w:color="auto" w:fill="FFC000"/>
        <w:spacing w:after="0" w:line="240" w:lineRule="auto"/>
        <w:rPr>
          <w:rFonts w:ascii="Arial Black" w:eastAsia="Times New Roman" w:hAnsi="Arial Black" w:cs="Times New Roman"/>
          <w:vanish/>
          <w:kern w:val="0"/>
          <w:lang w:eastAsia="en-GB"/>
          <w14:ligatures w14:val="none"/>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562"/>
        <w:gridCol w:w="2552"/>
        <w:gridCol w:w="2410"/>
        <w:gridCol w:w="2268"/>
      </w:tblGrid>
      <w:tr w:rsidR="00CB76E6" w:rsidRPr="00CB76E6" w14:paraId="6602CFEC" w14:textId="77777777" w:rsidTr="00CB76E6">
        <w:trPr>
          <w:tblCellSpacing w:w="15" w:type="dxa"/>
        </w:trPr>
        <w:tc>
          <w:tcPr>
            <w:tcW w:w="517" w:type="dxa"/>
            <w:vAlign w:val="center"/>
            <w:hideMark/>
          </w:tcPr>
          <w:p w14:paraId="086431CD" w14:textId="77777777" w:rsidR="00CB76E6" w:rsidRPr="00CB76E6" w:rsidRDefault="00CB76E6" w:rsidP="00CB76E6">
            <w:pPr>
              <w:shd w:val="clear" w:color="auto" w:fill="FFC000"/>
              <w:spacing w:after="0" w:line="240" w:lineRule="auto"/>
              <w:rPr>
                <w:rFonts w:ascii="Arial Black" w:eastAsia="Times New Roman" w:hAnsi="Arial Black" w:cs="Times New Roman"/>
                <w:kern w:val="0"/>
                <w:lang w:eastAsia="en-GB"/>
                <w14:ligatures w14:val="none"/>
              </w:rPr>
            </w:pPr>
            <w:r w:rsidRPr="00CB76E6">
              <w:rPr>
                <w:rFonts w:ascii="Arial Black" w:eastAsia="Times New Roman" w:hAnsi="Arial Black" w:cs="Times New Roman"/>
                <w:kern w:val="0"/>
                <w:lang w:eastAsia="en-GB"/>
                <w14:ligatures w14:val="none"/>
              </w:rPr>
              <w:t>1</w:t>
            </w:r>
          </w:p>
        </w:tc>
        <w:tc>
          <w:tcPr>
            <w:tcW w:w="2522" w:type="dxa"/>
            <w:vAlign w:val="center"/>
            <w:hideMark/>
          </w:tcPr>
          <w:p w14:paraId="06D732E2" w14:textId="77777777" w:rsidR="00CB76E6" w:rsidRPr="00CB76E6" w:rsidRDefault="00CB76E6" w:rsidP="00CB76E6">
            <w:pPr>
              <w:shd w:val="clear" w:color="auto" w:fill="FFC000"/>
              <w:spacing w:after="0" w:line="240" w:lineRule="auto"/>
              <w:rPr>
                <w:rFonts w:ascii="Arial Black" w:eastAsia="Times New Roman" w:hAnsi="Arial Black" w:cs="Times New Roman"/>
                <w:kern w:val="0"/>
                <w:lang w:eastAsia="en-GB"/>
                <w14:ligatures w14:val="none"/>
              </w:rPr>
            </w:pPr>
            <w:r w:rsidRPr="00CB76E6">
              <w:rPr>
                <w:rFonts w:ascii="Arial Black" w:eastAsia="Times New Roman" w:hAnsi="Arial Black" w:cs="Times New Roman"/>
                <w:kern w:val="0"/>
                <w:lang w:eastAsia="en-GB"/>
                <w14:ligatures w14:val="none"/>
              </w:rPr>
              <w:t>500,000</w:t>
            </w:r>
          </w:p>
        </w:tc>
        <w:tc>
          <w:tcPr>
            <w:tcW w:w="2380" w:type="dxa"/>
            <w:vAlign w:val="center"/>
            <w:hideMark/>
          </w:tcPr>
          <w:p w14:paraId="08C7BE6E" w14:textId="77777777" w:rsidR="00CB76E6" w:rsidRPr="00CB76E6" w:rsidRDefault="00CB76E6" w:rsidP="00CB76E6">
            <w:pPr>
              <w:shd w:val="clear" w:color="auto" w:fill="FFC000"/>
              <w:spacing w:after="0" w:line="240" w:lineRule="auto"/>
              <w:rPr>
                <w:rFonts w:ascii="Arial Black" w:eastAsia="Times New Roman" w:hAnsi="Arial Black" w:cs="Times New Roman"/>
                <w:kern w:val="0"/>
                <w:lang w:eastAsia="en-GB"/>
                <w14:ligatures w14:val="none"/>
              </w:rPr>
            </w:pPr>
            <w:r w:rsidRPr="00CB76E6">
              <w:rPr>
                <w:rFonts w:ascii="Arial Black" w:eastAsia="Times New Roman" w:hAnsi="Arial Black" w:cs="Times New Roman"/>
                <w:kern w:val="0"/>
                <w:lang w:eastAsia="en-GB"/>
                <w14:ligatures w14:val="none"/>
              </w:rPr>
              <w:t>850,000</w:t>
            </w:r>
          </w:p>
        </w:tc>
        <w:tc>
          <w:tcPr>
            <w:tcW w:w="2223" w:type="dxa"/>
            <w:vAlign w:val="center"/>
            <w:hideMark/>
          </w:tcPr>
          <w:p w14:paraId="71E12985" w14:textId="77777777" w:rsidR="00CB76E6" w:rsidRPr="00CB76E6" w:rsidRDefault="00CB76E6" w:rsidP="00CB76E6">
            <w:pPr>
              <w:shd w:val="clear" w:color="auto" w:fill="FFC000"/>
              <w:spacing w:after="0" w:line="240" w:lineRule="auto"/>
              <w:rPr>
                <w:rFonts w:ascii="Arial Black" w:eastAsia="Times New Roman" w:hAnsi="Arial Black" w:cs="Times New Roman"/>
                <w:kern w:val="0"/>
                <w:lang w:eastAsia="en-GB"/>
                <w14:ligatures w14:val="none"/>
              </w:rPr>
            </w:pPr>
            <w:r w:rsidRPr="00CB76E6">
              <w:rPr>
                <w:rFonts w:ascii="Arial Black" w:eastAsia="Times New Roman" w:hAnsi="Arial Black" w:cs="Times New Roman"/>
                <w:kern w:val="0"/>
                <w:lang w:eastAsia="en-GB"/>
                <w14:ligatures w14:val="none"/>
              </w:rPr>
              <w:t>-350,000</w:t>
            </w:r>
          </w:p>
        </w:tc>
      </w:tr>
    </w:tbl>
    <w:p w14:paraId="14EF6D46" w14:textId="77777777" w:rsidR="00CB76E6" w:rsidRPr="00CB76E6" w:rsidRDefault="00CB76E6" w:rsidP="00CB76E6">
      <w:pPr>
        <w:shd w:val="clear" w:color="auto" w:fill="FFC000"/>
        <w:spacing w:after="0" w:line="240" w:lineRule="auto"/>
        <w:rPr>
          <w:rFonts w:ascii="Arial Black" w:eastAsia="Times New Roman" w:hAnsi="Arial Black" w:cs="Times New Roman"/>
          <w:vanish/>
          <w:kern w:val="0"/>
          <w:lang w:eastAsia="en-GB"/>
          <w14:ligatures w14:val="none"/>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562"/>
        <w:gridCol w:w="2552"/>
        <w:gridCol w:w="2410"/>
        <w:gridCol w:w="2268"/>
      </w:tblGrid>
      <w:tr w:rsidR="00CB76E6" w:rsidRPr="00CB76E6" w14:paraId="0290FBCE" w14:textId="77777777" w:rsidTr="00CB76E6">
        <w:trPr>
          <w:tblCellSpacing w:w="15" w:type="dxa"/>
        </w:trPr>
        <w:tc>
          <w:tcPr>
            <w:tcW w:w="517" w:type="dxa"/>
            <w:vAlign w:val="center"/>
            <w:hideMark/>
          </w:tcPr>
          <w:p w14:paraId="403FD66B" w14:textId="77777777" w:rsidR="00CB76E6" w:rsidRPr="00CB76E6" w:rsidRDefault="00CB76E6" w:rsidP="00CB76E6">
            <w:pPr>
              <w:shd w:val="clear" w:color="auto" w:fill="FFC000"/>
              <w:spacing w:after="0" w:line="240" w:lineRule="auto"/>
              <w:rPr>
                <w:rFonts w:ascii="Arial Black" w:eastAsia="Times New Roman" w:hAnsi="Arial Black" w:cs="Times New Roman"/>
                <w:kern w:val="0"/>
                <w:lang w:eastAsia="en-GB"/>
                <w14:ligatures w14:val="none"/>
              </w:rPr>
            </w:pPr>
            <w:r w:rsidRPr="00CB76E6">
              <w:rPr>
                <w:rFonts w:ascii="Arial Black" w:eastAsia="Times New Roman" w:hAnsi="Arial Black" w:cs="Times New Roman"/>
                <w:kern w:val="0"/>
                <w:lang w:eastAsia="en-GB"/>
                <w14:ligatures w14:val="none"/>
              </w:rPr>
              <w:t>2</w:t>
            </w:r>
          </w:p>
        </w:tc>
        <w:tc>
          <w:tcPr>
            <w:tcW w:w="2522" w:type="dxa"/>
            <w:vAlign w:val="center"/>
            <w:hideMark/>
          </w:tcPr>
          <w:p w14:paraId="6C11A55A" w14:textId="77777777" w:rsidR="00CB76E6" w:rsidRPr="00CB76E6" w:rsidRDefault="00CB76E6" w:rsidP="00CB76E6">
            <w:pPr>
              <w:shd w:val="clear" w:color="auto" w:fill="FFC000"/>
              <w:spacing w:after="0" w:line="240" w:lineRule="auto"/>
              <w:rPr>
                <w:rFonts w:ascii="Arial Black" w:eastAsia="Times New Roman" w:hAnsi="Arial Black" w:cs="Times New Roman"/>
                <w:kern w:val="0"/>
                <w:lang w:eastAsia="en-GB"/>
                <w14:ligatures w14:val="none"/>
              </w:rPr>
            </w:pPr>
            <w:r w:rsidRPr="00CB76E6">
              <w:rPr>
                <w:rFonts w:ascii="Arial Black" w:eastAsia="Times New Roman" w:hAnsi="Arial Black" w:cs="Times New Roman"/>
                <w:kern w:val="0"/>
                <w:lang w:eastAsia="en-GB"/>
                <w14:ligatures w14:val="none"/>
              </w:rPr>
              <w:t>1,200,000</w:t>
            </w:r>
          </w:p>
        </w:tc>
        <w:tc>
          <w:tcPr>
            <w:tcW w:w="2380" w:type="dxa"/>
            <w:vAlign w:val="center"/>
            <w:hideMark/>
          </w:tcPr>
          <w:p w14:paraId="7C016FC4" w14:textId="77777777" w:rsidR="00CB76E6" w:rsidRPr="00CB76E6" w:rsidRDefault="00CB76E6" w:rsidP="00CB76E6">
            <w:pPr>
              <w:shd w:val="clear" w:color="auto" w:fill="FFC000"/>
              <w:spacing w:after="0" w:line="240" w:lineRule="auto"/>
              <w:rPr>
                <w:rFonts w:ascii="Arial Black" w:eastAsia="Times New Roman" w:hAnsi="Arial Black" w:cs="Times New Roman"/>
                <w:kern w:val="0"/>
                <w:lang w:eastAsia="en-GB"/>
                <w14:ligatures w14:val="none"/>
              </w:rPr>
            </w:pPr>
            <w:r w:rsidRPr="00CB76E6">
              <w:rPr>
                <w:rFonts w:ascii="Arial Black" w:eastAsia="Times New Roman" w:hAnsi="Arial Black" w:cs="Times New Roman"/>
                <w:kern w:val="0"/>
                <w:lang w:eastAsia="en-GB"/>
                <w14:ligatures w14:val="none"/>
              </w:rPr>
              <w:t>1,500,000</w:t>
            </w:r>
          </w:p>
        </w:tc>
        <w:tc>
          <w:tcPr>
            <w:tcW w:w="2223" w:type="dxa"/>
            <w:vAlign w:val="center"/>
            <w:hideMark/>
          </w:tcPr>
          <w:p w14:paraId="5E29BEFE" w14:textId="77777777" w:rsidR="00CB76E6" w:rsidRPr="00CB76E6" w:rsidRDefault="00CB76E6" w:rsidP="00CB76E6">
            <w:pPr>
              <w:shd w:val="clear" w:color="auto" w:fill="FFC000"/>
              <w:spacing w:after="0" w:line="240" w:lineRule="auto"/>
              <w:rPr>
                <w:rFonts w:ascii="Arial Black" w:eastAsia="Times New Roman" w:hAnsi="Arial Black" w:cs="Times New Roman"/>
                <w:kern w:val="0"/>
                <w:lang w:eastAsia="en-GB"/>
                <w14:ligatures w14:val="none"/>
              </w:rPr>
            </w:pPr>
            <w:r w:rsidRPr="00CB76E6">
              <w:rPr>
                <w:rFonts w:ascii="Arial Black" w:eastAsia="Times New Roman" w:hAnsi="Arial Black" w:cs="Times New Roman"/>
                <w:kern w:val="0"/>
                <w:lang w:eastAsia="en-GB"/>
                <w14:ligatures w14:val="none"/>
              </w:rPr>
              <w:t>-300,000</w:t>
            </w:r>
          </w:p>
        </w:tc>
      </w:tr>
    </w:tbl>
    <w:p w14:paraId="0F18C609" w14:textId="77777777" w:rsidR="00CB76E6" w:rsidRPr="00CB76E6" w:rsidRDefault="00CB76E6" w:rsidP="00CB76E6">
      <w:pPr>
        <w:shd w:val="clear" w:color="auto" w:fill="FFC000"/>
        <w:spacing w:after="0" w:line="240" w:lineRule="auto"/>
        <w:rPr>
          <w:rFonts w:ascii="Arial Black" w:eastAsia="Times New Roman" w:hAnsi="Arial Black" w:cs="Times New Roman"/>
          <w:vanish/>
          <w:kern w:val="0"/>
          <w:lang w:eastAsia="en-GB"/>
          <w14:ligatures w14:val="none"/>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562"/>
        <w:gridCol w:w="2552"/>
        <w:gridCol w:w="2410"/>
        <w:gridCol w:w="2268"/>
      </w:tblGrid>
      <w:tr w:rsidR="00CB76E6" w:rsidRPr="00CB76E6" w14:paraId="7F4C516B" w14:textId="77777777" w:rsidTr="00CB76E6">
        <w:trPr>
          <w:tblCellSpacing w:w="15" w:type="dxa"/>
        </w:trPr>
        <w:tc>
          <w:tcPr>
            <w:tcW w:w="517" w:type="dxa"/>
            <w:vAlign w:val="center"/>
            <w:hideMark/>
          </w:tcPr>
          <w:p w14:paraId="44720397" w14:textId="77777777" w:rsidR="00CB76E6" w:rsidRPr="00CB76E6" w:rsidRDefault="00CB76E6" w:rsidP="00CB76E6">
            <w:pPr>
              <w:shd w:val="clear" w:color="auto" w:fill="FFC000"/>
              <w:spacing w:after="0" w:line="240" w:lineRule="auto"/>
              <w:rPr>
                <w:rFonts w:ascii="Arial Black" w:eastAsia="Times New Roman" w:hAnsi="Arial Black" w:cs="Times New Roman"/>
                <w:kern w:val="0"/>
                <w:lang w:eastAsia="en-GB"/>
                <w14:ligatures w14:val="none"/>
              </w:rPr>
            </w:pPr>
            <w:r w:rsidRPr="00CB76E6">
              <w:rPr>
                <w:rFonts w:ascii="Arial Black" w:eastAsia="Times New Roman" w:hAnsi="Arial Black" w:cs="Times New Roman"/>
                <w:kern w:val="0"/>
                <w:lang w:eastAsia="en-GB"/>
                <w14:ligatures w14:val="none"/>
              </w:rPr>
              <w:t>3</w:t>
            </w:r>
          </w:p>
        </w:tc>
        <w:tc>
          <w:tcPr>
            <w:tcW w:w="2522" w:type="dxa"/>
            <w:vAlign w:val="center"/>
            <w:hideMark/>
          </w:tcPr>
          <w:p w14:paraId="65008ACD" w14:textId="77777777" w:rsidR="00CB76E6" w:rsidRPr="00CB76E6" w:rsidRDefault="00CB76E6" w:rsidP="00CB76E6">
            <w:pPr>
              <w:shd w:val="clear" w:color="auto" w:fill="FFC000"/>
              <w:spacing w:after="0" w:line="240" w:lineRule="auto"/>
              <w:rPr>
                <w:rFonts w:ascii="Arial Black" w:eastAsia="Times New Roman" w:hAnsi="Arial Black" w:cs="Times New Roman"/>
                <w:kern w:val="0"/>
                <w:lang w:eastAsia="en-GB"/>
                <w14:ligatures w14:val="none"/>
              </w:rPr>
            </w:pPr>
            <w:r w:rsidRPr="00CB76E6">
              <w:rPr>
                <w:rFonts w:ascii="Arial Black" w:eastAsia="Times New Roman" w:hAnsi="Arial Black" w:cs="Times New Roman"/>
                <w:kern w:val="0"/>
                <w:lang w:eastAsia="en-GB"/>
                <w14:ligatures w14:val="none"/>
              </w:rPr>
              <w:t>2,000,000</w:t>
            </w:r>
          </w:p>
        </w:tc>
        <w:tc>
          <w:tcPr>
            <w:tcW w:w="2380" w:type="dxa"/>
            <w:vAlign w:val="center"/>
            <w:hideMark/>
          </w:tcPr>
          <w:p w14:paraId="60D9B73B" w14:textId="77777777" w:rsidR="00CB76E6" w:rsidRPr="00CB76E6" w:rsidRDefault="00CB76E6" w:rsidP="00CB76E6">
            <w:pPr>
              <w:shd w:val="clear" w:color="auto" w:fill="FFC000"/>
              <w:spacing w:after="0" w:line="240" w:lineRule="auto"/>
              <w:rPr>
                <w:rFonts w:ascii="Arial Black" w:eastAsia="Times New Roman" w:hAnsi="Arial Black" w:cs="Times New Roman"/>
                <w:kern w:val="0"/>
                <w:lang w:eastAsia="en-GB"/>
                <w14:ligatures w14:val="none"/>
              </w:rPr>
            </w:pPr>
            <w:r w:rsidRPr="00CB76E6">
              <w:rPr>
                <w:rFonts w:ascii="Arial Black" w:eastAsia="Times New Roman" w:hAnsi="Arial Black" w:cs="Times New Roman"/>
                <w:kern w:val="0"/>
                <w:lang w:eastAsia="en-GB"/>
                <w14:ligatures w14:val="none"/>
              </w:rPr>
              <w:t>1,800,000</w:t>
            </w:r>
          </w:p>
        </w:tc>
        <w:tc>
          <w:tcPr>
            <w:tcW w:w="2223" w:type="dxa"/>
            <w:vAlign w:val="center"/>
            <w:hideMark/>
          </w:tcPr>
          <w:p w14:paraId="1B574DB1" w14:textId="77777777" w:rsidR="00CB76E6" w:rsidRPr="00CB76E6" w:rsidRDefault="00CB76E6" w:rsidP="00CB76E6">
            <w:pPr>
              <w:shd w:val="clear" w:color="auto" w:fill="FFC000"/>
              <w:spacing w:after="0" w:line="240" w:lineRule="auto"/>
              <w:rPr>
                <w:rFonts w:ascii="Arial Black" w:eastAsia="Times New Roman" w:hAnsi="Arial Black" w:cs="Times New Roman"/>
                <w:kern w:val="0"/>
                <w:lang w:eastAsia="en-GB"/>
                <w14:ligatures w14:val="none"/>
              </w:rPr>
            </w:pPr>
            <w:r w:rsidRPr="00CB76E6">
              <w:rPr>
                <w:rFonts w:ascii="Arial Black" w:eastAsia="Times New Roman" w:hAnsi="Arial Black" w:cs="Times New Roman"/>
                <w:kern w:val="0"/>
                <w:lang w:eastAsia="en-GB"/>
                <w14:ligatures w14:val="none"/>
              </w:rPr>
              <w:t>+200,000</w:t>
            </w:r>
          </w:p>
        </w:tc>
      </w:tr>
    </w:tbl>
    <w:p w14:paraId="2DDC7912" w14:textId="77777777" w:rsidR="00CB76E6" w:rsidRPr="00CB76E6" w:rsidRDefault="00CB76E6" w:rsidP="00CB76E6">
      <w:pPr>
        <w:shd w:val="clear" w:color="auto" w:fill="FFC000"/>
        <w:spacing w:after="0" w:line="240" w:lineRule="auto"/>
        <w:rPr>
          <w:rFonts w:ascii="Arial Black" w:eastAsia="Times New Roman" w:hAnsi="Arial Black" w:cs="Times New Roman"/>
          <w:vanish/>
          <w:kern w:val="0"/>
          <w:lang w:eastAsia="en-GB"/>
          <w14:ligatures w14:val="none"/>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562"/>
        <w:gridCol w:w="2552"/>
        <w:gridCol w:w="2410"/>
        <w:gridCol w:w="2268"/>
      </w:tblGrid>
      <w:tr w:rsidR="00CB76E6" w:rsidRPr="00CB76E6" w14:paraId="003D5802" w14:textId="77777777" w:rsidTr="00CB76E6">
        <w:trPr>
          <w:tblCellSpacing w:w="15" w:type="dxa"/>
        </w:trPr>
        <w:tc>
          <w:tcPr>
            <w:tcW w:w="517" w:type="dxa"/>
            <w:vAlign w:val="center"/>
            <w:hideMark/>
          </w:tcPr>
          <w:p w14:paraId="7E1D8379" w14:textId="77777777" w:rsidR="00CB76E6" w:rsidRPr="00CB76E6" w:rsidRDefault="00CB76E6" w:rsidP="00CB76E6">
            <w:pPr>
              <w:shd w:val="clear" w:color="auto" w:fill="FFC000"/>
              <w:spacing w:after="0" w:line="240" w:lineRule="auto"/>
              <w:rPr>
                <w:rFonts w:ascii="Arial Black" w:eastAsia="Times New Roman" w:hAnsi="Arial Black" w:cs="Times New Roman"/>
                <w:kern w:val="0"/>
                <w:lang w:eastAsia="en-GB"/>
                <w14:ligatures w14:val="none"/>
              </w:rPr>
            </w:pPr>
            <w:r w:rsidRPr="00CB76E6">
              <w:rPr>
                <w:rFonts w:ascii="Arial Black" w:eastAsia="Times New Roman" w:hAnsi="Arial Black" w:cs="Times New Roman"/>
                <w:kern w:val="0"/>
                <w:lang w:eastAsia="en-GB"/>
                <w14:ligatures w14:val="none"/>
              </w:rPr>
              <w:t>4</w:t>
            </w:r>
          </w:p>
        </w:tc>
        <w:tc>
          <w:tcPr>
            <w:tcW w:w="2522" w:type="dxa"/>
            <w:vAlign w:val="center"/>
            <w:hideMark/>
          </w:tcPr>
          <w:p w14:paraId="4D49B44A" w14:textId="77777777" w:rsidR="00CB76E6" w:rsidRPr="00CB76E6" w:rsidRDefault="00CB76E6" w:rsidP="00CB76E6">
            <w:pPr>
              <w:shd w:val="clear" w:color="auto" w:fill="FFC000"/>
              <w:spacing w:after="0" w:line="240" w:lineRule="auto"/>
              <w:rPr>
                <w:rFonts w:ascii="Arial Black" w:eastAsia="Times New Roman" w:hAnsi="Arial Black" w:cs="Times New Roman"/>
                <w:kern w:val="0"/>
                <w:lang w:eastAsia="en-GB"/>
                <w14:ligatures w14:val="none"/>
              </w:rPr>
            </w:pPr>
            <w:r w:rsidRPr="00CB76E6">
              <w:rPr>
                <w:rFonts w:ascii="Arial Black" w:eastAsia="Times New Roman" w:hAnsi="Arial Black" w:cs="Times New Roman"/>
                <w:kern w:val="0"/>
                <w:lang w:eastAsia="en-GB"/>
                <w14:ligatures w14:val="none"/>
              </w:rPr>
              <w:t>3,000,000</w:t>
            </w:r>
          </w:p>
        </w:tc>
        <w:tc>
          <w:tcPr>
            <w:tcW w:w="2380" w:type="dxa"/>
            <w:vAlign w:val="center"/>
            <w:hideMark/>
          </w:tcPr>
          <w:p w14:paraId="1F965420" w14:textId="77777777" w:rsidR="00CB76E6" w:rsidRPr="00CB76E6" w:rsidRDefault="00CB76E6" w:rsidP="00CB76E6">
            <w:pPr>
              <w:shd w:val="clear" w:color="auto" w:fill="FFC000"/>
              <w:spacing w:after="0" w:line="240" w:lineRule="auto"/>
              <w:rPr>
                <w:rFonts w:ascii="Arial Black" w:eastAsia="Times New Roman" w:hAnsi="Arial Black" w:cs="Times New Roman"/>
                <w:kern w:val="0"/>
                <w:lang w:eastAsia="en-GB"/>
                <w14:ligatures w14:val="none"/>
              </w:rPr>
            </w:pPr>
            <w:r w:rsidRPr="00CB76E6">
              <w:rPr>
                <w:rFonts w:ascii="Arial Black" w:eastAsia="Times New Roman" w:hAnsi="Arial Black" w:cs="Times New Roman"/>
                <w:kern w:val="0"/>
                <w:lang w:eastAsia="en-GB"/>
                <w14:ligatures w14:val="none"/>
              </w:rPr>
              <w:t>2,200,000</w:t>
            </w:r>
          </w:p>
        </w:tc>
        <w:tc>
          <w:tcPr>
            <w:tcW w:w="2223" w:type="dxa"/>
            <w:vAlign w:val="center"/>
            <w:hideMark/>
          </w:tcPr>
          <w:p w14:paraId="65260FE9" w14:textId="77777777" w:rsidR="00CB76E6" w:rsidRPr="00CB76E6" w:rsidRDefault="00CB76E6" w:rsidP="00CB76E6">
            <w:pPr>
              <w:shd w:val="clear" w:color="auto" w:fill="FFC000"/>
              <w:spacing w:after="0" w:line="240" w:lineRule="auto"/>
              <w:rPr>
                <w:rFonts w:ascii="Arial Black" w:eastAsia="Times New Roman" w:hAnsi="Arial Black" w:cs="Times New Roman"/>
                <w:kern w:val="0"/>
                <w:lang w:eastAsia="en-GB"/>
                <w14:ligatures w14:val="none"/>
              </w:rPr>
            </w:pPr>
            <w:r w:rsidRPr="00CB76E6">
              <w:rPr>
                <w:rFonts w:ascii="Arial Black" w:eastAsia="Times New Roman" w:hAnsi="Arial Black" w:cs="Times New Roman"/>
                <w:kern w:val="0"/>
                <w:lang w:eastAsia="en-GB"/>
                <w14:ligatures w14:val="none"/>
              </w:rPr>
              <w:t>+800,000</w:t>
            </w:r>
          </w:p>
        </w:tc>
      </w:tr>
    </w:tbl>
    <w:p w14:paraId="4C65E997" w14:textId="77777777" w:rsidR="00CB76E6" w:rsidRPr="00CB76E6" w:rsidRDefault="00CB76E6" w:rsidP="00CB76E6">
      <w:pPr>
        <w:shd w:val="clear" w:color="auto" w:fill="FFC000"/>
        <w:spacing w:after="0" w:line="240" w:lineRule="auto"/>
        <w:rPr>
          <w:rFonts w:ascii="Arial Black" w:eastAsia="Times New Roman" w:hAnsi="Arial Black" w:cs="Times New Roman"/>
          <w:vanish/>
          <w:kern w:val="0"/>
          <w:lang w:eastAsia="en-GB"/>
          <w14:ligatures w14:val="none"/>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562"/>
        <w:gridCol w:w="2552"/>
        <w:gridCol w:w="2410"/>
        <w:gridCol w:w="2268"/>
      </w:tblGrid>
      <w:tr w:rsidR="00CB76E6" w:rsidRPr="00CB76E6" w14:paraId="1144F141" w14:textId="77777777" w:rsidTr="00CB76E6">
        <w:trPr>
          <w:tblCellSpacing w:w="15" w:type="dxa"/>
        </w:trPr>
        <w:tc>
          <w:tcPr>
            <w:tcW w:w="517" w:type="dxa"/>
            <w:vAlign w:val="center"/>
            <w:hideMark/>
          </w:tcPr>
          <w:p w14:paraId="7CBF2DC7" w14:textId="77777777" w:rsidR="00CB76E6" w:rsidRPr="00CB76E6" w:rsidRDefault="00CB76E6" w:rsidP="00CB76E6">
            <w:pPr>
              <w:shd w:val="clear" w:color="auto" w:fill="FFC000"/>
              <w:spacing w:after="0" w:line="240" w:lineRule="auto"/>
              <w:rPr>
                <w:rFonts w:ascii="Arial Black" w:eastAsia="Times New Roman" w:hAnsi="Arial Black" w:cs="Times New Roman"/>
                <w:kern w:val="0"/>
                <w:lang w:eastAsia="en-GB"/>
                <w14:ligatures w14:val="none"/>
              </w:rPr>
            </w:pPr>
            <w:r w:rsidRPr="00CB76E6">
              <w:rPr>
                <w:rFonts w:ascii="Arial Black" w:eastAsia="Times New Roman" w:hAnsi="Arial Black" w:cs="Times New Roman"/>
                <w:kern w:val="0"/>
                <w:lang w:eastAsia="en-GB"/>
                <w14:ligatures w14:val="none"/>
              </w:rPr>
              <w:t>5</w:t>
            </w:r>
          </w:p>
        </w:tc>
        <w:tc>
          <w:tcPr>
            <w:tcW w:w="2522" w:type="dxa"/>
            <w:vAlign w:val="center"/>
            <w:hideMark/>
          </w:tcPr>
          <w:p w14:paraId="4D4C3769" w14:textId="77777777" w:rsidR="00CB76E6" w:rsidRPr="00CB76E6" w:rsidRDefault="00CB76E6" w:rsidP="00CB76E6">
            <w:pPr>
              <w:shd w:val="clear" w:color="auto" w:fill="FFC000"/>
              <w:spacing w:after="0" w:line="240" w:lineRule="auto"/>
              <w:rPr>
                <w:rFonts w:ascii="Arial Black" w:eastAsia="Times New Roman" w:hAnsi="Arial Black" w:cs="Times New Roman"/>
                <w:kern w:val="0"/>
                <w:lang w:eastAsia="en-GB"/>
                <w14:ligatures w14:val="none"/>
              </w:rPr>
            </w:pPr>
            <w:r w:rsidRPr="00CB76E6">
              <w:rPr>
                <w:rFonts w:ascii="Arial Black" w:eastAsia="Times New Roman" w:hAnsi="Arial Black" w:cs="Times New Roman"/>
                <w:kern w:val="0"/>
                <w:lang w:eastAsia="en-GB"/>
                <w14:ligatures w14:val="none"/>
              </w:rPr>
              <w:t>4,000,000</w:t>
            </w:r>
          </w:p>
        </w:tc>
        <w:tc>
          <w:tcPr>
            <w:tcW w:w="2380" w:type="dxa"/>
            <w:vAlign w:val="center"/>
            <w:hideMark/>
          </w:tcPr>
          <w:p w14:paraId="7FF68464" w14:textId="77777777" w:rsidR="00CB76E6" w:rsidRPr="00CB76E6" w:rsidRDefault="00CB76E6" w:rsidP="00CB76E6">
            <w:pPr>
              <w:shd w:val="clear" w:color="auto" w:fill="FFC000"/>
              <w:spacing w:after="0" w:line="240" w:lineRule="auto"/>
              <w:rPr>
                <w:rFonts w:ascii="Arial Black" w:eastAsia="Times New Roman" w:hAnsi="Arial Black" w:cs="Times New Roman"/>
                <w:kern w:val="0"/>
                <w:lang w:eastAsia="en-GB"/>
                <w14:ligatures w14:val="none"/>
              </w:rPr>
            </w:pPr>
            <w:r w:rsidRPr="00CB76E6">
              <w:rPr>
                <w:rFonts w:ascii="Arial Black" w:eastAsia="Times New Roman" w:hAnsi="Arial Black" w:cs="Times New Roman"/>
                <w:kern w:val="0"/>
                <w:lang w:eastAsia="en-GB"/>
                <w14:ligatures w14:val="none"/>
              </w:rPr>
              <w:t>2,500,000</w:t>
            </w:r>
          </w:p>
        </w:tc>
        <w:tc>
          <w:tcPr>
            <w:tcW w:w="2223" w:type="dxa"/>
            <w:vAlign w:val="center"/>
            <w:hideMark/>
          </w:tcPr>
          <w:p w14:paraId="2F41FAF2" w14:textId="77777777" w:rsidR="00CB76E6" w:rsidRPr="00CB76E6" w:rsidRDefault="00CB76E6" w:rsidP="00CB76E6">
            <w:pPr>
              <w:shd w:val="clear" w:color="auto" w:fill="FFC000"/>
              <w:spacing w:after="0" w:line="240" w:lineRule="auto"/>
              <w:rPr>
                <w:rFonts w:ascii="Arial Black" w:eastAsia="Times New Roman" w:hAnsi="Arial Black" w:cs="Times New Roman"/>
                <w:kern w:val="0"/>
                <w:lang w:eastAsia="en-GB"/>
                <w14:ligatures w14:val="none"/>
              </w:rPr>
            </w:pPr>
            <w:r w:rsidRPr="00CB76E6">
              <w:rPr>
                <w:rFonts w:ascii="Arial Black" w:eastAsia="Times New Roman" w:hAnsi="Arial Black" w:cs="Times New Roman"/>
                <w:kern w:val="0"/>
                <w:lang w:eastAsia="en-GB"/>
                <w14:ligatures w14:val="none"/>
              </w:rPr>
              <w:t>+1,500,000</w:t>
            </w:r>
          </w:p>
        </w:tc>
      </w:tr>
    </w:tbl>
    <w:p w14:paraId="06494153" w14:textId="77777777" w:rsidR="00CB76E6" w:rsidRDefault="00CB76E6" w:rsidP="006B1C49">
      <w:pPr>
        <w:spacing w:line="480" w:lineRule="auto"/>
        <w:jc w:val="both"/>
        <w:rPr>
          <w:rFonts w:ascii="Arial" w:hAnsi="Arial" w:cs="Arial"/>
        </w:rPr>
      </w:pPr>
    </w:p>
    <w:p w14:paraId="7165FE88" w14:textId="4FABA0EB" w:rsidR="00CB76E6" w:rsidRDefault="006B1C49" w:rsidP="006B1C49">
      <w:pPr>
        <w:spacing w:line="480" w:lineRule="auto"/>
        <w:jc w:val="both"/>
        <w:rPr>
          <w:rFonts w:ascii="Arial" w:hAnsi="Arial" w:cs="Arial"/>
        </w:rPr>
      </w:pPr>
      <w:r w:rsidRPr="006B1C49">
        <w:rPr>
          <w:rFonts w:ascii="Arial" w:hAnsi="Arial" w:cs="Arial"/>
        </w:rPr>
        <w:t>These financial projections are based on cautious assumptions that account for market volatility, supply chain modifications, and unexpected operating expenditures. The company is certain that as its client base expands and production improvements are realised, net cash flow will gradually improve, assuring long-term financial viability (Edgeman and Eskildsen, 2014).</w:t>
      </w:r>
    </w:p>
    <w:p w14:paraId="4787E9AA" w14:textId="70E08BF4" w:rsidR="006B1C49" w:rsidRPr="00CB76E6" w:rsidRDefault="006B1C49" w:rsidP="006B1C49">
      <w:pPr>
        <w:spacing w:line="480" w:lineRule="auto"/>
        <w:jc w:val="both"/>
        <w:rPr>
          <w:rFonts w:ascii="Arial Black" w:hAnsi="Arial Black" w:cs="Arial"/>
          <w:u w:val="dotDash"/>
        </w:rPr>
      </w:pPr>
      <w:r w:rsidRPr="00CB76E6">
        <w:rPr>
          <w:rFonts w:ascii="Arial Black" w:hAnsi="Arial Black" w:cs="Arial"/>
          <w:u w:val="dotDash"/>
        </w:rPr>
        <w:t>Contingency Plan</w:t>
      </w:r>
    </w:p>
    <w:p w14:paraId="0E2BB6E9" w14:textId="77777777" w:rsidR="00CB76E6" w:rsidRDefault="006B1C49" w:rsidP="006B1C49">
      <w:pPr>
        <w:spacing w:line="480" w:lineRule="auto"/>
        <w:jc w:val="both"/>
        <w:rPr>
          <w:rFonts w:ascii="Arial" w:hAnsi="Arial" w:cs="Arial"/>
        </w:rPr>
      </w:pPr>
      <w:r w:rsidRPr="006B1C49">
        <w:rPr>
          <w:rFonts w:ascii="Arial" w:hAnsi="Arial" w:cs="Arial"/>
        </w:rPr>
        <w:t xml:space="preserve">Recognising the possibility of unexpected problems, GreenGlow Cosmetics created a detailed contingency plan to secure business continuity and financial stability. The company has set up a reserve fund equivalent to at least 10% of its yearly operating </w:t>
      </w:r>
      <w:r w:rsidRPr="006B1C49">
        <w:rPr>
          <w:rFonts w:ascii="Arial" w:hAnsi="Arial" w:cs="Arial"/>
        </w:rPr>
        <w:lastRenderedPageBreak/>
        <w:t>expenses. This fund will be used to address unforeseen cost increases, supply chain interruptions, or abrupt changes in market conditions. In the event of raw material shortages or price increases, GreenGlow Cosmetics will activate alternative supplier contracts negotiated as part of its risk management strategy.</w:t>
      </w:r>
    </w:p>
    <w:p w14:paraId="4C0D86F4" w14:textId="7E6BF1E4" w:rsidR="006B1C49" w:rsidRPr="006B1C49" w:rsidRDefault="006B1C49" w:rsidP="006B1C49">
      <w:pPr>
        <w:spacing w:line="480" w:lineRule="auto"/>
        <w:jc w:val="both"/>
        <w:rPr>
          <w:rFonts w:ascii="Arial" w:hAnsi="Arial" w:cs="Arial"/>
        </w:rPr>
      </w:pPr>
      <w:r w:rsidRPr="006B1C49">
        <w:rPr>
          <w:rFonts w:ascii="Arial" w:hAnsi="Arial" w:cs="Arial"/>
        </w:rPr>
        <w:t>Furthermore, the enterprise's sustainable ERP system is intended to deliver real-time data monitoring and predictive analytics, allowing the management team to react quickly to operational irregularities or market shifts. The contingency plan also includes a dynamic marketing strategy that can be changed in real time; resources may be transferred between digital and conventional channels to maintain ongoing customer engagement and brand loyalty. Additionally, the company prioritises proactive stakeholder communication. Investors, suppliers, and consumers will be notified immediately of any substantial operational changes, ensuring that trust is maintained even during times of uncertainty. This multi-layered risk management strategy demonstrates GreenGlow Cosmetics' dedication to resilience and long-term operational performance (Thompson, 2010).</w:t>
      </w:r>
    </w:p>
    <w:p w14:paraId="3DFF2944" w14:textId="77777777" w:rsidR="006B1C49" w:rsidRPr="006B1C49" w:rsidRDefault="006B1C49" w:rsidP="006B1C49">
      <w:pPr>
        <w:spacing w:line="480" w:lineRule="auto"/>
        <w:jc w:val="both"/>
        <w:rPr>
          <w:rFonts w:ascii="Arial" w:hAnsi="Arial" w:cs="Arial"/>
        </w:rPr>
      </w:pPr>
    </w:p>
    <w:p w14:paraId="3CDDBECC" w14:textId="77777777" w:rsidR="00CB76E6" w:rsidRDefault="00CB76E6" w:rsidP="006B1C49">
      <w:pPr>
        <w:spacing w:line="480" w:lineRule="auto"/>
        <w:jc w:val="both"/>
        <w:rPr>
          <w:rFonts w:ascii="Arial" w:hAnsi="Arial" w:cs="Arial"/>
        </w:rPr>
      </w:pPr>
    </w:p>
    <w:p w14:paraId="2AA426B2" w14:textId="77777777" w:rsidR="00CB76E6" w:rsidRDefault="00CB76E6" w:rsidP="006B1C49">
      <w:pPr>
        <w:spacing w:line="480" w:lineRule="auto"/>
        <w:jc w:val="both"/>
        <w:rPr>
          <w:rFonts w:ascii="Arial" w:hAnsi="Arial" w:cs="Arial"/>
        </w:rPr>
      </w:pPr>
    </w:p>
    <w:p w14:paraId="598F3EB5" w14:textId="77777777" w:rsidR="00CB76E6" w:rsidRDefault="00CB76E6" w:rsidP="006B1C49">
      <w:pPr>
        <w:spacing w:line="480" w:lineRule="auto"/>
        <w:jc w:val="both"/>
        <w:rPr>
          <w:rFonts w:ascii="Arial" w:hAnsi="Arial" w:cs="Arial"/>
        </w:rPr>
      </w:pPr>
    </w:p>
    <w:p w14:paraId="402C8A3B" w14:textId="77777777" w:rsidR="00CB76E6" w:rsidRDefault="00CB76E6" w:rsidP="006B1C49">
      <w:pPr>
        <w:spacing w:line="480" w:lineRule="auto"/>
        <w:jc w:val="both"/>
        <w:rPr>
          <w:rFonts w:ascii="Arial" w:hAnsi="Arial" w:cs="Arial"/>
        </w:rPr>
      </w:pPr>
    </w:p>
    <w:p w14:paraId="6397C76E" w14:textId="77777777" w:rsidR="00CB76E6" w:rsidRDefault="00CB76E6" w:rsidP="006B1C49">
      <w:pPr>
        <w:spacing w:line="480" w:lineRule="auto"/>
        <w:jc w:val="both"/>
        <w:rPr>
          <w:rFonts w:ascii="Arial" w:hAnsi="Arial" w:cs="Arial"/>
        </w:rPr>
      </w:pPr>
    </w:p>
    <w:p w14:paraId="0ABB10CD" w14:textId="77777777" w:rsidR="00CB76E6" w:rsidRDefault="00CB76E6" w:rsidP="006B1C49">
      <w:pPr>
        <w:spacing w:line="480" w:lineRule="auto"/>
        <w:jc w:val="both"/>
        <w:rPr>
          <w:rFonts w:ascii="Arial" w:hAnsi="Arial" w:cs="Arial"/>
        </w:rPr>
      </w:pPr>
    </w:p>
    <w:p w14:paraId="6326EF58" w14:textId="77777777" w:rsidR="00CB76E6" w:rsidRDefault="00CB76E6" w:rsidP="006B1C49">
      <w:pPr>
        <w:spacing w:line="480" w:lineRule="auto"/>
        <w:jc w:val="both"/>
        <w:rPr>
          <w:rFonts w:ascii="Arial" w:hAnsi="Arial" w:cs="Arial"/>
        </w:rPr>
      </w:pPr>
    </w:p>
    <w:p w14:paraId="00DEDB64" w14:textId="45803967" w:rsidR="006B1C49" w:rsidRPr="00CB76E6" w:rsidRDefault="006B1C49" w:rsidP="006B1C49">
      <w:pPr>
        <w:spacing w:line="480" w:lineRule="auto"/>
        <w:jc w:val="both"/>
        <w:rPr>
          <w:rFonts w:ascii="Arial Black" w:hAnsi="Arial Black" w:cs="Arial"/>
          <w:u w:val="dotDash"/>
        </w:rPr>
      </w:pPr>
      <w:r w:rsidRPr="00CB76E6">
        <w:rPr>
          <w:rFonts w:ascii="Arial Black" w:hAnsi="Arial Black" w:cs="Arial"/>
          <w:u w:val="dotDash"/>
        </w:rPr>
        <w:lastRenderedPageBreak/>
        <w:t>Conclusion</w:t>
      </w:r>
    </w:p>
    <w:p w14:paraId="68642285" w14:textId="00933BF6" w:rsidR="00857962" w:rsidRDefault="006B1C49" w:rsidP="006B1C49">
      <w:pPr>
        <w:spacing w:line="480" w:lineRule="auto"/>
        <w:jc w:val="both"/>
        <w:rPr>
          <w:rFonts w:ascii="Arial" w:hAnsi="Arial" w:cs="Arial"/>
        </w:rPr>
      </w:pPr>
      <w:r w:rsidRPr="006B1C49">
        <w:rPr>
          <w:rFonts w:ascii="Arial" w:hAnsi="Arial" w:cs="Arial"/>
        </w:rPr>
        <w:t>GreenGlow Cosmetics is prepared to transform the cosmetics market by incorporating sustainability into all aspects of its business approach. By utilising renewable energy, employing innovative manufacturing techniques, and adhering to ethical sourcing procedures, the company is well-positioned to address the growing demand for green cosmetics. The comprehensive business plan, which is based on rigorous market studies, strategic financial planning, and a dedication to environmental responsibility, lays out a clear route to achieving operational excellence while being financially viable. GreenGlow Cosmetics, with its unshakeable commitment to sustainability, will not only produce high-quality, eco-friendly cosmetic products, but will also make major contributions to environmental conservation and community development. The strong structure outlined in this plan ensures that the company is ready to face market difficulties and capitalise on emerging possibilities, thereby creating a new standard for sustainability and innovation in the cosmetics industry.</w:t>
      </w:r>
    </w:p>
    <w:p w14:paraId="640CEB9F" w14:textId="77777777" w:rsidR="00ED5FFA" w:rsidRDefault="00ED5FFA" w:rsidP="006B1C49">
      <w:pPr>
        <w:spacing w:line="480" w:lineRule="auto"/>
        <w:jc w:val="both"/>
        <w:rPr>
          <w:rFonts w:ascii="Arial" w:hAnsi="Arial" w:cs="Arial"/>
        </w:rPr>
      </w:pPr>
    </w:p>
    <w:p w14:paraId="57CDAA56" w14:textId="77777777" w:rsidR="00ED5FFA" w:rsidRDefault="00ED5FFA" w:rsidP="006B1C49">
      <w:pPr>
        <w:spacing w:line="480" w:lineRule="auto"/>
        <w:jc w:val="both"/>
        <w:rPr>
          <w:rFonts w:ascii="Arial" w:hAnsi="Arial" w:cs="Arial"/>
        </w:rPr>
      </w:pPr>
    </w:p>
    <w:p w14:paraId="66342F1B" w14:textId="77777777" w:rsidR="00ED5FFA" w:rsidRDefault="00ED5FFA" w:rsidP="006B1C49">
      <w:pPr>
        <w:spacing w:line="480" w:lineRule="auto"/>
        <w:jc w:val="both"/>
        <w:rPr>
          <w:rFonts w:ascii="Arial" w:hAnsi="Arial" w:cs="Arial"/>
        </w:rPr>
      </w:pPr>
    </w:p>
    <w:p w14:paraId="4993C2BC" w14:textId="77777777" w:rsidR="00ED5FFA" w:rsidRDefault="00ED5FFA" w:rsidP="006B1C49">
      <w:pPr>
        <w:spacing w:line="480" w:lineRule="auto"/>
        <w:jc w:val="both"/>
        <w:rPr>
          <w:rFonts w:ascii="Arial" w:hAnsi="Arial" w:cs="Arial"/>
        </w:rPr>
      </w:pPr>
    </w:p>
    <w:p w14:paraId="28F811F1" w14:textId="77777777" w:rsidR="00ED5FFA" w:rsidRDefault="00ED5FFA" w:rsidP="006B1C49">
      <w:pPr>
        <w:spacing w:line="480" w:lineRule="auto"/>
        <w:jc w:val="both"/>
        <w:rPr>
          <w:rFonts w:ascii="Arial" w:hAnsi="Arial" w:cs="Arial"/>
        </w:rPr>
      </w:pPr>
    </w:p>
    <w:p w14:paraId="3ABA51DA" w14:textId="77777777" w:rsidR="00ED5FFA" w:rsidRDefault="00ED5FFA" w:rsidP="006B1C49">
      <w:pPr>
        <w:spacing w:line="480" w:lineRule="auto"/>
        <w:jc w:val="both"/>
        <w:rPr>
          <w:rFonts w:ascii="Arial" w:hAnsi="Arial" w:cs="Arial"/>
        </w:rPr>
      </w:pPr>
    </w:p>
    <w:p w14:paraId="53E52687" w14:textId="77777777" w:rsidR="00ED5FFA" w:rsidRDefault="00ED5FFA" w:rsidP="006B1C49">
      <w:pPr>
        <w:spacing w:line="480" w:lineRule="auto"/>
        <w:jc w:val="both"/>
        <w:rPr>
          <w:rFonts w:ascii="Arial" w:hAnsi="Arial" w:cs="Arial"/>
        </w:rPr>
      </w:pPr>
    </w:p>
    <w:p w14:paraId="48936233" w14:textId="77777777" w:rsidR="00ED5FFA" w:rsidRDefault="00ED5FFA" w:rsidP="006B1C49">
      <w:pPr>
        <w:spacing w:line="480" w:lineRule="auto"/>
        <w:jc w:val="both"/>
        <w:rPr>
          <w:rFonts w:ascii="Arial" w:hAnsi="Arial" w:cs="Arial"/>
        </w:rPr>
      </w:pPr>
    </w:p>
    <w:p w14:paraId="65FF180F" w14:textId="4B917750" w:rsidR="00ED5FFA" w:rsidRPr="009E2882" w:rsidRDefault="00ED5FFA" w:rsidP="006B1C49">
      <w:pPr>
        <w:spacing w:line="480" w:lineRule="auto"/>
        <w:jc w:val="both"/>
        <w:rPr>
          <w:rFonts w:ascii="Arial Black" w:hAnsi="Arial Black" w:cs="Arial"/>
          <w:u w:val="dotDash"/>
        </w:rPr>
      </w:pPr>
      <w:r w:rsidRPr="009E2882">
        <w:rPr>
          <w:rFonts w:ascii="Arial Black" w:hAnsi="Arial Black" w:cs="Arial"/>
          <w:u w:val="dotDash"/>
        </w:rPr>
        <w:lastRenderedPageBreak/>
        <w:t xml:space="preserve">References </w:t>
      </w:r>
    </w:p>
    <w:p w14:paraId="071B1399" w14:textId="01FEB86A" w:rsidR="00ED5FFA" w:rsidRPr="00ED5FFA" w:rsidRDefault="00ED5FFA" w:rsidP="009E2882">
      <w:pPr>
        <w:spacing w:line="480" w:lineRule="auto"/>
        <w:ind w:left="720" w:hanging="720"/>
        <w:jc w:val="both"/>
        <w:rPr>
          <w:rFonts w:ascii="Arial" w:hAnsi="Arial" w:cs="Arial"/>
          <w:i/>
          <w:iCs/>
        </w:rPr>
      </w:pPr>
      <w:r w:rsidRPr="00ED5FFA">
        <w:rPr>
          <w:rFonts w:ascii="Arial" w:hAnsi="Arial" w:cs="Arial"/>
        </w:rPr>
        <w:t xml:space="preserve">Amberg, N., &amp; Fogarassy, C. (2019). </w:t>
      </w:r>
      <w:r w:rsidRPr="00ED5FFA">
        <w:rPr>
          <w:rFonts w:ascii="Arial" w:hAnsi="Arial" w:cs="Arial"/>
          <w:i/>
          <w:iCs/>
        </w:rPr>
        <w:t xml:space="preserve">Green consumer </w:t>
      </w:r>
      <w:r w:rsidRPr="00ED5FFA">
        <w:rPr>
          <w:rFonts w:ascii="Arial" w:hAnsi="Arial" w:cs="Arial"/>
          <w:i/>
          <w:iCs/>
        </w:rPr>
        <w:t>behaviour</w:t>
      </w:r>
      <w:r w:rsidRPr="00ED5FFA">
        <w:rPr>
          <w:rFonts w:ascii="Arial" w:hAnsi="Arial" w:cs="Arial"/>
          <w:i/>
          <w:iCs/>
        </w:rPr>
        <w:t xml:space="preserve"> in the cosmetics market</w:t>
      </w:r>
      <w:r>
        <w:rPr>
          <w:rFonts w:ascii="Arial" w:hAnsi="Arial" w:cs="Arial"/>
          <w:i/>
          <w:iCs/>
        </w:rPr>
        <w:t>.</w:t>
      </w:r>
    </w:p>
    <w:p w14:paraId="52DFF24B" w14:textId="60F3E167" w:rsidR="00ED5FFA" w:rsidRPr="00ED5FFA" w:rsidRDefault="00ED5FFA" w:rsidP="009E2882">
      <w:pPr>
        <w:spacing w:line="480" w:lineRule="auto"/>
        <w:ind w:left="720" w:hanging="720"/>
        <w:jc w:val="both"/>
        <w:rPr>
          <w:rFonts w:ascii="Arial" w:hAnsi="Arial" w:cs="Arial"/>
        </w:rPr>
      </w:pPr>
      <w:proofErr w:type="spellStart"/>
      <w:r w:rsidRPr="00ED5FFA">
        <w:rPr>
          <w:rFonts w:ascii="Arial" w:hAnsi="Arial" w:cs="Arial"/>
        </w:rPr>
        <w:t>Amrina</w:t>
      </w:r>
      <w:proofErr w:type="spellEnd"/>
      <w:r w:rsidRPr="00ED5FFA">
        <w:rPr>
          <w:rFonts w:ascii="Arial" w:hAnsi="Arial" w:cs="Arial"/>
        </w:rPr>
        <w:t xml:space="preserve">, U., </w:t>
      </w:r>
      <w:proofErr w:type="spellStart"/>
      <w:r w:rsidRPr="00ED5FFA">
        <w:rPr>
          <w:rFonts w:ascii="Arial" w:hAnsi="Arial" w:cs="Arial"/>
        </w:rPr>
        <w:t>Hidayatno</w:t>
      </w:r>
      <w:proofErr w:type="spellEnd"/>
      <w:r w:rsidRPr="00ED5FFA">
        <w:rPr>
          <w:rFonts w:ascii="Arial" w:hAnsi="Arial" w:cs="Arial"/>
        </w:rPr>
        <w:t xml:space="preserve">, A., &amp; </w:t>
      </w:r>
      <w:proofErr w:type="spellStart"/>
      <w:r w:rsidRPr="00ED5FFA">
        <w:rPr>
          <w:rFonts w:ascii="Arial" w:hAnsi="Arial" w:cs="Arial"/>
        </w:rPr>
        <w:t>Zagloel</w:t>
      </w:r>
      <w:proofErr w:type="spellEnd"/>
      <w:r w:rsidRPr="00ED5FFA">
        <w:rPr>
          <w:rFonts w:ascii="Arial" w:hAnsi="Arial" w:cs="Arial"/>
        </w:rPr>
        <w:t xml:space="preserve">, T. Y. M. (2021). A model-based strategy for developing sustainable cosmetics small and medium industries with system dynamics. </w:t>
      </w:r>
      <w:r w:rsidRPr="00ED5FFA">
        <w:rPr>
          <w:rFonts w:ascii="Arial" w:hAnsi="Arial" w:cs="Arial"/>
          <w:i/>
          <w:iCs/>
        </w:rPr>
        <w:t>Journal of Open Innovation: Technology, Market, and Complexity, 7</w:t>
      </w:r>
      <w:r w:rsidRPr="00ED5FFA">
        <w:rPr>
          <w:rFonts w:ascii="Arial" w:hAnsi="Arial" w:cs="Arial"/>
        </w:rPr>
        <w:t>(4), 225.</w:t>
      </w:r>
    </w:p>
    <w:p w14:paraId="7A550AB2" w14:textId="77777777" w:rsidR="00ED5FFA" w:rsidRPr="00ED5FFA" w:rsidRDefault="00ED5FFA" w:rsidP="009E2882">
      <w:pPr>
        <w:spacing w:line="480" w:lineRule="auto"/>
        <w:ind w:left="720" w:hanging="720"/>
        <w:jc w:val="both"/>
        <w:rPr>
          <w:rFonts w:ascii="Arial" w:hAnsi="Arial" w:cs="Arial"/>
        </w:rPr>
      </w:pPr>
      <w:r w:rsidRPr="00ED5FFA">
        <w:rPr>
          <w:rFonts w:ascii="Arial" w:hAnsi="Arial" w:cs="Arial"/>
        </w:rPr>
        <w:t xml:space="preserve">Anbarasan, P. (2018). Stakeholder engagement in sustainable enterprise: Evolving a conceptual framework, and a case study of ITC. </w:t>
      </w:r>
      <w:r w:rsidRPr="00ED5FFA">
        <w:rPr>
          <w:rFonts w:ascii="Arial" w:hAnsi="Arial" w:cs="Arial"/>
          <w:i/>
          <w:iCs/>
        </w:rPr>
        <w:t>Business Strategy &amp; the Environment, 27</w:t>
      </w:r>
      <w:r w:rsidRPr="00ED5FFA">
        <w:rPr>
          <w:rFonts w:ascii="Arial" w:hAnsi="Arial" w:cs="Arial"/>
        </w:rPr>
        <w:t>(3), 282–300.</w:t>
      </w:r>
    </w:p>
    <w:p w14:paraId="291257B4" w14:textId="77777777" w:rsidR="00ED5FFA" w:rsidRPr="00ED5FFA" w:rsidRDefault="00ED5FFA" w:rsidP="009E2882">
      <w:pPr>
        <w:spacing w:line="480" w:lineRule="auto"/>
        <w:ind w:left="720" w:hanging="720"/>
        <w:jc w:val="both"/>
        <w:rPr>
          <w:rFonts w:ascii="Arial" w:hAnsi="Arial" w:cs="Arial"/>
        </w:rPr>
      </w:pPr>
      <w:proofErr w:type="spellStart"/>
      <w:r w:rsidRPr="00ED5FFA">
        <w:rPr>
          <w:rFonts w:ascii="Arial" w:hAnsi="Arial" w:cs="Arial"/>
        </w:rPr>
        <w:t>Chofreh</w:t>
      </w:r>
      <w:proofErr w:type="spellEnd"/>
      <w:r w:rsidRPr="00ED5FFA">
        <w:rPr>
          <w:rFonts w:ascii="Arial" w:hAnsi="Arial" w:cs="Arial"/>
        </w:rPr>
        <w:t xml:space="preserve">, A. G. (2018). Sustainable enterprise resource planning systems implementation: A framework development. </w:t>
      </w:r>
      <w:r w:rsidRPr="00ED5FFA">
        <w:rPr>
          <w:rFonts w:ascii="Arial" w:hAnsi="Arial" w:cs="Arial"/>
          <w:i/>
          <w:iCs/>
        </w:rPr>
        <w:t>Journal of Cleaner Production, 198</w:t>
      </w:r>
      <w:r w:rsidRPr="00ED5FFA">
        <w:rPr>
          <w:rFonts w:ascii="Arial" w:hAnsi="Arial" w:cs="Arial"/>
        </w:rPr>
        <w:t>, 1345–1355.</w:t>
      </w:r>
    </w:p>
    <w:p w14:paraId="3D7DBA0C" w14:textId="77777777" w:rsidR="009E2882" w:rsidRDefault="00ED5FFA" w:rsidP="009E2882">
      <w:pPr>
        <w:spacing w:line="480" w:lineRule="auto"/>
        <w:ind w:left="720" w:hanging="720"/>
        <w:jc w:val="both"/>
        <w:rPr>
          <w:rFonts w:ascii="Arial" w:hAnsi="Arial" w:cs="Arial"/>
        </w:rPr>
      </w:pPr>
      <w:r w:rsidRPr="00ED5FFA">
        <w:rPr>
          <w:rFonts w:ascii="Arial" w:hAnsi="Arial" w:cs="Arial"/>
        </w:rPr>
        <w:t xml:space="preserve">Csorba, L. M., &amp; </w:t>
      </w:r>
      <w:proofErr w:type="spellStart"/>
      <w:r w:rsidRPr="00ED5FFA">
        <w:rPr>
          <w:rFonts w:ascii="Arial" w:hAnsi="Arial" w:cs="Arial"/>
        </w:rPr>
        <w:t>Boglea</w:t>
      </w:r>
      <w:proofErr w:type="spellEnd"/>
      <w:r w:rsidRPr="00ED5FFA">
        <w:rPr>
          <w:rFonts w:ascii="Arial" w:hAnsi="Arial" w:cs="Arial"/>
        </w:rPr>
        <w:t xml:space="preserve">, V. A. (2011). Sustainable cosmetics: A major instrument in protecting the consumer’s interest. </w:t>
      </w:r>
      <w:r w:rsidRPr="00ED5FFA">
        <w:rPr>
          <w:rFonts w:ascii="Arial" w:hAnsi="Arial" w:cs="Arial"/>
          <w:i/>
          <w:iCs/>
        </w:rPr>
        <w:t>Regional and Business Studies, 3</w:t>
      </w:r>
      <w:r w:rsidRPr="00ED5FFA">
        <w:rPr>
          <w:rFonts w:ascii="Arial" w:hAnsi="Arial" w:cs="Arial"/>
        </w:rPr>
        <w:t>(1 Suppl.), 167–176.</w:t>
      </w:r>
    </w:p>
    <w:p w14:paraId="03E6A8EE" w14:textId="7AF25397" w:rsidR="00ED5FFA" w:rsidRPr="00ED5FFA" w:rsidRDefault="00ED5FFA" w:rsidP="009E2882">
      <w:pPr>
        <w:spacing w:line="480" w:lineRule="auto"/>
        <w:ind w:left="720" w:hanging="720"/>
        <w:jc w:val="both"/>
        <w:rPr>
          <w:rFonts w:ascii="Arial" w:hAnsi="Arial" w:cs="Arial"/>
        </w:rPr>
      </w:pPr>
      <w:r w:rsidRPr="00ED5FFA">
        <w:rPr>
          <w:rFonts w:ascii="Arial" w:hAnsi="Arial" w:cs="Arial"/>
        </w:rPr>
        <w:t xml:space="preserve">Edgeman, R., &amp; Eskildsen, J. (2014). Modelling and assessing sustainable enterprise excellence. </w:t>
      </w:r>
      <w:r w:rsidRPr="009E2882">
        <w:rPr>
          <w:rFonts w:ascii="Arial" w:hAnsi="Arial" w:cs="Arial"/>
          <w:i/>
          <w:iCs/>
        </w:rPr>
        <w:t>Business Strategy and the Environment, 23</w:t>
      </w:r>
      <w:r w:rsidRPr="00ED5FFA">
        <w:rPr>
          <w:rFonts w:ascii="Arial" w:hAnsi="Arial" w:cs="Arial"/>
        </w:rPr>
        <w:t>(3), 173–187.</w:t>
      </w:r>
    </w:p>
    <w:p w14:paraId="5E55FB77" w14:textId="77777777" w:rsidR="00ED5FFA" w:rsidRPr="00ED5FFA" w:rsidRDefault="00ED5FFA" w:rsidP="009E2882">
      <w:pPr>
        <w:spacing w:line="480" w:lineRule="auto"/>
        <w:ind w:left="720" w:hanging="720"/>
        <w:jc w:val="both"/>
        <w:rPr>
          <w:rFonts w:ascii="Arial" w:hAnsi="Arial" w:cs="Arial"/>
        </w:rPr>
      </w:pPr>
      <w:r w:rsidRPr="00ED5FFA">
        <w:rPr>
          <w:rFonts w:ascii="Arial" w:hAnsi="Arial" w:cs="Arial"/>
        </w:rPr>
        <w:t xml:space="preserve">Elkington, J. (1997). </w:t>
      </w:r>
      <w:r w:rsidRPr="009E2882">
        <w:rPr>
          <w:rFonts w:ascii="Arial" w:hAnsi="Arial" w:cs="Arial"/>
          <w:i/>
          <w:iCs/>
        </w:rPr>
        <w:t xml:space="preserve">Cannibals with forks: The triple bottom line of 21st century business. </w:t>
      </w:r>
      <w:r w:rsidRPr="00ED5FFA">
        <w:rPr>
          <w:rFonts w:ascii="Arial" w:hAnsi="Arial" w:cs="Arial"/>
        </w:rPr>
        <w:t>Capstone.</w:t>
      </w:r>
    </w:p>
    <w:p w14:paraId="584758F0" w14:textId="77777777" w:rsidR="00ED5FFA" w:rsidRPr="00ED5FFA" w:rsidRDefault="00ED5FFA" w:rsidP="009E2882">
      <w:pPr>
        <w:spacing w:line="480" w:lineRule="auto"/>
        <w:ind w:left="720" w:hanging="720"/>
        <w:jc w:val="both"/>
        <w:rPr>
          <w:rFonts w:ascii="Arial" w:hAnsi="Arial" w:cs="Arial"/>
        </w:rPr>
      </w:pPr>
      <w:proofErr w:type="spellStart"/>
      <w:r w:rsidRPr="00ED5FFA">
        <w:rPr>
          <w:rFonts w:ascii="Arial" w:hAnsi="Arial" w:cs="Arial"/>
        </w:rPr>
        <w:t>Febrizal</w:t>
      </w:r>
      <w:proofErr w:type="spellEnd"/>
      <w:r w:rsidRPr="00ED5FFA">
        <w:rPr>
          <w:rFonts w:ascii="Arial" w:hAnsi="Arial" w:cs="Arial"/>
        </w:rPr>
        <w:t xml:space="preserve"> </w:t>
      </w:r>
      <w:proofErr w:type="spellStart"/>
      <w:r w:rsidRPr="00ED5FFA">
        <w:rPr>
          <w:rFonts w:ascii="Arial" w:hAnsi="Arial" w:cs="Arial"/>
        </w:rPr>
        <w:t>Rahmana</w:t>
      </w:r>
      <w:proofErr w:type="spellEnd"/>
      <w:r w:rsidRPr="00ED5FFA">
        <w:rPr>
          <w:rFonts w:ascii="Arial" w:hAnsi="Arial" w:cs="Arial"/>
        </w:rPr>
        <w:t xml:space="preserve">, &amp; </w:t>
      </w:r>
      <w:proofErr w:type="spellStart"/>
      <w:r w:rsidRPr="00ED5FFA">
        <w:rPr>
          <w:rFonts w:ascii="Arial" w:hAnsi="Arial" w:cs="Arial"/>
        </w:rPr>
        <w:t>Bawono</w:t>
      </w:r>
      <w:proofErr w:type="spellEnd"/>
      <w:r w:rsidRPr="00ED5FFA">
        <w:rPr>
          <w:rFonts w:ascii="Arial" w:hAnsi="Arial" w:cs="Arial"/>
        </w:rPr>
        <w:t xml:space="preserve">, A. (2020). Sustainable development toward sustainable enterprise. </w:t>
      </w:r>
      <w:r w:rsidRPr="009E2882">
        <w:rPr>
          <w:rFonts w:ascii="Arial" w:hAnsi="Arial" w:cs="Arial"/>
          <w:i/>
          <w:iCs/>
        </w:rPr>
        <w:t>Management Science Letters, 11</w:t>
      </w:r>
      <w:r w:rsidRPr="00ED5FFA">
        <w:rPr>
          <w:rFonts w:ascii="Arial" w:hAnsi="Arial" w:cs="Arial"/>
        </w:rPr>
        <w:t>(2), 657–668.</w:t>
      </w:r>
    </w:p>
    <w:p w14:paraId="295F60FB" w14:textId="1D4DA7D5" w:rsidR="00ED5FFA" w:rsidRPr="00ED5FFA" w:rsidRDefault="00ED5FFA" w:rsidP="009D3718">
      <w:pPr>
        <w:spacing w:line="480" w:lineRule="auto"/>
        <w:ind w:left="720" w:hanging="720"/>
        <w:jc w:val="both"/>
        <w:rPr>
          <w:rFonts w:ascii="Arial" w:hAnsi="Arial" w:cs="Arial"/>
        </w:rPr>
      </w:pPr>
      <w:r w:rsidRPr="00ED5FFA">
        <w:rPr>
          <w:rFonts w:ascii="Arial" w:hAnsi="Arial" w:cs="Arial"/>
        </w:rPr>
        <w:lastRenderedPageBreak/>
        <w:t xml:space="preserve">Kotler, P., &amp; Keller, K. L. (2016). </w:t>
      </w:r>
      <w:r w:rsidRPr="009E2882">
        <w:rPr>
          <w:rFonts w:ascii="Arial" w:hAnsi="Arial" w:cs="Arial"/>
          <w:i/>
          <w:iCs/>
        </w:rPr>
        <w:t>Marketing management</w:t>
      </w:r>
      <w:r w:rsidRPr="00ED5FFA">
        <w:rPr>
          <w:rFonts w:ascii="Arial" w:hAnsi="Arial" w:cs="Arial"/>
        </w:rPr>
        <w:t xml:space="preserve"> (15th ed.). Pearson.</w:t>
      </w:r>
    </w:p>
    <w:p w14:paraId="7FCF52D9" w14:textId="1B57314F" w:rsidR="00ED5FFA" w:rsidRPr="00ED5FFA" w:rsidRDefault="00ED5FFA" w:rsidP="009E2882">
      <w:pPr>
        <w:spacing w:line="480" w:lineRule="auto"/>
        <w:ind w:left="720" w:hanging="720"/>
        <w:jc w:val="both"/>
        <w:rPr>
          <w:rFonts w:ascii="Arial" w:hAnsi="Arial" w:cs="Arial"/>
        </w:rPr>
      </w:pPr>
      <w:r w:rsidRPr="00ED5FFA">
        <w:rPr>
          <w:rFonts w:ascii="Arial" w:hAnsi="Arial" w:cs="Arial"/>
        </w:rPr>
        <w:t xml:space="preserve">Lin, Y., Yang, S., Hanifah, H., &amp; Iqbal, Q. (2018). An exploratory study of consumer attitudes toward green cosmetics in the UK market. </w:t>
      </w:r>
      <w:r w:rsidRPr="009E2882">
        <w:rPr>
          <w:rFonts w:ascii="Arial" w:hAnsi="Arial" w:cs="Arial"/>
          <w:i/>
          <w:iCs/>
        </w:rPr>
        <w:t>Administrative Sciences, 8</w:t>
      </w:r>
      <w:r w:rsidRPr="00ED5FFA">
        <w:rPr>
          <w:rFonts w:ascii="Arial" w:hAnsi="Arial" w:cs="Arial"/>
        </w:rPr>
        <w:t>(4), 71.</w:t>
      </w:r>
    </w:p>
    <w:p w14:paraId="4FAA4E96" w14:textId="77777777" w:rsidR="00ED5FFA" w:rsidRPr="00ED5FFA" w:rsidRDefault="00ED5FFA" w:rsidP="009E2882">
      <w:pPr>
        <w:spacing w:line="480" w:lineRule="auto"/>
        <w:ind w:left="720" w:hanging="720"/>
        <w:jc w:val="both"/>
        <w:rPr>
          <w:rFonts w:ascii="Arial" w:hAnsi="Arial" w:cs="Arial"/>
        </w:rPr>
      </w:pPr>
      <w:r w:rsidRPr="00ED5FFA">
        <w:rPr>
          <w:rFonts w:ascii="Arial" w:hAnsi="Arial" w:cs="Arial"/>
        </w:rPr>
        <w:t xml:space="preserve">Porter, M. E. (2008). The five competitive forces that shape strategy. </w:t>
      </w:r>
      <w:r w:rsidRPr="009E2882">
        <w:rPr>
          <w:rFonts w:ascii="Arial" w:hAnsi="Arial" w:cs="Arial"/>
          <w:i/>
          <w:iCs/>
        </w:rPr>
        <w:t>Harvard Business Review, 86</w:t>
      </w:r>
      <w:r w:rsidRPr="00ED5FFA">
        <w:rPr>
          <w:rFonts w:ascii="Arial" w:hAnsi="Arial" w:cs="Arial"/>
        </w:rPr>
        <w:t>(1), 78–93.</w:t>
      </w:r>
    </w:p>
    <w:p w14:paraId="27F3469B" w14:textId="2DF9A478" w:rsidR="00ED5FFA" w:rsidRDefault="00ED5FFA" w:rsidP="009E2882">
      <w:pPr>
        <w:spacing w:line="480" w:lineRule="auto"/>
        <w:ind w:left="720" w:hanging="720"/>
        <w:jc w:val="both"/>
        <w:rPr>
          <w:rFonts w:ascii="Arial" w:hAnsi="Arial" w:cs="Arial"/>
        </w:rPr>
      </w:pPr>
      <w:r w:rsidRPr="00ED5FFA">
        <w:rPr>
          <w:rFonts w:ascii="Arial" w:hAnsi="Arial" w:cs="Arial"/>
        </w:rPr>
        <w:t xml:space="preserve">Thompson, F. M. M. (2010). </w:t>
      </w:r>
      <w:r w:rsidRPr="009E2882">
        <w:rPr>
          <w:rFonts w:ascii="Arial" w:hAnsi="Arial" w:cs="Arial"/>
          <w:i/>
          <w:iCs/>
        </w:rPr>
        <w:t>Social enterprise: Developing sustainable enterprises</w:t>
      </w:r>
      <w:r w:rsidRPr="00ED5FFA">
        <w:rPr>
          <w:rFonts w:ascii="Arial" w:hAnsi="Arial" w:cs="Arial"/>
        </w:rPr>
        <w:t>. Palgrave Macmillan.</w:t>
      </w:r>
    </w:p>
    <w:p w14:paraId="7D8C45F9" w14:textId="0794B5C1" w:rsidR="009E2882" w:rsidRDefault="009E2882" w:rsidP="009E2882">
      <w:pPr>
        <w:spacing w:line="480" w:lineRule="auto"/>
        <w:ind w:left="720" w:hanging="720"/>
        <w:jc w:val="both"/>
        <w:rPr>
          <w:rFonts w:ascii="Arial" w:hAnsi="Arial" w:cs="Arial"/>
        </w:rPr>
      </w:pPr>
      <w:hyperlink r:id="rId7" w:history="1">
        <w:r w:rsidRPr="00BC664B">
          <w:rPr>
            <w:rStyle w:val="Hyperlink"/>
            <w:rFonts w:ascii="Arial" w:hAnsi="Arial" w:cs="Arial"/>
          </w:rPr>
          <w:t>https://www.gov.uk/government/groups/council-for-sustainable-business</w:t>
        </w:r>
      </w:hyperlink>
    </w:p>
    <w:p w14:paraId="16C519F1" w14:textId="301610EF" w:rsidR="009E2882" w:rsidRDefault="009E2882" w:rsidP="009E2882">
      <w:pPr>
        <w:spacing w:line="480" w:lineRule="auto"/>
        <w:ind w:left="720" w:hanging="720"/>
        <w:jc w:val="both"/>
        <w:rPr>
          <w:rFonts w:ascii="Arial" w:hAnsi="Arial" w:cs="Arial"/>
        </w:rPr>
      </w:pPr>
      <w:hyperlink r:id="rId8" w:history="1">
        <w:r w:rsidRPr="00BC664B">
          <w:rPr>
            <w:rStyle w:val="Hyperlink"/>
            <w:rFonts w:ascii="Arial" w:hAnsi="Arial" w:cs="Arial"/>
          </w:rPr>
          <w:t>https://www.mdpi.com/2076-3417/13/16/9168</w:t>
        </w:r>
      </w:hyperlink>
    </w:p>
    <w:p w14:paraId="4DF0AD0E" w14:textId="77777777" w:rsidR="009E2882" w:rsidRPr="00857962" w:rsidRDefault="009E2882" w:rsidP="00ED5FFA">
      <w:pPr>
        <w:spacing w:line="480" w:lineRule="auto"/>
        <w:jc w:val="both"/>
        <w:rPr>
          <w:rFonts w:ascii="Arial" w:hAnsi="Arial" w:cs="Arial"/>
        </w:rPr>
      </w:pPr>
    </w:p>
    <w:sectPr w:rsidR="009E2882" w:rsidRPr="00857962" w:rsidSect="009E2882">
      <w:headerReference w:type="default" r:id="rId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8A71FF" w14:textId="77777777" w:rsidR="0074358B" w:rsidRDefault="0074358B" w:rsidP="00ED5FFA">
      <w:pPr>
        <w:spacing w:after="0" w:line="240" w:lineRule="auto"/>
      </w:pPr>
      <w:r>
        <w:separator/>
      </w:r>
    </w:p>
  </w:endnote>
  <w:endnote w:type="continuationSeparator" w:id="0">
    <w:p w14:paraId="773E6129" w14:textId="77777777" w:rsidR="0074358B" w:rsidRDefault="0074358B" w:rsidP="00ED5F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7A433A" w14:textId="77777777" w:rsidR="0074358B" w:rsidRDefault="0074358B" w:rsidP="00ED5FFA">
      <w:pPr>
        <w:spacing w:after="0" w:line="240" w:lineRule="auto"/>
      </w:pPr>
      <w:r>
        <w:separator/>
      </w:r>
    </w:p>
  </w:footnote>
  <w:footnote w:type="continuationSeparator" w:id="0">
    <w:p w14:paraId="0056606F" w14:textId="77777777" w:rsidR="0074358B" w:rsidRDefault="0074358B" w:rsidP="00ED5FF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color w:val="7F7F7F" w:themeColor="background1" w:themeShade="7F"/>
        <w:spacing w:val="60"/>
      </w:rPr>
      <w:id w:val="-1186671887"/>
      <w:docPartObj>
        <w:docPartGallery w:val="Page Numbers (Top of Page)"/>
        <w:docPartUnique/>
      </w:docPartObj>
    </w:sdtPr>
    <w:sdtEndPr>
      <w:rPr>
        <w:b/>
        <w:bCs/>
        <w:noProof/>
        <w:color w:val="auto"/>
        <w:spacing w:val="0"/>
      </w:rPr>
    </w:sdtEndPr>
    <w:sdtContent>
      <w:p w14:paraId="7C915105" w14:textId="7C0811E0" w:rsidR="00ED5FFA" w:rsidRDefault="00ED5FFA">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2</w:t>
        </w:r>
        <w:r>
          <w:rPr>
            <w:b/>
            <w:bCs/>
            <w:noProof/>
          </w:rPr>
          <w:fldChar w:fldCharType="end"/>
        </w:r>
      </w:p>
    </w:sdtContent>
  </w:sdt>
  <w:p w14:paraId="484FE40A" w14:textId="77777777" w:rsidR="00ED5FFA" w:rsidRDefault="00ED5FF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7962"/>
    <w:rsid w:val="0042312D"/>
    <w:rsid w:val="006B1C49"/>
    <w:rsid w:val="0074358B"/>
    <w:rsid w:val="00857962"/>
    <w:rsid w:val="009D3718"/>
    <w:rsid w:val="009E2882"/>
    <w:rsid w:val="00CB76E6"/>
    <w:rsid w:val="00ED5F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B471E7"/>
  <w15:chartTrackingRefBased/>
  <w15:docId w15:val="{AA4E11E1-027D-4B65-9A92-30DB90D08C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5796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5796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5796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5796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5796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5796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5796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5796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5796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5796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5796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5796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5796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5796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5796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5796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5796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57962"/>
    <w:rPr>
      <w:rFonts w:eastAsiaTheme="majorEastAsia" w:cstheme="majorBidi"/>
      <w:color w:val="272727" w:themeColor="text1" w:themeTint="D8"/>
    </w:rPr>
  </w:style>
  <w:style w:type="paragraph" w:styleId="Title">
    <w:name w:val="Title"/>
    <w:basedOn w:val="Normal"/>
    <w:next w:val="Normal"/>
    <w:link w:val="TitleChar"/>
    <w:uiPriority w:val="10"/>
    <w:qFormat/>
    <w:rsid w:val="0085796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5796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5796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5796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57962"/>
    <w:pPr>
      <w:spacing w:before="160"/>
      <w:jc w:val="center"/>
    </w:pPr>
    <w:rPr>
      <w:i/>
      <w:iCs/>
      <w:color w:val="404040" w:themeColor="text1" w:themeTint="BF"/>
    </w:rPr>
  </w:style>
  <w:style w:type="character" w:customStyle="1" w:styleId="QuoteChar">
    <w:name w:val="Quote Char"/>
    <w:basedOn w:val="DefaultParagraphFont"/>
    <w:link w:val="Quote"/>
    <w:uiPriority w:val="29"/>
    <w:rsid w:val="00857962"/>
    <w:rPr>
      <w:i/>
      <w:iCs/>
      <w:color w:val="404040" w:themeColor="text1" w:themeTint="BF"/>
    </w:rPr>
  </w:style>
  <w:style w:type="paragraph" w:styleId="ListParagraph">
    <w:name w:val="List Paragraph"/>
    <w:basedOn w:val="Normal"/>
    <w:uiPriority w:val="34"/>
    <w:qFormat/>
    <w:rsid w:val="00857962"/>
    <w:pPr>
      <w:ind w:left="720"/>
      <w:contextualSpacing/>
    </w:pPr>
  </w:style>
  <w:style w:type="character" w:styleId="IntenseEmphasis">
    <w:name w:val="Intense Emphasis"/>
    <w:basedOn w:val="DefaultParagraphFont"/>
    <w:uiPriority w:val="21"/>
    <w:qFormat/>
    <w:rsid w:val="00857962"/>
    <w:rPr>
      <w:i/>
      <w:iCs/>
      <w:color w:val="0F4761" w:themeColor="accent1" w:themeShade="BF"/>
    </w:rPr>
  </w:style>
  <w:style w:type="paragraph" w:styleId="IntenseQuote">
    <w:name w:val="Intense Quote"/>
    <w:basedOn w:val="Normal"/>
    <w:next w:val="Normal"/>
    <w:link w:val="IntenseQuoteChar"/>
    <w:uiPriority w:val="30"/>
    <w:qFormat/>
    <w:rsid w:val="0085796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57962"/>
    <w:rPr>
      <w:i/>
      <w:iCs/>
      <w:color w:val="0F4761" w:themeColor="accent1" w:themeShade="BF"/>
    </w:rPr>
  </w:style>
  <w:style w:type="character" w:styleId="IntenseReference">
    <w:name w:val="Intense Reference"/>
    <w:basedOn w:val="DefaultParagraphFont"/>
    <w:uiPriority w:val="32"/>
    <w:qFormat/>
    <w:rsid w:val="00857962"/>
    <w:rPr>
      <w:b/>
      <w:bCs/>
      <w:smallCaps/>
      <w:color w:val="0F4761" w:themeColor="accent1" w:themeShade="BF"/>
      <w:spacing w:val="5"/>
    </w:rPr>
  </w:style>
  <w:style w:type="paragraph" w:styleId="Header">
    <w:name w:val="header"/>
    <w:basedOn w:val="Normal"/>
    <w:link w:val="HeaderChar"/>
    <w:uiPriority w:val="99"/>
    <w:unhideWhenUsed/>
    <w:rsid w:val="00ED5FFA"/>
    <w:pPr>
      <w:tabs>
        <w:tab w:val="center" w:pos="4513"/>
        <w:tab w:val="right" w:pos="9026"/>
      </w:tabs>
      <w:spacing w:after="0" w:line="240" w:lineRule="auto"/>
    </w:pPr>
  </w:style>
  <w:style w:type="character" w:customStyle="1" w:styleId="HeaderChar">
    <w:name w:val="Header Char"/>
    <w:basedOn w:val="DefaultParagraphFont"/>
    <w:link w:val="Header"/>
    <w:uiPriority w:val="99"/>
    <w:rsid w:val="00ED5FFA"/>
  </w:style>
  <w:style w:type="paragraph" w:styleId="Footer">
    <w:name w:val="footer"/>
    <w:basedOn w:val="Normal"/>
    <w:link w:val="FooterChar"/>
    <w:uiPriority w:val="99"/>
    <w:unhideWhenUsed/>
    <w:rsid w:val="00ED5FFA"/>
    <w:pPr>
      <w:tabs>
        <w:tab w:val="center" w:pos="4513"/>
        <w:tab w:val="right" w:pos="9026"/>
      </w:tabs>
      <w:spacing w:after="0" w:line="240" w:lineRule="auto"/>
    </w:pPr>
  </w:style>
  <w:style w:type="character" w:customStyle="1" w:styleId="FooterChar">
    <w:name w:val="Footer Char"/>
    <w:basedOn w:val="DefaultParagraphFont"/>
    <w:link w:val="Footer"/>
    <w:uiPriority w:val="99"/>
    <w:rsid w:val="00ED5FFA"/>
  </w:style>
  <w:style w:type="character" w:styleId="Hyperlink">
    <w:name w:val="Hyperlink"/>
    <w:basedOn w:val="DefaultParagraphFont"/>
    <w:uiPriority w:val="99"/>
    <w:unhideWhenUsed/>
    <w:rsid w:val="009E2882"/>
    <w:rPr>
      <w:color w:val="467886" w:themeColor="hyperlink"/>
      <w:u w:val="single"/>
    </w:rPr>
  </w:style>
  <w:style w:type="character" w:styleId="UnresolvedMention">
    <w:name w:val="Unresolved Mention"/>
    <w:basedOn w:val="DefaultParagraphFont"/>
    <w:uiPriority w:val="99"/>
    <w:semiHidden/>
    <w:unhideWhenUsed/>
    <w:rsid w:val="009E2882"/>
    <w:rPr>
      <w:color w:val="605E5C"/>
      <w:shd w:val="clear" w:color="auto" w:fill="E1DFDD"/>
    </w:rPr>
  </w:style>
  <w:style w:type="paragraph" w:styleId="NoSpacing">
    <w:name w:val="No Spacing"/>
    <w:link w:val="NoSpacingChar"/>
    <w:uiPriority w:val="1"/>
    <w:qFormat/>
    <w:rsid w:val="009E2882"/>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9E2882"/>
    <w:rPr>
      <w:rFonts w:eastAsiaTheme="minorEastAsia"/>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5751907">
      <w:bodyDiv w:val="1"/>
      <w:marLeft w:val="0"/>
      <w:marRight w:val="0"/>
      <w:marTop w:val="0"/>
      <w:marBottom w:val="0"/>
      <w:divBdr>
        <w:top w:val="none" w:sz="0" w:space="0" w:color="auto"/>
        <w:left w:val="none" w:sz="0" w:space="0" w:color="auto"/>
        <w:bottom w:val="none" w:sz="0" w:space="0" w:color="auto"/>
        <w:right w:val="none" w:sz="0" w:space="0" w:color="auto"/>
      </w:divBdr>
    </w:div>
    <w:div w:id="13672146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dpi.com/2076-3417/13/16/9168" TargetMode="External"/><Relationship Id="rId3" Type="http://schemas.openxmlformats.org/officeDocument/2006/relationships/settings" Target="settings.xml"/><Relationship Id="rId7" Type="http://schemas.openxmlformats.org/officeDocument/2006/relationships/hyperlink" Target="https://www.gov.uk/government/groups/council-for-sustainable-business"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2025-03-14T00:00:00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14</Pages>
  <Words>2700</Words>
  <Characters>15395</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GreenGlow Cosmetics</dc:title>
  <dc:subject>BUSINESS PLAN</dc:subject>
  <dc:creator>Mirabela Voican (1907947)</dc:creator>
  <cp:keywords/>
  <dc:description/>
  <cp:lastModifiedBy>Mirabela Voican (1907947)</cp:lastModifiedBy>
  <cp:revision>2</cp:revision>
  <dcterms:created xsi:type="dcterms:W3CDTF">2025-03-14T12:48:00Z</dcterms:created>
  <dcterms:modified xsi:type="dcterms:W3CDTF">2025-03-14T13:56:00Z</dcterms:modified>
</cp:coreProperties>
</file>