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E45F22" w14:textId="381E03EE" w:rsidR="00EA2330" w:rsidRPr="00D764BC" w:rsidRDefault="007770F4" w:rsidP="00D764BC">
      <w:pPr>
        <w:pStyle w:val="IntenseQuote"/>
        <w:jc w:val="both"/>
        <w:rPr>
          <w:sz w:val="32"/>
          <w:szCs w:val="32"/>
        </w:rPr>
      </w:pPr>
      <w:r>
        <w:rPr>
          <w:sz w:val="32"/>
          <w:szCs w:val="32"/>
        </w:rPr>
        <w:t>Contract Law</w:t>
      </w:r>
    </w:p>
    <w:p w14:paraId="2F5CE2EB" w14:textId="2F3EB0CD" w:rsidR="00D764BC" w:rsidRDefault="00D764BC" w:rsidP="00D764BC">
      <w:pPr>
        <w:spacing w:after="0"/>
      </w:pPr>
    </w:p>
    <w:p w14:paraId="6F4CB8DD" w14:textId="256245B0" w:rsidR="007F707C" w:rsidRDefault="00D764BC" w:rsidP="00816E1C">
      <w:pPr>
        <w:spacing w:after="0"/>
        <w:jc w:val="both"/>
      </w:pPr>
      <w:r>
        <w:t xml:space="preserve">In this assignment I will </w:t>
      </w:r>
      <w:r w:rsidR="00E37113">
        <w:t>demonstrate</w:t>
      </w:r>
      <w:r w:rsidR="00C7205F">
        <w:t xml:space="preserve"> </w:t>
      </w:r>
      <w:r w:rsidR="00E37113">
        <w:t>the fundamental principles and concepts which underpin contract law and the underlying policy considerations. Also</w:t>
      </w:r>
      <w:r w:rsidR="00313412">
        <w:t xml:space="preserve"> looking at systematic understanding of the fundamental legal techniques of reasoning from precedent and interpreting statutes, including knowledge of fact-finding</w:t>
      </w:r>
      <w:r w:rsidR="004F7EC7">
        <w:t>.</w:t>
      </w:r>
    </w:p>
    <w:p w14:paraId="6CB9504E" w14:textId="77777777" w:rsidR="00D12F45" w:rsidRDefault="00D12F45" w:rsidP="00817D84">
      <w:pPr>
        <w:spacing w:after="0"/>
        <w:jc w:val="both"/>
      </w:pPr>
    </w:p>
    <w:p w14:paraId="168AF4D7" w14:textId="3E0721CD" w:rsidR="004F0E49" w:rsidRPr="00DF7887" w:rsidRDefault="009C45F6" w:rsidP="00817D84">
      <w:pPr>
        <w:spacing w:after="0"/>
        <w:jc w:val="both"/>
        <w:rPr>
          <w:b/>
          <w:bCs/>
        </w:rPr>
      </w:pPr>
      <w:r w:rsidRPr="00DF7887">
        <w:rPr>
          <w:b/>
          <w:bCs/>
        </w:rPr>
        <w:t xml:space="preserve">The fundamental principles and concepts </w:t>
      </w:r>
      <w:r w:rsidR="00D12F45" w:rsidRPr="00DF7887">
        <w:rPr>
          <w:b/>
          <w:bCs/>
        </w:rPr>
        <w:t>aspects of the law of contract</w:t>
      </w:r>
      <w:r w:rsidRPr="00DF7887">
        <w:rPr>
          <w:b/>
          <w:bCs/>
        </w:rPr>
        <w:t>:</w:t>
      </w:r>
    </w:p>
    <w:p w14:paraId="3F02EB1C" w14:textId="77777777" w:rsidR="00D12F45" w:rsidRDefault="00D12F45" w:rsidP="00817D84">
      <w:pPr>
        <w:spacing w:after="0"/>
        <w:jc w:val="both"/>
      </w:pPr>
    </w:p>
    <w:p w14:paraId="3CADFBAA" w14:textId="07D9E26F" w:rsidR="00F2316D" w:rsidRPr="00D56982" w:rsidRDefault="009C45F6" w:rsidP="00F2316D">
      <w:pPr>
        <w:spacing w:after="0"/>
        <w:jc w:val="both"/>
        <w:rPr>
          <w:b/>
          <w:bCs/>
        </w:rPr>
      </w:pPr>
      <w:r>
        <w:rPr>
          <w:b/>
          <w:bCs/>
        </w:rPr>
        <w:t>R</w:t>
      </w:r>
      <w:r w:rsidR="00F2316D" w:rsidRPr="00D56982">
        <w:rPr>
          <w:b/>
          <w:bCs/>
        </w:rPr>
        <w:t>elationship between the parties</w:t>
      </w:r>
    </w:p>
    <w:p w14:paraId="128AD681" w14:textId="2211E8A7" w:rsidR="00D12F45" w:rsidRDefault="00F2316D" w:rsidP="00817D84">
      <w:pPr>
        <w:spacing w:after="0"/>
        <w:jc w:val="both"/>
      </w:pPr>
      <w:r>
        <w:t xml:space="preserve">A contract is a legally binding agreement formed by the mutual consent of the parties. The parties may be known to each other, as with a client and an accountant, or they may be strangers, as with a software company and a person who downloads and installs the software. In either case, there is a clear relationship between the parties and this relationship is both formed and governed by the </w:t>
      </w:r>
      <w:r w:rsidR="009C45F6">
        <w:t>contract.</w:t>
      </w:r>
    </w:p>
    <w:p w14:paraId="49DE9C84" w14:textId="7C27544F" w:rsidR="00F2316D" w:rsidRDefault="00F2316D" w:rsidP="00817D84">
      <w:pPr>
        <w:spacing w:after="0"/>
        <w:jc w:val="both"/>
      </w:pPr>
    </w:p>
    <w:p w14:paraId="23E3FA87" w14:textId="59473025" w:rsidR="00D81FAD" w:rsidRPr="00D56982" w:rsidRDefault="009C45F6" w:rsidP="00D81FAD">
      <w:pPr>
        <w:spacing w:after="0"/>
        <w:jc w:val="both"/>
        <w:rPr>
          <w:b/>
          <w:bCs/>
        </w:rPr>
      </w:pPr>
      <w:r>
        <w:rPr>
          <w:b/>
          <w:bCs/>
        </w:rPr>
        <w:t>N</w:t>
      </w:r>
      <w:r w:rsidR="00D81FAD" w:rsidRPr="00D56982">
        <w:rPr>
          <w:b/>
          <w:bCs/>
        </w:rPr>
        <w:t>ature of the obligation</w:t>
      </w:r>
    </w:p>
    <w:p w14:paraId="0BDA56A2" w14:textId="7335544C" w:rsidR="00F2316D" w:rsidRDefault="00D81FAD" w:rsidP="00D81FAD">
      <w:pPr>
        <w:spacing w:after="0"/>
        <w:jc w:val="both"/>
      </w:pPr>
      <w:r>
        <w:t xml:space="preserve">In a contractual relationship, the nature of the obligation is determined by the terms of the contract. By </w:t>
      </w:r>
      <w:proofErr w:type="gramStart"/>
      <w:r>
        <w:t>entering into</w:t>
      </w:r>
      <w:proofErr w:type="gramEnd"/>
      <w:r>
        <w:t xml:space="preserve"> the contract, the parties agree to accept the resulting obligations. That is not to say that there is complete freedom of contract, since certain contractual terms may be restricted by statute – for example, under the Unfair Contract Terms Act 1977. Nevertheless, </w:t>
      </w:r>
      <w:r w:rsidR="00F708B7">
        <w:t>for</w:t>
      </w:r>
      <w:r>
        <w:t xml:space="preserve"> a contract to be binding, the parties must intend to create legal relations and their contractual obligations are based on mutual consent.</w:t>
      </w:r>
    </w:p>
    <w:p w14:paraId="461A69DC" w14:textId="7E5BFABB" w:rsidR="00D81FAD" w:rsidRDefault="00D81FAD" w:rsidP="00D81FAD">
      <w:pPr>
        <w:spacing w:after="0"/>
        <w:jc w:val="both"/>
      </w:pPr>
    </w:p>
    <w:p w14:paraId="7FDA7640" w14:textId="49228222" w:rsidR="005D5B22" w:rsidRPr="00D56982" w:rsidRDefault="005D5B22" w:rsidP="005D5B22">
      <w:pPr>
        <w:spacing w:after="0"/>
        <w:jc w:val="both"/>
        <w:rPr>
          <w:b/>
          <w:bCs/>
        </w:rPr>
      </w:pPr>
      <w:r w:rsidRPr="00D56982">
        <w:rPr>
          <w:b/>
          <w:bCs/>
        </w:rPr>
        <w:t>Causation and remoteness of damage</w:t>
      </w:r>
    </w:p>
    <w:p w14:paraId="7AF761AB" w14:textId="77777777" w:rsidR="005D5B22" w:rsidRDefault="005D5B22" w:rsidP="005D5B22">
      <w:pPr>
        <w:spacing w:after="0"/>
        <w:jc w:val="both"/>
      </w:pPr>
      <w:r>
        <w:t xml:space="preserve">This issue concerns the extent of the defendant’s liability for the chain of events set in motion by the breach of contract. The leading case is Hadley v Baxendale (1854) in which the defendant was contracted to transport a broken mill shaft from the claimant’s mill to the repairers. The defendant was late in delivering the shaft and the mill was idle for a longer period as a result. The claimant sought damages for loss of profits during the delay. The court found for the defendant, setting out a two-stage test for remoteness of damage. </w:t>
      </w:r>
      <w:proofErr w:type="gramStart"/>
      <w:r>
        <w:t>In order to</w:t>
      </w:r>
      <w:proofErr w:type="gramEnd"/>
      <w:r>
        <w:t xml:space="preserve"> be recoverable, the loss must be:</w:t>
      </w:r>
    </w:p>
    <w:p w14:paraId="7F6AD707" w14:textId="6CF90689" w:rsidR="005D5B22" w:rsidRDefault="005D5B22" w:rsidP="005D5B22">
      <w:pPr>
        <w:spacing w:after="0"/>
        <w:jc w:val="both"/>
      </w:pPr>
    </w:p>
    <w:p w14:paraId="40C815C3" w14:textId="6383A28C" w:rsidR="005D5B22" w:rsidRDefault="005D5B22" w:rsidP="005D5B22">
      <w:pPr>
        <w:pStyle w:val="ListParagraph"/>
        <w:numPr>
          <w:ilvl w:val="0"/>
          <w:numId w:val="11"/>
        </w:numPr>
        <w:spacing w:after="0"/>
        <w:jc w:val="both"/>
      </w:pPr>
      <w:r>
        <w:t>either a normal result of the breach, or</w:t>
      </w:r>
    </w:p>
    <w:p w14:paraId="56F7BB2C" w14:textId="395C98EF" w:rsidR="005D5B22" w:rsidRDefault="005D5B22" w:rsidP="005D5B22">
      <w:pPr>
        <w:pStyle w:val="ListParagraph"/>
        <w:numPr>
          <w:ilvl w:val="0"/>
          <w:numId w:val="11"/>
        </w:numPr>
        <w:spacing w:after="0"/>
        <w:jc w:val="both"/>
      </w:pPr>
      <w:r>
        <w:t>one which, at the time of the contract, both parties would have contemplated as a probable result.</w:t>
      </w:r>
    </w:p>
    <w:p w14:paraId="3063E057" w14:textId="77777777" w:rsidR="00C06FA2" w:rsidRDefault="00C06FA2" w:rsidP="00C06FA2">
      <w:pPr>
        <w:spacing w:after="0"/>
        <w:jc w:val="both"/>
      </w:pPr>
    </w:p>
    <w:p w14:paraId="2113A338" w14:textId="071F2E61" w:rsidR="00F2316D" w:rsidRDefault="005D5B22" w:rsidP="00817D84">
      <w:pPr>
        <w:spacing w:after="0"/>
        <w:jc w:val="both"/>
      </w:pPr>
      <w:r>
        <w:t>Here, given how important a drive shaft was to a mill, neither test was satisfied, since it was reasonable to expect that the mill would have a spare shaft. Another useful case here is Victoria Laundry v Newham Industries (1949). Here, the defendant’s delay caused the defendant loss of profit, including the loss of an unusually lucrative contract. The defendant was liable for normal loss of profit under the first limb of the Hadley test, but not for the loss from that particular contract. He would only have been liable for that had he known about it when the contract was formed.</w:t>
      </w:r>
    </w:p>
    <w:p w14:paraId="17430956" w14:textId="332ECF6C" w:rsidR="00496E0E" w:rsidRPr="00C159B1" w:rsidRDefault="00C159B1" w:rsidP="00496E0E">
      <w:pPr>
        <w:spacing w:after="0"/>
        <w:jc w:val="both"/>
        <w:rPr>
          <w:b/>
          <w:bCs/>
        </w:rPr>
      </w:pPr>
      <w:r w:rsidRPr="00C159B1">
        <w:rPr>
          <w:b/>
          <w:bCs/>
        </w:rPr>
        <w:lastRenderedPageBreak/>
        <w:t>T</w:t>
      </w:r>
      <w:r w:rsidR="00496E0E" w:rsidRPr="00C159B1">
        <w:rPr>
          <w:b/>
          <w:bCs/>
        </w:rPr>
        <w:t>he measure of damages</w:t>
      </w:r>
    </w:p>
    <w:p w14:paraId="01C9F366" w14:textId="77777777" w:rsidR="00496E0E" w:rsidRDefault="00496E0E" w:rsidP="00496E0E">
      <w:pPr>
        <w:spacing w:after="0"/>
        <w:jc w:val="both"/>
      </w:pPr>
      <w:r>
        <w:t>The remedies available for breach of contract include the common law remedies of damages, action for the price and quantum meruit, as well as the equitable remedies of injunction and specific performance.</w:t>
      </w:r>
    </w:p>
    <w:p w14:paraId="3B8B4AA6" w14:textId="77777777" w:rsidR="00496E0E" w:rsidRDefault="00496E0E" w:rsidP="00496E0E">
      <w:pPr>
        <w:spacing w:after="0"/>
        <w:jc w:val="both"/>
      </w:pPr>
    </w:p>
    <w:p w14:paraId="69BB9DCB" w14:textId="77777777" w:rsidR="00496E0E" w:rsidRDefault="00496E0E" w:rsidP="00496E0E">
      <w:pPr>
        <w:spacing w:after="0"/>
        <w:jc w:val="both"/>
      </w:pPr>
      <w:r>
        <w:t>Remember that a breach of contract is a breach of a legal obligation, so the aim of the remedies is to put the claimant in the position that they would have been had the defendant fulfilled the obligation. This means putting the claimant in the position that they would have been in had the contract been performed. In relation to damages, this may be divided into expectation loss (benefits that might have been gained from the performance of the contract) and reliance loss (expenses incurred by the claimant in his side of the contract).</w:t>
      </w:r>
    </w:p>
    <w:p w14:paraId="5DA15D45" w14:textId="77777777" w:rsidR="00496E0E" w:rsidRDefault="00496E0E" w:rsidP="00496E0E">
      <w:pPr>
        <w:spacing w:after="0"/>
        <w:jc w:val="both"/>
      </w:pPr>
    </w:p>
    <w:p w14:paraId="2D5422A9" w14:textId="128408D2" w:rsidR="00F2316D" w:rsidRDefault="00496E0E" w:rsidP="00496E0E">
      <w:pPr>
        <w:spacing w:after="0"/>
        <w:jc w:val="both"/>
      </w:pPr>
      <w:r>
        <w:t xml:space="preserve">The conduct of the claimant may also affect the amount of damages payable, since the claimant is under an obligation to take reasonable measures to mitigate the loss, as in </w:t>
      </w:r>
      <w:proofErr w:type="spellStart"/>
      <w:r>
        <w:t>Payzu</w:t>
      </w:r>
      <w:proofErr w:type="spellEnd"/>
      <w:r>
        <w:t xml:space="preserve"> v Saunders (1919). For example, if the buyer refuses to accept or pay for the goods, the seller must recover what they can by selling the goods to a third party. The damages will be the difference between the contract price and the amount that the seller receives. If the seller receives the contract price or higher from a third party, only nominal damages will be claimable. A claimant who does not attempt to mitigate their loss may have their damages reduced by the amount by which they could have done so. It is for the defendant to prove that the claimant failed to mitigate the loss.</w:t>
      </w:r>
    </w:p>
    <w:p w14:paraId="353255D0" w14:textId="32AA1B63" w:rsidR="00F2316D" w:rsidRDefault="00F2316D" w:rsidP="00817D84">
      <w:pPr>
        <w:spacing w:after="0"/>
        <w:jc w:val="both"/>
      </w:pPr>
    </w:p>
    <w:p w14:paraId="42E982B3" w14:textId="11DA655C" w:rsidR="0037489C" w:rsidRDefault="00736460" w:rsidP="00817D84">
      <w:pPr>
        <w:spacing w:after="0"/>
        <w:jc w:val="both"/>
        <w:rPr>
          <w:b/>
          <w:bCs/>
        </w:rPr>
      </w:pPr>
      <w:r w:rsidRPr="00DF7887">
        <w:rPr>
          <w:b/>
          <w:bCs/>
        </w:rPr>
        <w:t>Differences between duress and undue i</w:t>
      </w:r>
      <w:r w:rsidR="005B40D7">
        <w:rPr>
          <w:b/>
          <w:bCs/>
        </w:rPr>
        <w:t>nflu</w:t>
      </w:r>
      <w:r w:rsidR="00F11AC6">
        <w:rPr>
          <w:b/>
          <w:bCs/>
        </w:rPr>
        <w:t>ence</w:t>
      </w:r>
      <w:r w:rsidR="000308CA" w:rsidRPr="00DF7887">
        <w:rPr>
          <w:b/>
          <w:bCs/>
        </w:rPr>
        <w:t>:</w:t>
      </w:r>
    </w:p>
    <w:p w14:paraId="7B3362D6" w14:textId="77777777" w:rsidR="00DF7887" w:rsidRPr="00DF7887" w:rsidRDefault="00DF7887" w:rsidP="00817D84">
      <w:pPr>
        <w:spacing w:after="0"/>
        <w:jc w:val="both"/>
        <w:rPr>
          <w:b/>
          <w:bCs/>
        </w:rPr>
      </w:pPr>
    </w:p>
    <w:p w14:paraId="78821D47" w14:textId="278CD5D5" w:rsidR="0037489C" w:rsidRDefault="00DF7887" w:rsidP="00DF7887">
      <w:pPr>
        <w:spacing w:after="0"/>
        <w:jc w:val="both"/>
      </w:pPr>
      <w:r w:rsidRPr="00DF7887">
        <w:t>Contracts must be entered into freely by both of the parties and include mutual agreement. Sometimes mutual agreement can be affected by coercion or pressure to enter the contract. Duress and undue influence are situations that affect mutual agreement and make a contract void or voidable.</w:t>
      </w:r>
    </w:p>
    <w:p w14:paraId="60F41BBA" w14:textId="4B39DE4E" w:rsidR="00130530" w:rsidRDefault="00130530" w:rsidP="00DF7887">
      <w:pPr>
        <w:spacing w:after="0"/>
        <w:jc w:val="both"/>
      </w:pPr>
    </w:p>
    <w:p w14:paraId="21A63FCD" w14:textId="3779F225" w:rsidR="006D2FDC" w:rsidRDefault="00130530" w:rsidP="00DF7887">
      <w:pPr>
        <w:spacing w:after="0"/>
        <w:jc w:val="both"/>
      </w:pPr>
      <w:r w:rsidRPr="00130530">
        <w:t xml:space="preserve">Duress involves an intentional use of force or threat of force </w:t>
      </w:r>
      <w:r w:rsidR="00E7039C" w:rsidRPr="00130530">
        <w:t>to</w:t>
      </w:r>
      <w:r w:rsidRPr="00130530">
        <w:t xml:space="preserve"> induce the contract. It can be either physical or mental coercion, but the coercion must be to the extent that it deprives the other person of free will or freedom of choice. This means that the person is left with no reasonable alternative other than to enter the contract.</w:t>
      </w:r>
      <w:r w:rsidR="007B5625">
        <w:t xml:space="preserve"> </w:t>
      </w:r>
      <w:r w:rsidR="00FA23E2" w:rsidRPr="00FA23E2">
        <w:t xml:space="preserve">It is one of the </w:t>
      </w:r>
      <w:r w:rsidR="002E5C31" w:rsidRPr="00FA23E2">
        <w:t>criteria</w:t>
      </w:r>
      <w:r w:rsidR="00FA23E2" w:rsidRPr="00FA23E2">
        <w:t xml:space="preserve"> for the contractual negotiations because the intended parties often have different levels of bargaining power. It is expected that naturally, these parties will be expected to bring their bargaining powers into practice. Hence, the wisdom behind the provisions of a particular contract is anyways out of the scope of the enforcement of the contract itself. There are cases where the parties might use their bargaining powers leading to the compromise of the other party. At common law, duress constitutes a voidable contract. The law of duress takes care of the freedom to </w:t>
      </w:r>
      <w:r w:rsidR="00F5058C" w:rsidRPr="00FA23E2">
        <w:t>enter</w:t>
      </w:r>
      <w:r w:rsidR="00FA23E2" w:rsidRPr="00FA23E2">
        <w:t xml:space="preserve"> the contract by safeguarding the powers of the parties. Because duress is unaffected by the considerations of equity law, it is a tenet of common law.</w:t>
      </w:r>
    </w:p>
    <w:p w14:paraId="045EC1F1" w14:textId="77777777" w:rsidR="00DF7887" w:rsidRDefault="00DF7887" w:rsidP="00DF7887">
      <w:pPr>
        <w:spacing w:after="0"/>
        <w:jc w:val="both"/>
      </w:pPr>
    </w:p>
    <w:p w14:paraId="46A9787B" w14:textId="4297776D" w:rsidR="00B3520E" w:rsidRDefault="00F0368B" w:rsidP="00DF7887">
      <w:pPr>
        <w:spacing w:after="0"/>
        <w:jc w:val="both"/>
      </w:pPr>
      <w:r>
        <w:t xml:space="preserve">In the case of </w:t>
      </w:r>
      <w:r w:rsidRPr="00F0368B">
        <w:t>Barton v Armstrong</w:t>
      </w:r>
      <w:r>
        <w:t xml:space="preserve"> (</w:t>
      </w:r>
      <w:r w:rsidR="00761C5B">
        <w:t>1976) AC 104</w:t>
      </w:r>
      <w:r w:rsidR="00485BA2">
        <w:t xml:space="preserve"> </w:t>
      </w:r>
      <w:r w:rsidR="00485BA2" w:rsidRPr="00485BA2">
        <w:t xml:space="preserve">is a </w:t>
      </w:r>
      <w:r w:rsidR="00FF7744">
        <w:t>c</w:t>
      </w:r>
      <w:r w:rsidR="00485BA2" w:rsidRPr="00485BA2">
        <w:t xml:space="preserve">ontract </w:t>
      </w:r>
      <w:r w:rsidR="00FF7744">
        <w:t>l</w:t>
      </w:r>
      <w:r w:rsidR="00485BA2" w:rsidRPr="00485BA2">
        <w:t>aw case concerning duress</w:t>
      </w:r>
      <w:r w:rsidR="00485BA2">
        <w:t>.</w:t>
      </w:r>
      <w:r w:rsidR="009B41B6">
        <w:t xml:space="preserve"> The fact that </w:t>
      </w:r>
      <w:r w:rsidR="009D3008">
        <w:t>the parties we</w:t>
      </w:r>
      <w:r w:rsidR="00432E0D">
        <w:t xml:space="preserve">re </w:t>
      </w:r>
      <w:r w:rsidR="009B41B6">
        <w:t>major shareholders</w:t>
      </w:r>
      <w:r w:rsidR="00432E0D">
        <w:t xml:space="preserve"> in a company</w:t>
      </w:r>
      <w:r w:rsidR="00B614CF">
        <w:t xml:space="preserve">. </w:t>
      </w:r>
      <w:r w:rsidR="00B3520E" w:rsidRPr="00B3520E">
        <w:t xml:space="preserve">The claimant made an agreement with the defendant that he would buy defendant’s shares. However, consequently, the claimant claimed that </w:t>
      </w:r>
      <w:r w:rsidR="006B3E1E" w:rsidRPr="00B3520E">
        <w:t>he</w:t>
      </w:r>
      <w:r w:rsidR="00B3520E" w:rsidRPr="00B3520E">
        <w:t xml:space="preserve"> agreed to the proposition due to the threats made by the defendant. </w:t>
      </w:r>
      <w:r w:rsidR="006B3E1E" w:rsidRPr="00B3520E">
        <w:t>Based on</w:t>
      </w:r>
      <w:r w:rsidR="00B3520E" w:rsidRPr="00B3520E">
        <w:t xml:space="preserve"> duress, he claimed that the agreement was voidable.</w:t>
      </w:r>
    </w:p>
    <w:p w14:paraId="68D1D26E" w14:textId="42714FB6" w:rsidR="00903051" w:rsidRDefault="00714B66" w:rsidP="00DF7887">
      <w:pPr>
        <w:spacing w:after="0"/>
        <w:jc w:val="both"/>
      </w:pPr>
      <w:r>
        <w:lastRenderedPageBreak/>
        <w:t>In the case of</w:t>
      </w:r>
      <w:r w:rsidRPr="00853634">
        <w:t xml:space="preserve"> </w:t>
      </w:r>
      <w:proofErr w:type="spellStart"/>
      <w:r w:rsidRPr="00853634">
        <w:t>Skeate</w:t>
      </w:r>
      <w:proofErr w:type="spellEnd"/>
      <w:r w:rsidRPr="00853634">
        <w:t xml:space="preserve"> v Beale (1840) </w:t>
      </w:r>
      <w:r>
        <w:t xml:space="preserve">were the issue of duress to goods </w:t>
      </w:r>
      <w:r w:rsidRPr="00791F5E">
        <w:t>and whether a contract that was entered into for the payment of outstanding rent was void on the basis that it was only entered into because the landlord had threatened to sell some of the tenants’ goods.</w:t>
      </w:r>
      <w:r>
        <w:t xml:space="preserve"> </w:t>
      </w:r>
      <w:r w:rsidR="003126C6">
        <w:t xml:space="preserve">This resulted in </w:t>
      </w:r>
      <w:r w:rsidR="009C37D0">
        <w:t>d</w:t>
      </w:r>
      <w:r w:rsidR="003126C6" w:rsidRPr="003126C6">
        <w:t xml:space="preserve">uress to goods </w:t>
      </w:r>
      <w:r w:rsidR="009C37D0">
        <w:t>that was</w:t>
      </w:r>
      <w:r w:rsidR="003126C6" w:rsidRPr="003126C6">
        <w:t xml:space="preserve"> not </w:t>
      </w:r>
      <w:r w:rsidR="0041560B" w:rsidRPr="003126C6">
        <w:t>sufficient</w:t>
      </w:r>
      <w:r w:rsidR="003126C6" w:rsidRPr="003126C6">
        <w:t xml:space="preserve"> to render a contract voidable.</w:t>
      </w:r>
    </w:p>
    <w:p w14:paraId="1DAC3D74" w14:textId="77777777" w:rsidR="005A4CD0" w:rsidRDefault="005A4CD0" w:rsidP="00DF7887">
      <w:pPr>
        <w:spacing w:after="0"/>
        <w:jc w:val="both"/>
      </w:pPr>
    </w:p>
    <w:p w14:paraId="60D75490" w14:textId="108A278C" w:rsidR="00920B05" w:rsidRDefault="00920B05" w:rsidP="00DF7887">
      <w:pPr>
        <w:spacing w:after="0"/>
        <w:jc w:val="both"/>
      </w:pPr>
      <w:r>
        <w:t xml:space="preserve">Undue influence </w:t>
      </w:r>
      <w:r w:rsidR="00905764">
        <w:t>means taking advantage of another person, through a position of trust</w:t>
      </w:r>
      <w:r w:rsidR="00C50719">
        <w:t xml:space="preserve"> in form of a contract. </w:t>
      </w:r>
      <w:r w:rsidR="00573B96">
        <w:t>Undue influence always involves a relationship between the two parties</w:t>
      </w:r>
      <w:r w:rsidR="00F06A8F">
        <w:t xml:space="preserve">, with one party </w:t>
      </w:r>
      <w:r w:rsidR="00C40DA3">
        <w:t xml:space="preserve">in a superior </w:t>
      </w:r>
      <w:r w:rsidR="002B66AA">
        <w:t xml:space="preserve">position over the other. </w:t>
      </w:r>
      <w:r w:rsidR="000676D9">
        <w:t xml:space="preserve">Undue </w:t>
      </w:r>
      <w:r w:rsidR="00155A02">
        <w:t xml:space="preserve">influence </w:t>
      </w:r>
      <w:r w:rsidR="00442ABC">
        <w:t>does not</w:t>
      </w:r>
      <w:r w:rsidR="00155A02">
        <w:t xml:space="preserve"> involve a direct </w:t>
      </w:r>
      <w:r w:rsidR="00356233">
        <w:t xml:space="preserve">threat like in the case of </w:t>
      </w:r>
      <w:r w:rsidR="00056E53">
        <w:t xml:space="preserve">duress. Instead, it involves </w:t>
      </w:r>
      <w:r w:rsidR="0095003C">
        <w:t>excessive pressur</w:t>
      </w:r>
      <w:r w:rsidR="00B9222E">
        <w:t xml:space="preserve">e by the party in the dominant position on the </w:t>
      </w:r>
      <w:r w:rsidR="00442ABC">
        <w:t>party in the inferior position.</w:t>
      </w:r>
    </w:p>
    <w:p w14:paraId="1F1BE9AC" w14:textId="0CE02DB9" w:rsidR="00393D23" w:rsidRDefault="00393D23" w:rsidP="00DF7887">
      <w:pPr>
        <w:spacing w:after="0"/>
        <w:jc w:val="both"/>
      </w:pPr>
    </w:p>
    <w:p w14:paraId="0F46DB91" w14:textId="6ACBF715" w:rsidR="00393D23" w:rsidRDefault="00653F32" w:rsidP="00DF7887">
      <w:pPr>
        <w:spacing w:after="0"/>
        <w:jc w:val="both"/>
      </w:pPr>
      <w:r>
        <w:t xml:space="preserve">Looking at the cases that fall under undue influence </w:t>
      </w:r>
      <w:r w:rsidR="001C7CA8">
        <w:t>i</w:t>
      </w:r>
      <w:r w:rsidR="00ED6C82">
        <w:t xml:space="preserve">n the case of </w:t>
      </w:r>
      <w:r w:rsidR="00ED6C82" w:rsidRPr="00ED6C82">
        <w:t xml:space="preserve">Morley v </w:t>
      </w:r>
      <w:proofErr w:type="spellStart"/>
      <w:r w:rsidR="00ED6C82" w:rsidRPr="00ED6C82">
        <w:t>Laughnan</w:t>
      </w:r>
      <w:proofErr w:type="spellEnd"/>
      <w:r w:rsidR="00ED6C82" w:rsidRPr="00ED6C82">
        <w:t xml:space="preserve"> where the court decreed that the departed having </w:t>
      </w:r>
      <w:r w:rsidR="006B3745" w:rsidRPr="00ED6C82">
        <w:t>been</w:t>
      </w:r>
      <w:r w:rsidR="00ED6C82" w:rsidRPr="00ED6C82">
        <w:t xml:space="preserve"> highly dependent on the defendant, the latter converted the deceased to be a member of a secluded and exclusive religious sect. The deceased was found to have been specifically vulnerable to influence, physical weakness, morbidity religious and highly strung. The capability of the defendant in that case, to influence the deceased was heightened such that he controlled nearly everything that he did. There needs to be evidence that the defendant practiced the influence or domination over the plaintiff as determined in Lloyd’s Bank Ltd v Bundy. The claimant can be of subtle nature and does not need to be via arm-twisting.</w:t>
      </w:r>
    </w:p>
    <w:p w14:paraId="0907C0C5" w14:textId="77777777" w:rsidR="0088485C" w:rsidRDefault="0088485C" w:rsidP="00DF7887">
      <w:pPr>
        <w:spacing w:after="0"/>
        <w:jc w:val="both"/>
      </w:pPr>
    </w:p>
    <w:p w14:paraId="0AF6523E" w14:textId="5434F0A9" w:rsidR="003D59AF" w:rsidRDefault="003D59AF" w:rsidP="003D59AF">
      <w:pPr>
        <w:spacing w:after="0"/>
        <w:jc w:val="both"/>
      </w:pPr>
      <w:r>
        <w:t>In the case of BCCI v Aboody, it was determined that the exploitation of person’s trust to influence them to enter transactions devoid of functional explanation would involve the practice of undue influence, given the impact on another party’s mind was just a conduit for which the will of the other functions. The practice of influence will also be undue where the defendant deliberately took advantage of their position of influence to attain an advantage at the expense of the claimant, like making excess profits.</w:t>
      </w:r>
    </w:p>
    <w:p w14:paraId="0E017810" w14:textId="77777777" w:rsidR="001075FA" w:rsidRDefault="001075FA" w:rsidP="003D59AF">
      <w:pPr>
        <w:spacing w:after="0"/>
        <w:jc w:val="both"/>
      </w:pPr>
    </w:p>
    <w:p w14:paraId="42C3BF68" w14:textId="2C8F6333" w:rsidR="00920B05" w:rsidRDefault="003D59AF" w:rsidP="003D59AF">
      <w:pPr>
        <w:spacing w:after="0"/>
        <w:jc w:val="both"/>
      </w:pPr>
      <w:r>
        <w:t xml:space="preserve">Again, undue influence must cause the </w:t>
      </w:r>
      <w:r w:rsidR="0064133A">
        <w:t>claimant</w:t>
      </w:r>
      <w:r>
        <w:t xml:space="preserve"> </w:t>
      </w:r>
      <w:r w:rsidR="006B3745">
        <w:t>to affirm</w:t>
      </w:r>
      <w:r>
        <w:t xml:space="preserve"> the appropriate contract and therefore, the effectiveness of the operations of the contract therein. Although the determination of the cause for the claimant to enter into the transaction was considered traditionally; in contemporary society, it has been recognised that the operative cause suggests causation of the </w:t>
      </w:r>
      <w:r w:rsidR="00DA194D">
        <w:t>claimant's</w:t>
      </w:r>
      <w:r>
        <w:t xml:space="preserve"> actions. The tests for </w:t>
      </w:r>
      <w:r w:rsidRPr="00A843D1">
        <w:t xml:space="preserve">causation can be informed of </w:t>
      </w:r>
      <w:r w:rsidR="00DA194D" w:rsidRPr="00A843D1">
        <w:t>unlawful</w:t>
      </w:r>
      <w:r w:rsidRPr="00A843D1">
        <w:t xml:space="preserve"> misrepresentation</w:t>
      </w:r>
      <w:r>
        <w:t xml:space="preserve"> – given that undue influence </w:t>
      </w:r>
      <w:r w:rsidR="00A843D1">
        <w:t>is</w:t>
      </w:r>
      <w:r>
        <w:t xml:space="preserve"> a type of fraud.</w:t>
      </w:r>
    </w:p>
    <w:p w14:paraId="31062234" w14:textId="535B0373" w:rsidR="006B3745" w:rsidRDefault="006B3745" w:rsidP="003D59AF">
      <w:pPr>
        <w:spacing w:after="0"/>
        <w:jc w:val="both"/>
      </w:pPr>
    </w:p>
    <w:p w14:paraId="5C09870F" w14:textId="0415DB76" w:rsidR="00C610D3" w:rsidRPr="00CD3CFA" w:rsidRDefault="0076455D" w:rsidP="003D59AF">
      <w:pPr>
        <w:spacing w:after="0"/>
        <w:jc w:val="both"/>
        <w:rPr>
          <w:b/>
          <w:bCs/>
        </w:rPr>
      </w:pPr>
      <w:r w:rsidRPr="00CD3CFA">
        <w:rPr>
          <w:b/>
          <w:bCs/>
        </w:rPr>
        <w:t>Economic Duress</w:t>
      </w:r>
      <w:r w:rsidR="00CD3CFA" w:rsidRPr="00CD3CFA">
        <w:rPr>
          <w:b/>
          <w:bCs/>
        </w:rPr>
        <w:t xml:space="preserve"> in the current society </w:t>
      </w:r>
    </w:p>
    <w:p w14:paraId="3785B1B2" w14:textId="59E992CC" w:rsidR="00C610D3" w:rsidRDefault="0076455D" w:rsidP="003D59AF">
      <w:pPr>
        <w:spacing w:after="0"/>
        <w:jc w:val="both"/>
      </w:pPr>
      <w:r>
        <w:t>The economic pre</w:t>
      </w:r>
      <w:r w:rsidR="002D05A0">
        <w:t xml:space="preserve">ssure </w:t>
      </w:r>
      <w:r w:rsidR="00CD3CFA">
        <w:t>has</w:t>
      </w:r>
      <w:r w:rsidR="002D05A0">
        <w:t xml:space="preserve"> created a threat to break a contract </w:t>
      </w:r>
      <w:r w:rsidR="00CD3CFA">
        <w:t xml:space="preserve">which impose, no doubt </w:t>
      </w:r>
      <w:r w:rsidR="00263406">
        <w:t xml:space="preserve">it increased </w:t>
      </w:r>
      <w:r w:rsidR="00BB3BD8">
        <w:t xml:space="preserve">the value of </w:t>
      </w:r>
      <w:r w:rsidR="00CD35EE">
        <w:t xml:space="preserve">economic rights </w:t>
      </w:r>
      <w:r w:rsidR="00FD0D94">
        <w:t xml:space="preserve">to </w:t>
      </w:r>
      <w:r w:rsidR="00CD35EE">
        <w:t xml:space="preserve">protected contracts relative to the value </w:t>
      </w:r>
      <w:r w:rsidR="004C663B">
        <w:t>of property rights in goods</w:t>
      </w:r>
      <w:r w:rsidR="007B396C">
        <w:t>. Economic duress involves a threat b</w:t>
      </w:r>
      <w:r w:rsidR="005D13AB">
        <w:t xml:space="preserve">y a party to cease performance of a contract or otherwise breach of contract may be </w:t>
      </w:r>
      <w:r w:rsidR="00C8534D">
        <w:t xml:space="preserve">used to extract a promise of more payment. </w:t>
      </w:r>
      <w:r w:rsidR="0075448A">
        <w:t xml:space="preserve">The consequence of such a threat might be </w:t>
      </w:r>
      <w:r w:rsidR="0066201C">
        <w:t xml:space="preserve">that any new agreement </w:t>
      </w:r>
      <w:r w:rsidR="00612C20">
        <w:t>entered</w:t>
      </w:r>
      <w:r w:rsidR="0066201C">
        <w:t xml:space="preserve"> </w:t>
      </w:r>
      <w:r w:rsidR="00612C20">
        <w:t>based on</w:t>
      </w:r>
      <w:r w:rsidR="0066201C">
        <w:t xml:space="preserve"> such a threat may be </w:t>
      </w:r>
      <w:r w:rsidR="00612C20">
        <w:t>voidable for duress.</w:t>
      </w:r>
    </w:p>
    <w:p w14:paraId="52C2E75B" w14:textId="77777777" w:rsidR="00612C20" w:rsidRDefault="00612C20" w:rsidP="003D59AF">
      <w:pPr>
        <w:spacing w:after="0"/>
        <w:jc w:val="both"/>
      </w:pPr>
    </w:p>
    <w:p w14:paraId="1936DC22" w14:textId="77777777" w:rsidR="00713F17" w:rsidRDefault="00A57F29" w:rsidP="00920754">
      <w:pPr>
        <w:spacing w:after="0"/>
        <w:jc w:val="both"/>
      </w:pPr>
      <w:r>
        <w:t xml:space="preserve">In the case of </w:t>
      </w:r>
      <w:proofErr w:type="spellStart"/>
      <w:r>
        <w:t>Sib</w:t>
      </w:r>
      <w:r w:rsidR="00AF5C28">
        <w:t>oen</w:t>
      </w:r>
      <w:proofErr w:type="spellEnd"/>
      <w:r w:rsidR="00AF5C28">
        <w:t xml:space="preserve"> and the </w:t>
      </w:r>
      <w:proofErr w:type="spellStart"/>
      <w:r w:rsidR="00AF5C28">
        <w:t>Sibotre</w:t>
      </w:r>
      <w:proofErr w:type="spellEnd"/>
      <w:r w:rsidR="00AF5C28">
        <w:t xml:space="preserve"> (1976), the </w:t>
      </w:r>
      <w:r w:rsidR="00631034">
        <w:t>economic duress is a modern area where in a commercial contract a party is coerced into a change of arrangements under the threat</w:t>
      </w:r>
      <w:r w:rsidR="00DE48EA">
        <w:t xml:space="preserve"> of a commercially da</w:t>
      </w:r>
      <w:r w:rsidR="008F7B6C">
        <w:t xml:space="preserve">maging cause of action. </w:t>
      </w:r>
      <w:r w:rsidR="003F27E8">
        <w:t>The mo</w:t>
      </w:r>
      <w:r w:rsidR="0021135F">
        <w:t>dern approach is based on establishing illegitimate pressure and the causative effect</w:t>
      </w:r>
      <w:r w:rsidR="00681603">
        <w:t xml:space="preserve"> thereof. </w:t>
      </w:r>
    </w:p>
    <w:p w14:paraId="30AE94E2" w14:textId="2604978E" w:rsidR="00920754" w:rsidRDefault="009F1B75" w:rsidP="00920754">
      <w:pPr>
        <w:spacing w:after="0"/>
        <w:jc w:val="both"/>
      </w:pPr>
      <w:r w:rsidRPr="00E52998">
        <w:lastRenderedPageBreak/>
        <w:t>There is no absolute test to distinguish illegitimate pressure from the rough and tumble of the pressures of normal commercial bargaining</w:t>
      </w:r>
      <w:r>
        <w:t>.</w:t>
      </w:r>
      <w:r w:rsidR="00F1645B" w:rsidRPr="00F1645B">
        <w:t xml:space="preserve"> </w:t>
      </w:r>
      <w:r w:rsidR="00F1645B" w:rsidRPr="00E52998">
        <w:t>It is generally accepted that a (past or threatened) breach of contract, or a threat to commit an unlawful act, crime or tort can amount</w:t>
      </w:r>
      <w:r w:rsidR="00F1645B">
        <w:t xml:space="preserve"> </w:t>
      </w:r>
      <w:r w:rsidR="00F1645B" w:rsidRPr="00E52998">
        <w:t>to illegitimate pressure</w:t>
      </w:r>
      <w:r w:rsidR="00F1645B">
        <w:t>.</w:t>
      </w:r>
      <w:r w:rsidR="00EF770D">
        <w:t xml:space="preserve"> </w:t>
      </w:r>
      <w:r w:rsidR="00017E8C">
        <w:t xml:space="preserve">Whether the </w:t>
      </w:r>
      <w:r w:rsidR="00920754">
        <w:t>threat</w:t>
      </w:r>
      <w:r w:rsidR="00017E8C">
        <w:t xml:space="preserve"> or pressure does </w:t>
      </w:r>
      <w:r w:rsidR="003B66E0">
        <w:t>amount</w:t>
      </w:r>
      <w:r w:rsidR="00017E8C">
        <w:t xml:space="preserve"> to illegitimate economic pressure is highly context and case specific.</w:t>
      </w:r>
      <w:r w:rsidR="00920754" w:rsidRPr="00920754">
        <w:t xml:space="preserve"> </w:t>
      </w:r>
      <w:r w:rsidR="00920754">
        <w:t xml:space="preserve">In determining whether there has been illegitimate pressure, the courts </w:t>
      </w:r>
      <w:r w:rsidR="003B66E0">
        <w:t>consider</w:t>
      </w:r>
      <w:r w:rsidR="00920754">
        <w:t xml:space="preserve"> a range of factors including whether:</w:t>
      </w:r>
    </w:p>
    <w:p w14:paraId="5908B734" w14:textId="3E692A72" w:rsidR="00920754" w:rsidRDefault="00920754" w:rsidP="00017E8C">
      <w:pPr>
        <w:spacing w:after="0"/>
        <w:jc w:val="both"/>
      </w:pPr>
    </w:p>
    <w:p w14:paraId="638E281C" w14:textId="4B6CFDCA" w:rsidR="00920754" w:rsidRDefault="003B66E0" w:rsidP="00920754">
      <w:pPr>
        <w:pStyle w:val="ListParagraph"/>
        <w:numPr>
          <w:ilvl w:val="0"/>
          <w:numId w:val="11"/>
        </w:numPr>
        <w:spacing w:after="0"/>
        <w:jc w:val="both"/>
      </w:pPr>
      <w:r>
        <w:t xml:space="preserve">there has been an actual or threatened breach of </w:t>
      </w:r>
      <w:proofErr w:type="gramStart"/>
      <w:r>
        <w:t>contract</w:t>
      </w:r>
      <w:proofErr w:type="gramEnd"/>
    </w:p>
    <w:p w14:paraId="4152C4FD" w14:textId="2F50FB7C" w:rsidR="003B66E0" w:rsidRDefault="003B66E0" w:rsidP="00920754">
      <w:pPr>
        <w:pStyle w:val="ListParagraph"/>
        <w:numPr>
          <w:ilvl w:val="0"/>
          <w:numId w:val="11"/>
        </w:numPr>
        <w:spacing w:after="0"/>
        <w:jc w:val="both"/>
      </w:pPr>
      <w:r>
        <w:t xml:space="preserve">the party exerting the pressure has acted in good or bad </w:t>
      </w:r>
      <w:proofErr w:type="gramStart"/>
      <w:r>
        <w:t>faith</w:t>
      </w:r>
      <w:proofErr w:type="gramEnd"/>
    </w:p>
    <w:p w14:paraId="0E78824C" w14:textId="77777777" w:rsidR="003B66E0" w:rsidRDefault="00017E8C" w:rsidP="00A77AF8">
      <w:pPr>
        <w:pStyle w:val="ListParagraph"/>
        <w:numPr>
          <w:ilvl w:val="0"/>
          <w:numId w:val="11"/>
        </w:numPr>
        <w:spacing w:after="0"/>
        <w:jc w:val="both"/>
      </w:pPr>
      <w:r>
        <w:t xml:space="preserve">the innocent party had any realistic practical alternative but to submit to the </w:t>
      </w:r>
      <w:proofErr w:type="gramStart"/>
      <w:r>
        <w:t>pressure</w:t>
      </w:r>
      <w:proofErr w:type="gramEnd"/>
      <w:r>
        <w:t xml:space="preserve"> </w:t>
      </w:r>
    </w:p>
    <w:p w14:paraId="741A400F" w14:textId="5A7637C8" w:rsidR="00017E8C" w:rsidRDefault="00017E8C" w:rsidP="00A77AF8">
      <w:pPr>
        <w:pStyle w:val="ListParagraph"/>
        <w:numPr>
          <w:ilvl w:val="0"/>
          <w:numId w:val="11"/>
        </w:numPr>
        <w:spacing w:after="0"/>
        <w:jc w:val="both"/>
      </w:pPr>
      <w:r>
        <w:t>the innocent party protested at the time; and</w:t>
      </w:r>
    </w:p>
    <w:p w14:paraId="2E187011" w14:textId="50CC9A5D" w:rsidR="00017E8C" w:rsidRDefault="00017E8C" w:rsidP="00017E8C">
      <w:pPr>
        <w:pStyle w:val="ListParagraph"/>
        <w:numPr>
          <w:ilvl w:val="0"/>
          <w:numId w:val="11"/>
        </w:numPr>
        <w:spacing w:after="0"/>
        <w:jc w:val="both"/>
      </w:pPr>
      <w:r>
        <w:t xml:space="preserve">the innocent party affirmed and sought to rely on the </w:t>
      </w:r>
      <w:proofErr w:type="gramStart"/>
      <w:r>
        <w:t>contract</w:t>
      </w:r>
      <w:proofErr w:type="gramEnd"/>
    </w:p>
    <w:p w14:paraId="163E1704" w14:textId="77777777" w:rsidR="003B66E0" w:rsidRDefault="003B66E0" w:rsidP="00AD55FD">
      <w:pPr>
        <w:pStyle w:val="ListParagraph"/>
        <w:spacing w:after="0"/>
        <w:jc w:val="both"/>
      </w:pPr>
    </w:p>
    <w:p w14:paraId="6497F315" w14:textId="60D14255" w:rsidR="00017E8C" w:rsidRDefault="00AD55FD" w:rsidP="00017E8C">
      <w:pPr>
        <w:spacing w:after="0"/>
        <w:jc w:val="both"/>
      </w:pPr>
      <w:r>
        <w:t xml:space="preserve">These are only some of the factors </w:t>
      </w:r>
      <w:r w:rsidR="006137D2">
        <w:t xml:space="preserve">that can </w:t>
      </w:r>
      <w:r w:rsidR="00017E8C">
        <w:t>determinative of the outcome.</w:t>
      </w:r>
    </w:p>
    <w:p w14:paraId="0E851307" w14:textId="77777777" w:rsidR="00903ACB" w:rsidRDefault="00903ACB" w:rsidP="003D59AF">
      <w:pPr>
        <w:spacing w:after="0"/>
        <w:jc w:val="both"/>
      </w:pPr>
    </w:p>
    <w:p w14:paraId="1EE63C50" w14:textId="2AA7C3FE" w:rsidR="001267B6" w:rsidRPr="0051546D" w:rsidRDefault="00903ACB" w:rsidP="003D59AF">
      <w:pPr>
        <w:spacing w:after="0"/>
        <w:jc w:val="both"/>
        <w:rPr>
          <w:b/>
          <w:bCs/>
        </w:rPr>
      </w:pPr>
      <w:r w:rsidRPr="0051546D">
        <w:rPr>
          <w:b/>
          <w:bCs/>
        </w:rPr>
        <w:t xml:space="preserve">Economic duress </w:t>
      </w:r>
      <w:r w:rsidR="008940A7" w:rsidRPr="0051546D">
        <w:rPr>
          <w:b/>
          <w:bCs/>
        </w:rPr>
        <w:t>curtailed</w:t>
      </w:r>
    </w:p>
    <w:p w14:paraId="3D047215" w14:textId="70413D34" w:rsidR="00072F52" w:rsidRDefault="00903ACB" w:rsidP="003D59AF">
      <w:pPr>
        <w:spacing w:after="0"/>
        <w:jc w:val="both"/>
      </w:pPr>
      <w:r>
        <w:t>Looking at the most rece</w:t>
      </w:r>
      <w:r w:rsidR="002473DA">
        <w:t>n</w:t>
      </w:r>
      <w:r>
        <w:t>t</w:t>
      </w:r>
      <w:r w:rsidR="00F41CB4">
        <w:t xml:space="preserve"> case of </w:t>
      </w:r>
      <w:r w:rsidR="00F41CB4" w:rsidRPr="00F41CB4">
        <w:t xml:space="preserve">Times Travel (UK) Ltd v Pakistan Airlines Corporation [2019] EWCA </w:t>
      </w:r>
      <w:proofErr w:type="spellStart"/>
      <w:r w:rsidR="00F41CB4" w:rsidRPr="00F41CB4">
        <w:t>Civ</w:t>
      </w:r>
      <w:proofErr w:type="spellEnd"/>
      <w:r w:rsidR="00F41CB4" w:rsidRPr="00F41CB4">
        <w:t xml:space="preserve"> 828, an extended concept of lawful-act duress, which had been given wings by the High Court, was ultimately grounded by the Court of Appeal. </w:t>
      </w:r>
      <w:r w:rsidR="002B583D" w:rsidRPr="002B583D">
        <w:t>The Court of Appeal has held that there is no economic duress in commercial situations where a party uses lawful pressure or threats to achieve a result to which it genuinely believes itself to be entitled, even if is not objectively reasonable for it to have that belief.</w:t>
      </w:r>
    </w:p>
    <w:p w14:paraId="0B1478F0" w14:textId="61B26C7F" w:rsidR="00072F52" w:rsidRDefault="00072F52" w:rsidP="003D59AF">
      <w:pPr>
        <w:spacing w:after="0"/>
        <w:jc w:val="both"/>
      </w:pPr>
    </w:p>
    <w:p w14:paraId="1F73EEC0" w14:textId="77777777" w:rsidR="00B41C02" w:rsidRPr="00B41C02" w:rsidRDefault="00B41C02" w:rsidP="00B41C02">
      <w:pPr>
        <w:spacing w:after="0"/>
        <w:jc w:val="both"/>
        <w:rPr>
          <w:b/>
          <w:bCs/>
        </w:rPr>
      </w:pPr>
      <w:r w:rsidRPr="00B41C02">
        <w:rPr>
          <w:b/>
          <w:bCs/>
        </w:rPr>
        <w:t>The tenet of unfair influence</w:t>
      </w:r>
    </w:p>
    <w:p w14:paraId="0BF4D6D6" w14:textId="2CE69682" w:rsidR="006C19D2" w:rsidRDefault="00B41C02" w:rsidP="00B41C02">
      <w:pPr>
        <w:spacing w:after="0"/>
        <w:jc w:val="both"/>
      </w:pPr>
      <w:r>
        <w:t xml:space="preserve">The principle of undue influence is relatively more contemporary expansive and equitable laws are meant to be bargaining unfairness. Excessive impact covers circumstances that are disadvantaged by </w:t>
      </w:r>
      <w:r w:rsidR="00DC7988">
        <w:t>duress,</w:t>
      </w:r>
      <w:r>
        <w:t xml:space="preserve"> but which are, however, inequitable. Hence, it is an approach testimony to the adage that every wrong must have a remedy. The effect of undue influence is to make a contract voidable. Two types of excessive impact have been recognised by the courts. The exertion of influence is deemed to be undue where the defendant intentionally took advantage of their position of influence to gain unfair merit at the expense of the </w:t>
      </w:r>
      <w:r w:rsidR="00DC7988">
        <w:t>claimant</w:t>
      </w:r>
      <w:r>
        <w:t xml:space="preserve"> as in such as the making of an excessive profit.</w:t>
      </w:r>
    </w:p>
    <w:p w14:paraId="2528CB6D" w14:textId="2910D20A" w:rsidR="00DC7988" w:rsidRDefault="00DC7988" w:rsidP="00B41C02">
      <w:pPr>
        <w:spacing w:after="0"/>
        <w:jc w:val="both"/>
      </w:pPr>
    </w:p>
    <w:p w14:paraId="2242FAA5" w14:textId="77777777" w:rsidR="00A2733C" w:rsidRDefault="00A34536" w:rsidP="00B41C02">
      <w:pPr>
        <w:spacing w:after="0"/>
        <w:jc w:val="both"/>
      </w:pPr>
      <w:r w:rsidRPr="00A34536">
        <w:t xml:space="preserve">A substantial excessive impact arises where one of the subjects to a contract can illustrate that they </w:t>
      </w:r>
      <w:proofErr w:type="gramStart"/>
      <w:r w:rsidRPr="00A34536">
        <w:t>entered into</w:t>
      </w:r>
      <w:proofErr w:type="gramEnd"/>
      <w:r w:rsidRPr="00A34536">
        <w:t xml:space="preserve"> the contract as an explicit output of undue influence from the other subject. </w:t>
      </w:r>
      <w:r w:rsidR="00A2733C">
        <w:t xml:space="preserve">In the case </w:t>
      </w:r>
      <w:r w:rsidRPr="00A34536">
        <w:t xml:space="preserve">of Bank of Credit and Commerce International SA v Aboody offers a conducive example. The issue was that the wife of the defendant agreed she only signed a document that bound the two because she wanted to be happy. The output contractual links were held to have been reached via actual undue influence and was set aside accordingly. </w:t>
      </w:r>
    </w:p>
    <w:p w14:paraId="68E7211E" w14:textId="77777777" w:rsidR="00A2733C" w:rsidRDefault="00A2733C" w:rsidP="00B41C02">
      <w:pPr>
        <w:spacing w:after="0"/>
        <w:jc w:val="both"/>
      </w:pPr>
    </w:p>
    <w:p w14:paraId="2F039413" w14:textId="77777777" w:rsidR="004000AD" w:rsidRDefault="00A34536" w:rsidP="00B41C02">
      <w:pPr>
        <w:spacing w:after="0"/>
        <w:jc w:val="both"/>
      </w:pPr>
      <w:r w:rsidRPr="00A34536">
        <w:t xml:space="preserve">Individuals who have </w:t>
      </w:r>
      <w:proofErr w:type="gramStart"/>
      <w:r w:rsidRPr="00A34536">
        <w:t>entered into</w:t>
      </w:r>
      <w:proofErr w:type="gramEnd"/>
      <w:r w:rsidRPr="00A34536">
        <w:t xml:space="preserve"> a seemingly </w:t>
      </w:r>
      <w:r w:rsidR="004000AD" w:rsidRPr="00A34536">
        <w:t>corrupt</w:t>
      </w:r>
      <w:r w:rsidRPr="00A34536">
        <w:t xml:space="preserve"> contract are required to pull out of the contractual terms given that there is a presence of undue influence. Presumed undue influence comes up when the subjects of a contract have the type of predetermined connection in which one subject bestowed their trust in the other. As a result, this makes one subject to be susceptible to the influence </w:t>
      </w:r>
      <w:r w:rsidRPr="00A34536">
        <w:lastRenderedPageBreak/>
        <w:t xml:space="preserve">of the other subject. When there is undue influence, one party has better feasibility of the respective contract at the expense of the other party. </w:t>
      </w:r>
    </w:p>
    <w:p w14:paraId="3F18703A" w14:textId="77777777" w:rsidR="004000AD" w:rsidRDefault="004000AD" w:rsidP="00B41C02">
      <w:pPr>
        <w:spacing w:after="0"/>
        <w:jc w:val="both"/>
      </w:pPr>
    </w:p>
    <w:p w14:paraId="0556A161" w14:textId="38BF317A" w:rsidR="00DC7988" w:rsidRDefault="00A34536" w:rsidP="00B41C02">
      <w:pPr>
        <w:spacing w:after="0"/>
        <w:jc w:val="both"/>
      </w:pPr>
      <w:r w:rsidRPr="00A34536">
        <w:t>Undue influence commonly occurs when there are significant power differences between the two extremes involved in the contract. For instance, the relationship between patients and the doctor, lecturer and the student and employee and employer relations. The weaker party is often placed in a situation where the predetermined positions of one party give them implicitly but real advantages over the decisions from another party.</w:t>
      </w:r>
    </w:p>
    <w:p w14:paraId="19D9E69F" w14:textId="5771184F" w:rsidR="00D6663A" w:rsidRDefault="00D6663A" w:rsidP="00B41C02">
      <w:pPr>
        <w:spacing w:after="0"/>
        <w:jc w:val="both"/>
      </w:pPr>
    </w:p>
    <w:p w14:paraId="28BE7188" w14:textId="6D418CDE" w:rsidR="00D6663A" w:rsidRDefault="00D6663A" w:rsidP="00B41C02">
      <w:pPr>
        <w:spacing w:after="0"/>
        <w:jc w:val="both"/>
      </w:pPr>
      <w:r>
        <w:t>In the case of</w:t>
      </w:r>
      <w:r w:rsidRPr="00D6663A">
        <w:t xml:space="preserve"> Lloyds Bank v Bundy </w:t>
      </w:r>
      <w:r>
        <w:t xml:space="preserve">there </w:t>
      </w:r>
      <w:r w:rsidRPr="00D6663A">
        <w:t>was reasoned that a guarantor who relied on another party's knowledge, skill and confidence was in fiduciary terms with the bank. Hence, since it was the banker’s lending was that was being necessary, the banker had a discord of interest and should not have advised the subject to obtain detached advice before attempting the contract. As we proceed, it is apparent that contract laws will also have to change with the times. In contemporary society, there are increasing opportunities for using smart contracts as those underlined by blockchain</w:t>
      </w:r>
      <w:r w:rsidR="00352BFA">
        <w:t xml:space="preserve">, </w:t>
      </w:r>
      <w:r w:rsidRPr="00D6663A">
        <w:t>which have been shown to have improved efficiency (Van Eck, 2020)</w:t>
      </w:r>
      <w:r w:rsidR="003A61C8">
        <w:t>.</w:t>
      </w:r>
    </w:p>
    <w:p w14:paraId="1B7B88F3" w14:textId="77777777" w:rsidR="003A61C8" w:rsidRDefault="003A61C8" w:rsidP="003D59AF">
      <w:pPr>
        <w:spacing w:after="0"/>
        <w:jc w:val="both"/>
      </w:pPr>
    </w:p>
    <w:p w14:paraId="6EFECAF2" w14:textId="243EE247" w:rsidR="006C19D2" w:rsidRPr="002D4E2B" w:rsidRDefault="003A61C8" w:rsidP="003D59AF">
      <w:pPr>
        <w:spacing w:after="0"/>
        <w:jc w:val="both"/>
        <w:rPr>
          <w:b/>
          <w:bCs/>
        </w:rPr>
      </w:pPr>
      <w:r w:rsidRPr="002D4E2B">
        <w:rPr>
          <w:b/>
          <w:bCs/>
        </w:rPr>
        <w:t>Conclusion</w:t>
      </w:r>
    </w:p>
    <w:p w14:paraId="15DF0A08" w14:textId="6A89CF2A" w:rsidR="006B3745" w:rsidRDefault="00086842" w:rsidP="003D59AF">
      <w:pPr>
        <w:spacing w:after="0"/>
        <w:jc w:val="both"/>
      </w:pPr>
      <w:r>
        <w:t xml:space="preserve">In </w:t>
      </w:r>
      <w:r w:rsidR="009E1695">
        <w:t xml:space="preserve">contract law </w:t>
      </w:r>
      <w:r w:rsidR="0023124C">
        <w:t xml:space="preserve">both </w:t>
      </w:r>
      <w:r w:rsidR="0023124C" w:rsidRPr="0023124C">
        <w:t xml:space="preserve">duress and due influence play a significant part </w:t>
      </w:r>
      <w:r w:rsidR="0023124C">
        <w:t>and it</w:t>
      </w:r>
      <w:r w:rsidR="00E7643A">
        <w:t xml:space="preserve"> is</w:t>
      </w:r>
      <w:r w:rsidR="0023124C">
        <w:t xml:space="preserve"> important to</w:t>
      </w:r>
      <w:r w:rsidR="00BB2DE1">
        <w:t xml:space="preserve"> be able </w:t>
      </w:r>
      <w:r w:rsidR="00E7643A">
        <w:t>to distinguish</w:t>
      </w:r>
      <w:r w:rsidR="008F6003">
        <w:t xml:space="preserve"> the differences. </w:t>
      </w:r>
      <w:r w:rsidR="00BB2DE1" w:rsidRPr="00BB2DE1">
        <w:t>When there is undue influence, one party has better feasibility of the respective contract at the expense of the other party.  The practice of influence will also be undue where the defendant allegedly took advantage of their position of influence to attain an advantage at the expense of the claimant, like making excess profits. The influence must have been practiced unduly, especially when there is presence of victimisation, misleading, tricking or forcing of the defendant.</w:t>
      </w:r>
      <w:r w:rsidR="000E6659">
        <w:t xml:space="preserve"> In this assignment </w:t>
      </w:r>
      <w:r w:rsidR="00A73117">
        <w:t xml:space="preserve">I have looked at </w:t>
      </w:r>
      <w:r w:rsidR="00FF25C2" w:rsidRPr="00FF25C2">
        <w:t>cases to bring the subject ma</w:t>
      </w:r>
      <w:r w:rsidR="00845341">
        <w:t>t</w:t>
      </w:r>
      <w:r w:rsidR="00FF25C2" w:rsidRPr="00FF25C2">
        <w:t xml:space="preserve">ter into </w:t>
      </w:r>
      <w:r w:rsidR="00994583" w:rsidRPr="00FF25C2">
        <w:t>perspective</w:t>
      </w:r>
      <w:r w:rsidR="00994583">
        <w:t>.</w:t>
      </w:r>
      <w:r w:rsidR="00845341">
        <w:t xml:space="preserve"> </w:t>
      </w:r>
    </w:p>
    <w:p w14:paraId="763FDE2C" w14:textId="40A942DC" w:rsidR="00C678C5" w:rsidRDefault="00C678C5" w:rsidP="00DF7887">
      <w:pPr>
        <w:spacing w:after="0"/>
        <w:jc w:val="both"/>
      </w:pPr>
    </w:p>
    <w:p w14:paraId="3876C6AB" w14:textId="31DE48B1" w:rsidR="0057704B" w:rsidRDefault="0057704B" w:rsidP="00DF7887">
      <w:pPr>
        <w:spacing w:after="0"/>
        <w:jc w:val="both"/>
      </w:pPr>
      <w:r>
        <w:t xml:space="preserve">Words </w:t>
      </w:r>
      <w:r w:rsidR="00BA56BB">
        <w:t>count (</w:t>
      </w:r>
      <w:r w:rsidR="005A5D07">
        <w:t>2583)</w:t>
      </w:r>
    </w:p>
    <w:p w14:paraId="2C75027C" w14:textId="75CD768A" w:rsidR="00CD3EA9" w:rsidRPr="00C678C5" w:rsidRDefault="00CD3EA9" w:rsidP="00CD3EA9">
      <w:pPr>
        <w:pStyle w:val="Heading4"/>
        <w:rPr>
          <w:sz w:val="36"/>
          <w:szCs w:val="36"/>
        </w:rPr>
      </w:pPr>
      <w:r w:rsidRPr="00C678C5">
        <w:rPr>
          <w:sz w:val="36"/>
          <w:szCs w:val="36"/>
        </w:rPr>
        <w:t>References</w:t>
      </w:r>
    </w:p>
    <w:p w14:paraId="1AB5125B" w14:textId="2F8DECAD" w:rsidR="008220D5" w:rsidRDefault="008220D5" w:rsidP="00D764BC">
      <w:pPr>
        <w:spacing w:after="0"/>
      </w:pPr>
    </w:p>
    <w:p w14:paraId="72BD647D" w14:textId="02EABED7" w:rsidR="008220D5" w:rsidRDefault="003B4F95" w:rsidP="00D764BC">
      <w:pPr>
        <w:spacing w:after="0"/>
      </w:pPr>
      <w:hyperlink r:id="rId8" w:history="1">
        <w:r w:rsidR="008220D5" w:rsidRPr="00CF2FB5">
          <w:rPr>
            <w:rStyle w:val="Hyperlink"/>
          </w:rPr>
          <w:t>https://sites.google.com/site/349924e64e68f035/issue-4/why-english-contract-law-should-prohibit-unfair-conduct-in-contractual-negotiations-by-a-general-doctrine-of-unconscionability</w:t>
        </w:r>
      </w:hyperlink>
    </w:p>
    <w:p w14:paraId="39B43092" w14:textId="29E45271" w:rsidR="008220D5" w:rsidRDefault="008220D5" w:rsidP="00D764BC">
      <w:pPr>
        <w:spacing w:after="0"/>
      </w:pPr>
    </w:p>
    <w:p w14:paraId="373B791E" w14:textId="28AE180E" w:rsidR="00D05D2C" w:rsidRDefault="003B4F95" w:rsidP="00D764BC">
      <w:pPr>
        <w:spacing w:after="0"/>
      </w:pPr>
      <w:hyperlink r:id="rId9" w:history="1">
        <w:r w:rsidR="00D05D2C" w:rsidRPr="00CF2FB5">
          <w:rPr>
            <w:rStyle w:val="Hyperlink"/>
          </w:rPr>
          <w:t>https://www.lexology.com/library/detail.aspx?g=c4503eaa-21c0-4c47-bc78-19a874a3477f</w:t>
        </w:r>
      </w:hyperlink>
    </w:p>
    <w:p w14:paraId="76726FC6" w14:textId="2EADEE91" w:rsidR="00D05D2C" w:rsidRDefault="00D05D2C" w:rsidP="00D764BC">
      <w:pPr>
        <w:spacing w:after="0"/>
      </w:pPr>
    </w:p>
    <w:p w14:paraId="61A5FF0D" w14:textId="26AA00C8" w:rsidR="002C3BF5" w:rsidRDefault="003B4F95" w:rsidP="00D764BC">
      <w:pPr>
        <w:spacing w:after="0"/>
      </w:pPr>
      <w:hyperlink r:id="rId10" w:history="1">
        <w:r w:rsidR="002C3BF5" w:rsidRPr="00CF2FB5">
          <w:rPr>
            <w:rStyle w:val="Hyperlink"/>
          </w:rPr>
          <w:t>https://www.studentlawnotes.com/skeate-v-beale-1840-11-ad-e-983</w:t>
        </w:r>
      </w:hyperlink>
    </w:p>
    <w:p w14:paraId="237D4902" w14:textId="41F7C944" w:rsidR="002C3BF5" w:rsidRDefault="002C3BF5" w:rsidP="00D764BC">
      <w:pPr>
        <w:spacing w:after="0"/>
      </w:pPr>
    </w:p>
    <w:p w14:paraId="59F11BFB" w14:textId="2F765308" w:rsidR="00501B62" w:rsidRDefault="003B4F95" w:rsidP="00D764BC">
      <w:pPr>
        <w:spacing w:after="0"/>
      </w:pPr>
      <w:hyperlink r:id="rId11" w:history="1">
        <w:r w:rsidR="00501B62" w:rsidRPr="00CF2FB5">
          <w:rPr>
            <w:rStyle w:val="Hyperlink"/>
          </w:rPr>
          <w:t>https://www.studocu.com/en-gb/document/university-of-gloucestershire/contract-law/contract-duress-cases/3919513</w:t>
        </w:r>
      </w:hyperlink>
    </w:p>
    <w:p w14:paraId="695C3026" w14:textId="77777777" w:rsidR="006722F4" w:rsidRDefault="006722F4" w:rsidP="00D764BC">
      <w:pPr>
        <w:spacing w:after="0"/>
      </w:pPr>
    </w:p>
    <w:p w14:paraId="77AA1675" w14:textId="2E549AF6" w:rsidR="00501B62" w:rsidRDefault="003B4F95" w:rsidP="00D764BC">
      <w:pPr>
        <w:spacing w:after="0"/>
      </w:pPr>
      <w:hyperlink r:id="rId12" w:history="1">
        <w:r w:rsidR="00DA6859" w:rsidRPr="00CF2FB5">
          <w:rPr>
            <w:rStyle w:val="Hyperlink"/>
          </w:rPr>
          <w:t>https://www.casemine.com/search/uk/barton%2Barmstrong</w:t>
        </w:r>
      </w:hyperlink>
    </w:p>
    <w:p w14:paraId="00195608" w14:textId="21BAEE43" w:rsidR="00DA6859" w:rsidRDefault="00DA6859" w:rsidP="00D764BC">
      <w:pPr>
        <w:spacing w:after="0"/>
      </w:pPr>
    </w:p>
    <w:p w14:paraId="2D5C3210" w14:textId="69CFA953" w:rsidR="00A874EA" w:rsidRDefault="003B4F95" w:rsidP="00D764BC">
      <w:pPr>
        <w:spacing w:after="0"/>
      </w:pPr>
      <w:hyperlink r:id="rId13" w:history="1">
        <w:r w:rsidR="00A874EA" w:rsidRPr="00CF2FB5">
          <w:rPr>
            <w:rStyle w:val="Hyperlink"/>
          </w:rPr>
          <w:t>https://www.allenovery.com/en-gb/global/news-and-insights/publications/top-finance-litigation-and-contract-law-developments-in-2019</w:t>
        </w:r>
      </w:hyperlink>
    </w:p>
    <w:p w14:paraId="5E9FB1D6" w14:textId="77777777" w:rsidR="006722F4" w:rsidRDefault="006722F4" w:rsidP="00D764BC">
      <w:pPr>
        <w:spacing w:after="0"/>
      </w:pPr>
    </w:p>
    <w:p w14:paraId="698BBC3D" w14:textId="66179344" w:rsidR="00C159B1" w:rsidRDefault="003B4F95" w:rsidP="00D764BC">
      <w:pPr>
        <w:spacing w:after="0"/>
      </w:pPr>
      <w:hyperlink r:id="rId14" w:history="1">
        <w:r w:rsidR="00CC23A8" w:rsidRPr="00CF2FB5">
          <w:rPr>
            <w:rStyle w:val="Hyperlink"/>
          </w:rPr>
          <w:t>https://www.jstor.org/stable/1340776</w:t>
        </w:r>
      </w:hyperlink>
    </w:p>
    <w:p w14:paraId="4A3A2887" w14:textId="0873FD94" w:rsidR="00CC23A8" w:rsidRDefault="00CC23A8" w:rsidP="00D764BC">
      <w:pPr>
        <w:spacing w:after="0"/>
      </w:pPr>
    </w:p>
    <w:p w14:paraId="64D3D70D" w14:textId="348F8C95" w:rsidR="00CC23A8" w:rsidRDefault="003B4F95" w:rsidP="00D764BC">
      <w:pPr>
        <w:spacing w:after="0"/>
      </w:pPr>
      <w:hyperlink r:id="rId15" w:history="1">
        <w:r w:rsidR="001F7FA4" w:rsidRPr="00CF2FB5">
          <w:rPr>
            <w:rStyle w:val="Hyperlink"/>
          </w:rPr>
          <w:t>https://e-lawresources.co.uk/Contract.php</w:t>
        </w:r>
      </w:hyperlink>
    </w:p>
    <w:p w14:paraId="4C213057" w14:textId="1DA088D8" w:rsidR="001F7FA4" w:rsidRDefault="001F7FA4" w:rsidP="00D764BC">
      <w:pPr>
        <w:spacing w:after="0"/>
      </w:pPr>
    </w:p>
    <w:p w14:paraId="35E55FD5" w14:textId="2F783B05" w:rsidR="00E37836" w:rsidRDefault="00E37836" w:rsidP="00D764BC">
      <w:pPr>
        <w:spacing w:after="0"/>
      </w:pPr>
    </w:p>
    <w:p w14:paraId="327CFEEA" w14:textId="2D5F0B5F" w:rsidR="00340E20" w:rsidRPr="009E15DE" w:rsidRDefault="009E15DE" w:rsidP="00D764BC">
      <w:pPr>
        <w:spacing w:after="0"/>
        <w:rPr>
          <w:rFonts w:asciiTheme="majorHAnsi" w:eastAsiaTheme="majorEastAsia" w:hAnsiTheme="majorHAnsi" w:cstheme="majorBidi"/>
          <w:b/>
          <w:bCs/>
          <w:i/>
          <w:iCs/>
          <w:color w:val="4472C4" w:themeColor="accent1"/>
          <w:sz w:val="36"/>
          <w:szCs w:val="36"/>
        </w:rPr>
      </w:pPr>
      <w:r w:rsidRPr="009E15DE">
        <w:rPr>
          <w:rFonts w:asciiTheme="majorHAnsi" w:eastAsiaTheme="majorEastAsia" w:hAnsiTheme="majorHAnsi" w:cstheme="majorBidi"/>
          <w:b/>
          <w:bCs/>
          <w:i/>
          <w:iCs/>
          <w:color w:val="4472C4" w:themeColor="accent1"/>
          <w:sz w:val="36"/>
          <w:szCs w:val="36"/>
        </w:rPr>
        <w:t>C</w:t>
      </w:r>
      <w:r w:rsidR="00340E20" w:rsidRPr="009E15DE">
        <w:rPr>
          <w:rFonts w:asciiTheme="majorHAnsi" w:eastAsiaTheme="majorEastAsia" w:hAnsiTheme="majorHAnsi" w:cstheme="majorBidi"/>
          <w:b/>
          <w:bCs/>
          <w:i/>
          <w:iCs/>
          <w:color w:val="4472C4" w:themeColor="accent1"/>
          <w:sz w:val="36"/>
          <w:szCs w:val="36"/>
        </w:rPr>
        <w:t>ases:</w:t>
      </w:r>
    </w:p>
    <w:p w14:paraId="6CC02062" w14:textId="746828E7" w:rsidR="00B25BED" w:rsidRDefault="00B25BED" w:rsidP="00D764BC">
      <w:pPr>
        <w:spacing w:after="0"/>
      </w:pPr>
      <w:r w:rsidRPr="00B25BED">
        <w:t>Victoria Laundry v Newham Industries (1949)</w:t>
      </w:r>
    </w:p>
    <w:p w14:paraId="5AF62DC3" w14:textId="4960B894" w:rsidR="00EE4787" w:rsidRDefault="00EE4787" w:rsidP="00D764BC">
      <w:pPr>
        <w:spacing w:after="0"/>
      </w:pPr>
      <w:r w:rsidRPr="00EE4787">
        <w:t>Hadley v Baxendale (1854)</w:t>
      </w:r>
    </w:p>
    <w:p w14:paraId="7C4E7221" w14:textId="71D2AF08" w:rsidR="000239D9" w:rsidRDefault="00356FFB" w:rsidP="00D764BC">
      <w:pPr>
        <w:spacing w:after="0"/>
      </w:pPr>
      <w:proofErr w:type="spellStart"/>
      <w:r w:rsidRPr="00356FFB">
        <w:t>Payzu</w:t>
      </w:r>
      <w:proofErr w:type="spellEnd"/>
      <w:r w:rsidRPr="00356FFB">
        <w:t xml:space="preserve"> v Saunders (1919)</w:t>
      </w:r>
    </w:p>
    <w:p w14:paraId="2CF75C90" w14:textId="77777777" w:rsidR="009E15DE" w:rsidRDefault="009E15DE" w:rsidP="009E15DE">
      <w:pPr>
        <w:spacing w:after="0"/>
      </w:pPr>
      <w:r>
        <w:t>Bank of Credit and Commerce International SA v Aboody [1992] 4 All ER 955 (CA)</w:t>
      </w:r>
    </w:p>
    <w:p w14:paraId="28A6B930" w14:textId="77777777" w:rsidR="009E15DE" w:rsidRDefault="009E15DE" w:rsidP="009E15DE">
      <w:pPr>
        <w:spacing w:after="0"/>
      </w:pPr>
      <w:r>
        <w:t>Barton v Armstrong [1976] AC 104</w:t>
      </w:r>
    </w:p>
    <w:p w14:paraId="1F1B203F" w14:textId="77777777" w:rsidR="009E15DE" w:rsidRDefault="009E15DE" w:rsidP="009E15DE">
      <w:pPr>
        <w:spacing w:after="0"/>
      </w:pPr>
      <w:r>
        <w:t xml:space="preserve">Occidental Worldwide Investment v </w:t>
      </w:r>
      <w:proofErr w:type="spellStart"/>
      <w:r>
        <w:t>Skibs</w:t>
      </w:r>
      <w:proofErr w:type="spellEnd"/>
      <w:r>
        <w:t xml:space="preserve"> (The </w:t>
      </w:r>
      <w:proofErr w:type="spellStart"/>
      <w:r>
        <w:t>Sibeon</w:t>
      </w:r>
      <w:proofErr w:type="spellEnd"/>
      <w:r>
        <w:t xml:space="preserve"> &amp; The </w:t>
      </w:r>
      <w:proofErr w:type="spellStart"/>
      <w:r>
        <w:t>Sibotre</w:t>
      </w:r>
      <w:proofErr w:type="spellEnd"/>
      <w:r>
        <w:t>) [1976]1 Lloyds Rep 293</w:t>
      </w:r>
    </w:p>
    <w:p w14:paraId="6EB0DCC0" w14:textId="77777777" w:rsidR="009E15DE" w:rsidRDefault="009E15DE" w:rsidP="009E15DE">
      <w:pPr>
        <w:spacing w:after="0"/>
      </w:pPr>
      <w:r>
        <w:t>Morley v. Loughnan, 1893 Ch 1 736, 1 Ch. 736 (1893)</w:t>
      </w:r>
    </w:p>
    <w:p w14:paraId="12119B5D" w14:textId="294B377A" w:rsidR="009E15DE" w:rsidRDefault="009E15DE" w:rsidP="009E15DE">
      <w:pPr>
        <w:spacing w:after="0"/>
      </w:pPr>
      <w:r>
        <w:t xml:space="preserve">Pao on v Lau </w:t>
      </w:r>
      <w:proofErr w:type="spellStart"/>
      <w:r>
        <w:t>yiu</w:t>
      </w:r>
      <w:proofErr w:type="spellEnd"/>
      <w:r>
        <w:t xml:space="preserve"> Long [1979]3 All ER 65</w:t>
      </w:r>
    </w:p>
    <w:p w14:paraId="48820657" w14:textId="77777777" w:rsidR="009E15DE" w:rsidRDefault="009E15DE" w:rsidP="009E15DE">
      <w:pPr>
        <w:spacing w:after="0"/>
      </w:pPr>
      <w:proofErr w:type="spellStart"/>
      <w:r>
        <w:t>Skeate</w:t>
      </w:r>
      <w:proofErr w:type="spellEnd"/>
      <w:r>
        <w:t xml:space="preserve"> v Beale [1840] 11 Ad &amp; El 983</w:t>
      </w:r>
    </w:p>
    <w:p w14:paraId="3F3A235A" w14:textId="77777777" w:rsidR="009E15DE" w:rsidRDefault="009E15DE" w:rsidP="009E15DE">
      <w:pPr>
        <w:spacing w:after="0"/>
      </w:pPr>
      <w:r>
        <w:t>Lloyds Bank Ltd v Bundy [1975] QB 326 (CA)</w:t>
      </w:r>
    </w:p>
    <w:p w14:paraId="4F64CEBA" w14:textId="77777777" w:rsidR="003A5165" w:rsidRDefault="003A5165" w:rsidP="003A5165">
      <w:pPr>
        <w:spacing w:after="0"/>
      </w:pPr>
      <w:r w:rsidRPr="00F41CB4">
        <w:t xml:space="preserve">Times Travel (UK) Ltd v Pakistan Airlines Corporation [2019] EWCA </w:t>
      </w:r>
      <w:proofErr w:type="spellStart"/>
      <w:r w:rsidRPr="00F41CB4">
        <w:t>Civ</w:t>
      </w:r>
      <w:proofErr w:type="spellEnd"/>
      <w:r w:rsidRPr="00F41CB4">
        <w:t xml:space="preserve"> 828</w:t>
      </w:r>
    </w:p>
    <w:p w14:paraId="3B9ADC6E" w14:textId="3F072F5E" w:rsidR="003A5165" w:rsidRDefault="003A5165" w:rsidP="009E15DE">
      <w:pPr>
        <w:spacing w:after="0"/>
      </w:pPr>
    </w:p>
    <w:p w14:paraId="11B106F6" w14:textId="77777777" w:rsidR="003A5165" w:rsidRDefault="003A5165" w:rsidP="009E15DE">
      <w:pPr>
        <w:spacing w:after="0"/>
      </w:pPr>
    </w:p>
    <w:p w14:paraId="0B184541" w14:textId="77777777" w:rsidR="009E15DE" w:rsidRDefault="009E15DE" w:rsidP="009E15DE">
      <w:pPr>
        <w:spacing w:after="0"/>
      </w:pPr>
      <w:proofErr w:type="spellStart"/>
      <w:r>
        <w:t>Kalondo</w:t>
      </w:r>
      <w:proofErr w:type="spellEnd"/>
      <w:r>
        <w:t xml:space="preserve">, P. J. (2020). Duress, Undue </w:t>
      </w:r>
      <w:proofErr w:type="gramStart"/>
      <w:r>
        <w:t>Influence</w:t>
      </w:r>
      <w:proofErr w:type="gramEnd"/>
      <w:r>
        <w:t xml:space="preserve"> and the Ethics of Pre-contractual Negotiation. Available at SSRN 3533966.</w:t>
      </w:r>
    </w:p>
    <w:p w14:paraId="4FE3A295" w14:textId="3D25834A" w:rsidR="00356FFB" w:rsidRDefault="009E15DE" w:rsidP="009E15DE">
      <w:pPr>
        <w:spacing w:after="0"/>
      </w:pPr>
      <w:r>
        <w:t>Van Eck, M. M. (2020). The Disruptive Force of Smart Contracts. In The Disruptive Fourth Industrial Revolution (pp. 21-45). Springer, Cham.</w:t>
      </w:r>
    </w:p>
    <w:sectPr w:rsidR="00356FFB" w:rsidSect="00E02122">
      <w:headerReference w:type="default" r:id="rId16"/>
      <w:footerReference w:type="default" r:id="rId17"/>
      <w:pgSz w:w="11906" w:h="16838"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A84B2B" w14:textId="77777777" w:rsidR="00EC6403" w:rsidRDefault="00EC6403" w:rsidP="00E02122">
      <w:pPr>
        <w:spacing w:after="0" w:line="240" w:lineRule="auto"/>
      </w:pPr>
      <w:r>
        <w:separator/>
      </w:r>
    </w:p>
  </w:endnote>
  <w:endnote w:type="continuationSeparator" w:id="0">
    <w:p w14:paraId="46706CBD" w14:textId="77777777" w:rsidR="00EC6403" w:rsidRDefault="00EC6403" w:rsidP="00E021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1041299"/>
      <w:docPartObj>
        <w:docPartGallery w:val="Page Numbers (Bottom of Page)"/>
        <w:docPartUnique/>
      </w:docPartObj>
    </w:sdtPr>
    <w:sdtEndPr>
      <w:rPr>
        <w:noProof/>
      </w:rPr>
    </w:sdtEndPr>
    <w:sdtContent>
      <w:p w14:paraId="428764D6" w14:textId="5DEA21A7" w:rsidR="00A14F8C" w:rsidRDefault="00A14F8C">
        <w:pPr>
          <w:pStyle w:val="Footer"/>
          <w:jc w:val="center"/>
        </w:pPr>
        <w:r>
          <w:rPr>
            <w:noProof/>
          </w:rPr>
          <mc:AlternateContent>
            <mc:Choice Requires="wps">
              <w:drawing>
                <wp:anchor distT="0" distB="0" distL="114300" distR="114300" simplePos="0" relativeHeight="251659264" behindDoc="0" locked="0" layoutInCell="1" allowOverlap="1" wp14:anchorId="7A19EE4A" wp14:editId="32808F62">
                  <wp:simplePos x="0" y="0"/>
                  <wp:positionH relativeFrom="column">
                    <wp:posOffset>-123092</wp:posOffset>
                  </wp:positionH>
                  <wp:positionV relativeFrom="paragraph">
                    <wp:posOffset>123140</wp:posOffset>
                  </wp:positionV>
                  <wp:extent cx="6154273" cy="11723"/>
                  <wp:effectExtent l="0" t="0" r="37465" b="26670"/>
                  <wp:wrapNone/>
                  <wp:docPr id="1" name="Straight Connector 1"/>
                  <wp:cNvGraphicFramePr/>
                  <a:graphic xmlns:a="http://schemas.openxmlformats.org/drawingml/2006/main">
                    <a:graphicData uri="http://schemas.microsoft.com/office/word/2010/wordprocessingShape">
                      <wps:wsp>
                        <wps:cNvCnPr/>
                        <wps:spPr>
                          <a:xfrm flipV="1">
                            <a:off x="0" y="0"/>
                            <a:ext cx="6154273" cy="1172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B4015A" id="Straight Connector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7pt,9.7pt" to="474.9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" strokecolor="#4472c4 [3204]" strokeweight=".5pt">
                  <v:stroke joinstyle="miter"/>
                </v:line>
              </w:pict>
            </mc:Fallback>
          </mc:AlternateContent>
        </w:r>
      </w:p>
      <w:p w14:paraId="3C936E98" w14:textId="6AEDDEC0" w:rsidR="00F904E6" w:rsidRDefault="00F904E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8FD7709" w14:textId="77777777" w:rsidR="00F904E6" w:rsidRDefault="00F904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0DAFC6" w14:textId="77777777" w:rsidR="00EC6403" w:rsidRDefault="00EC6403" w:rsidP="00E02122">
      <w:pPr>
        <w:spacing w:after="0" w:line="240" w:lineRule="auto"/>
      </w:pPr>
      <w:r>
        <w:separator/>
      </w:r>
    </w:p>
  </w:footnote>
  <w:footnote w:type="continuationSeparator" w:id="0">
    <w:p w14:paraId="432C9C2C" w14:textId="77777777" w:rsidR="00EC6403" w:rsidRDefault="00EC6403" w:rsidP="00E021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E31EC" w14:textId="0C817F4F" w:rsidR="004A43E4" w:rsidRDefault="004A43E4">
    <w:pPr>
      <w:pStyle w:val="Header"/>
    </w:pPr>
    <w:r>
      <w:rPr>
        <w:color w:val="8496B0" w:themeColor="text2" w:themeTint="99"/>
        <w:sz w:val="24"/>
        <w:szCs w:val="24"/>
      </w:rPr>
      <w:tab/>
    </w:r>
    <w:r>
      <w:rPr>
        <w:color w:val="8496B0" w:themeColor="text2" w:themeTint="99"/>
        <w:sz w:val="24"/>
        <w:szCs w:val="24"/>
      </w:rPr>
      <w:tab/>
    </w:r>
    <w:proofErr w:type="spellStart"/>
    <w:r>
      <w:rPr>
        <w:color w:val="8496B0" w:themeColor="text2" w:themeTint="99"/>
        <w:sz w:val="24"/>
        <w:szCs w:val="24"/>
      </w:rPr>
      <w:t>Sa</w:t>
    </w:r>
    <w:r w:rsidR="008E790F">
      <w:rPr>
        <w:color w:val="8496B0" w:themeColor="text2" w:themeTint="99"/>
        <w:sz w:val="24"/>
        <w:szCs w:val="24"/>
      </w:rPr>
      <w:t>j</w:t>
    </w:r>
    <w:r>
      <w:rPr>
        <w:color w:val="8496B0" w:themeColor="text2" w:themeTint="99"/>
        <w:sz w:val="24"/>
        <w:szCs w:val="24"/>
      </w:rPr>
      <w:t>a</w:t>
    </w:r>
    <w:proofErr w:type="spellEnd"/>
    <w:r>
      <w:rPr>
        <w:color w:val="8496B0" w:themeColor="text2" w:themeTint="99"/>
        <w:sz w:val="24"/>
        <w:szCs w:val="24"/>
      </w:rPr>
      <w:t xml:space="preserve"> </w:t>
    </w:r>
    <w:proofErr w:type="spellStart"/>
    <w:r w:rsidR="008E790F">
      <w:rPr>
        <w:color w:val="8496B0" w:themeColor="text2" w:themeTint="99"/>
        <w:sz w:val="24"/>
        <w:szCs w:val="24"/>
      </w:rPr>
      <w:t>Miziel</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F7123F"/>
    <w:multiLevelType w:val="hybridMultilevel"/>
    <w:tmpl w:val="5CB89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584C31"/>
    <w:multiLevelType w:val="multilevel"/>
    <w:tmpl w:val="821CD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EE4BF0"/>
    <w:multiLevelType w:val="hybridMultilevel"/>
    <w:tmpl w:val="E36C31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CC335A"/>
    <w:multiLevelType w:val="hybridMultilevel"/>
    <w:tmpl w:val="747AFA34"/>
    <w:lvl w:ilvl="0" w:tplc="D1C0563A">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0D1FD7"/>
    <w:multiLevelType w:val="hybridMultilevel"/>
    <w:tmpl w:val="47FAC5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A95545B"/>
    <w:multiLevelType w:val="hybridMultilevel"/>
    <w:tmpl w:val="A044F66E"/>
    <w:lvl w:ilvl="0" w:tplc="08090001">
      <w:start w:val="1"/>
      <w:numFmt w:val="bullet"/>
      <w:lvlText w:val=""/>
      <w:lvlJc w:val="left"/>
      <w:pPr>
        <w:ind w:left="1080" w:hanging="360"/>
      </w:pPr>
      <w:rPr>
        <w:rFonts w:ascii="Symbol" w:hAnsi="Symbol" w:hint="default"/>
      </w:rPr>
    </w:lvl>
    <w:lvl w:ilvl="1" w:tplc="82402F7A">
      <w:numFmt w:val="bullet"/>
      <w:lvlText w:val="•"/>
      <w:lvlJc w:val="left"/>
      <w:pPr>
        <w:ind w:left="2160" w:hanging="720"/>
      </w:pPr>
      <w:rPr>
        <w:rFonts w:ascii="Calibri" w:eastAsiaTheme="minorEastAsia" w:hAnsi="Calibri" w:cs="Calibri" w:hint="default"/>
      </w:r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B3F364E"/>
    <w:multiLevelType w:val="hybridMultilevel"/>
    <w:tmpl w:val="28F83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587F21"/>
    <w:multiLevelType w:val="hybridMultilevel"/>
    <w:tmpl w:val="7EC6E9E4"/>
    <w:lvl w:ilvl="0" w:tplc="07DE107A">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FF3C24"/>
    <w:multiLevelType w:val="hybridMultilevel"/>
    <w:tmpl w:val="E5661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04E32C1"/>
    <w:multiLevelType w:val="hybridMultilevel"/>
    <w:tmpl w:val="E8F0D8D4"/>
    <w:lvl w:ilvl="0" w:tplc="6712A240">
      <w:start w:val="9"/>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B12E49"/>
    <w:multiLevelType w:val="hybridMultilevel"/>
    <w:tmpl w:val="86DC2D50"/>
    <w:lvl w:ilvl="0" w:tplc="3A9858BC">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3"/>
  </w:num>
  <w:num w:numId="4">
    <w:abstractNumId w:val="8"/>
  </w:num>
  <w:num w:numId="5">
    <w:abstractNumId w:val="9"/>
  </w:num>
  <w:num w:numId="6">
    <w:abstractNumId w:val="4"/>
  </w:num>
  <w:num w:numId="7">
    <w:abstractNumId w:val="5"/>
  </w:num>
  <w:num w:numId="8">
    <w:abstractNumId w:val="2"/>
  </w:num>
  <w:num w:numId="9">
    <w:abstractNumId w:val="0"/>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4BC"/>
    <w:rsid w:val="0000517C"/>
    <w:rsid w:val="00017E8C"/>
    <w:rsid w:val="000239D9"/>
    <w:rsid w:val="0002664A"/>
    <w:rsid w:val="000308CA"/>
    <w:rsid w:val="00035CA7"/>
    <w:rsid w:val="0003672E"/>
    <w:rsid w:val="00044D4A"/>
    <w:rsid w:val="000526AC"/>
    <w:rsid w:val="00056E53"/>
    <w:rsid w:val="00062E0B"/>
    <w:rsid w:val="000676D9"/>
    <w:rsid w:val="00072F52"/>
    <w:rsid w:val="000830A1"/>
    <w:rsid w:val="00085CBF"/>
    <w:rsid w:val="00086842"/>
    <w:rsid w:val="000B61C1"/>
    <w:rsid w:val="000D74E9"/>
    <w:rsid w:val="000E1CE6"/>
    <w:rsid w:val="000E6659"/>
    <w:rsid w:val="00101203"/>
    <w:rsid w:val="001075FA"/>
    <w:rsid w:val="001201E7"/>
    <w:rsid w:val="001246EB"/>
    <w:rsid w:val="001267B6"/>
    <w:rsid w:val="00130530"/>
    <w:rsid w:val="00130B39"/>
    <w:rsid w:val="00134B9F"/>
    <w:rsid w:val="00134E78"/>
    <w:rsid w:val="00143582"/>
    <w:rsid w:val="001446F3"/>
    <w:rsid w:val="00144758"/>
    <w:rsid w:val="0014792A"/>
    <w:rsid w:val="00155A02"/>
    <w:rsid w:val="001617FF"/>
    <w:rsid w:val="00164DCA"/>
    <w:rsid w:val="00166A6D"/>
    <w:rsid w:val="00183B50"/>
    <w:rsid w:val="00186CCB"/>
    <w:rsid w:val="00191EC1"/>
    <w:rsid w:val="001A1D7F"/>
    <w:rsid w:val="001A42FE"/>
    <w:rsid w:val="001A4F1E"/>
    <w:rsid w:val="001A580A"/>
    <w:rsid w:val="001B032D"/>
    <w:rsid w:val="001B5B82"/>
    <w:rsid w:val="001C114B"/>
    <w:rsid w:val="001C7CA8"/>
    <w:rsid w:val="001E6793"/>
    <w:rsid w:val="001F71B0"/>
    <w:rsid w:val="001F73A6"/>
    <w:rsid w:val="001F7FA4"/>
    <w:rsid w:val="00201159"/>
    <w:rsid w:val="0021135F"/>
    <w:rsid w:val="00225B26"/>
    <w:rsid w:val="0023124C"/>
    <w:rsid w:val="002321AF"/>
    <w:rsid w:val="0023275F"/>
    <w:rsid w:val="00233770"/>
    <w:rsid w:val="00234D4D"/>
    <w:rsid w:val="00242916"/>
    <w:rsid w:val="00245E65"/>
    <w:rsid w:val="002473DA"/>
    <w:rsid w:val="00263406"/>
    <w:rsid w:val="0026446E"/>
    <w:rsid w:val="00273AE4"/>
    <w:rsid w:val="00273E13"/>
    <w:rsid w:val="00283FAE"/>
    <w:rsid w:val="00297252"/>
    <w:rsid w:val="002A6053"/>
    <w:rsid w:val="002B583D"/>
    <w:rsid w:val="002B66AA"/>
    <w:rsid w:val="002B6F44"/>
    <w:rsid w:val="002B7476"/>
    <w:rsid w:val="002C37CB"/>
    <w:rsid w:val="002C3BF5"/>
    <w:rsid w:val="002C549C"/>
    <w:rsid w:val="002D041A"/>
    <w:rsid w:val="002D05A0"/>
    <w:rsid w:val="002D1246"/>
    <w:rsid w:val="002D4E2B"/>
    <w:rsid w:val="002D7F89"/>
    <w:rsid w:val="002E5C31"/>
    <w:rsid w:val="002F1328"/>
    <w:rsid w:val="002F1FE4"/>
    <w:rsid w:val="002F38C0"/>
    <w:rsid w:val="002F5DB7"/>
    <w:rsid w:val="002F722A"/>
    <w:rsid w:val="003126C6"/>
    <w:rsid w:val="00313412"/>
    <w:rsid w:val="003164E7"/>
    <w:rsid w:val="00324ABF"/>
    <w:rsid w:val="00324EF4"/>
    <w:rsid w:val="00325B5C"/>
    <w:rsid w:val="00326645"/>
    <w:rsid w:val="00330EA9"/>
    <w:rsid w:val="003312FD"/>
    <w:rsid w:val="00333D61"/>
    <w:rsid w:val="003349FC"/>
    <w:rsid w:val="00335A26"/>
    <w:rsid w:val="00340E20"/>
    <w:rsid w:val="003517E3"/>
    <w:rsid w:val="00352BFA"/>
    <w:rsid w:val="00356233"/>
    <w:rsid w:val="00356FFB"/>
    <w:rsid w:val="003601CE"/>
    <w:rsid w:val="0036033B"/>
    <w:rsid w:val="00373ADA"/>
    <w:rsid w:val="0037489C"/>
    <w:rsid w:val="00377B99"/>
    <w:rsid w:val="0038012F"/>
    <w:rsid w:val="00383D03"/>
    <w:rsid w:val="00384B8E"/>
    <w:rsid w:val="00393D23"/>
    <w:rsid w:val="003A5165"/>
    <w:rsid w:val="003A61C8"/>
    <w:rsid w:val="003B4F95"/>
    <w:rsid w:val="003B66E0"/>
    <w:rsid w:val="003C3A83"/>
    <w:rsid w:val="003C5964"/>
    <w:rsid w:val="003C6C79"/>
    <w:rsid w:val="003D59AF"/>
    <w:rsid w:val="003F039D"/>
    <w:rsid w:val="003F27E8"/>
    <w:rsid w:val="003F3547"/>
    <w:rsid w:val="003F520F"/>
    <w:rsid w:val="004000AD"/>
    <w:rsid w:val="00411893"/>
    <w:rsid w:val="0041560B"/>
    <w:rsid w:val="00420027"/>
    <w:rsid w:val="00423298"/>
    <w:rsid w:val="004259D1"/>
    <w:rsid w:val="00431D8C"/>
    <w:rsid w:val="00432E0D"/>
    <w:rsid w:val="004371C6"/>
    <w:rsid w:val="0044067D"/>
    <w:rsid w:val="00442ABC"/>
    <w:rsid w:val="00443F0C"/>
    <w:rsid w:val="004544EF"/>
    <w:rsid w:val="00455673"/>
    <w:rsid w:val="00461ED0"/>
    <w:rsid w:val="004746E0"/>
    <w:rsid w:val="00482F9D"/>
    <w:rsid w:val="004835B2"/>
    <w:rsid w:val="00485BA2"/>
    <w:rsid w:val="00496E0E"/>
    <w:rsid w:val="004A43E4"/>
    <w:rsid w:val="004B0E3E"/>
    <w:rsid w:val="004C663B"/>
    <w:rsid w:val="004D0A63"/>
    <w:rsid w:val="004D105D"/>
    <w:rsid w:val="004D2D3C"/>
    <w:rsid w:val="004D3618"/>
    <w:rsid w:val="004D50F1"/>
    <w:rsid w:val="004D5D69"/>
    <w:rsid w:val="004D7B3B"/>
    <w:rsid w:val="004E1293"/>
    <w:rsid w:val="004E1FC0"/>
    <w:rsid w:val="004F02C2"/>
    <w:rsid w:val="004F0E49"/>
    <w:rsid w:val="004F2F4C"/>
    <w:rsid w:val="004F6E4E"/>
    <w:rsid w:val="004F7EC7"/>
    <w:rsid w:val="00501B62"/>
    <w:rsid w:val="00501D11"/>
    <w:rsid w:val="0051546D"/>
    <w:rsid w:val="005204A0"/>
    <w:rsid w:val="00520DCB"/>
    <w:rsid w:val="0052179A"/>
    <w:rsid w:val="00524BD7"/>
    <w:rsid w:val="00532327"/>
    <w:rsid w:val="005478A6"/>
    <w:rsid w:val="00554F99"/>
    <w:rsid w:val="00561891"/>
    <w:rsid w:val="00563594"/>
    <w:rsid w:val="00570B80"/>
    <w:rsid w:val="00573B96"/>
    <w:rsid w:val="00575AFE"/>
    <w:rsid w:val="00575BE4"/>
    <w:rsid w:val="0057704B"/>
    <w:rsid w:val="00577514"/>
    <w:rsid w:val="00581135"/>
    <w:rsid w:val="0058559A"/>
    <w:rsid w:val="00590FEE"/>
    <w:rsid w:val="005951D3"/>
    <w:rsid w:val="00596BBB"/>
    <w:rsid w:val="005A4CD0"/>
    <w:rsid w:val="005A5D07"/>
    <w:rsid w:val="005A7E0A"/>
    <w:rsid w:val="005B40D7"/>
    <w:rsid w:val="005C176D"/>
    <w:rsid w:val="005D1181"/>
    <w:rsid w:val="005D13AB"/>
    <w:rsid w:val="005D5B22"/>
    <w:rsid w:val="005F340C"/>
    <w:rsid w:val="00612C20"/>
    <w:rsid w:val="006137D2"/>
    <w:rsid w:val="00615DA6"/>
    <w:rsid w:val="00623524"/>
    <w:rsid w:val="00631034"/>
    <w:rsid w:val="0063126D"/>
    <w:rsid w:val="00634B52"/>
    <w:rsid w:val="0063669B"/>
    <w:rsid w:val="0064133A"/>
    <w:rsid w:val="0065025B"/>
    <w:rsid w:val="00653F32"/>
    <w:rsid w:val="00654208"/>
    <w:rsid w:val="006572A4"/>
    <w:rsid w:val="0066201C"/>
    <w:rsid w:val="00662310"/>
    <w:rsid w:val="00662EE9"/>
    <w:rsid w:val="006655E0"/>
    <w:rsid w:val="00666677"/>
    <w:rsid w:val="006722F4"/>
    <w:rsid w:val="00672EE4"/>
    <w:rsid w:val="00675A30"/>
    <w:rsid w:val="00681603"/>
    <w:rsid w:val="00691FD6"/>
    <w:rsid w:val="00696711"/>
    <w:rsid w:val="006B2044"/>
    <w:rsid w:val="006B3745"/>
    <w:rsid w:val="006B3E1E"/>
    <w:rsid w:val="006B4D47"/>
    <w:rsid w:val="006C19D2"/>
    <w:rsid w:val="006C5C35"/>
    <w:rsid w:val="006D2FDC"/>
    <w:rsid w:val="006D30A6"/>
    <w:rsid w:val="006D4A9A"/>
    <w:rsid w:val="006D4D6A"/>
    <w:rsid w:val="006E77C3"/>
    <w:rsid w:val="00702A26"/>
    <w:rsid w:val="00703F00"/>
    <w:rsid w:val="00704667"/>
    <w:rsid w:val="007058F8"/>
    <w:rsid w:val="00706190"/>
    <w:rsid w:val="00707220"/>
    <w:rsid w:val="00707E9A"/>
    <w:rsid w:val="00713F17"/>
    <w:rsid w:val="00714033"/>
    <w:rsid w:val="0071495F"/>
    <w:rsid w:val="00714B66"/>
    <w:rsid w:val="007211A1"/>
    <w:rsid w:val="00722005"/>
    <w:rsid w:val="007224A0"/>
    <w:rsid w:val="00724420"/>
    <w:rsid w:val="007255EF"/>
    <w:rsid w:val="0072714D"/>
    <w:rsid w:val="007271B9"/>
    <w:rsid w:val="00736460"/>
    <w:rsid w:val="007368DE"/>
    <w:rsid w:val="007417A3"/>
    <w:rsid w:val="00745666"/>
    <w:rsid w:val="00754104"/>
    <w:rsid w:val="0075448A"/>
    <w:rsid w:val="00754897"/>
    <w:rsid w:val="00761C5B"/>
    <w:rsid w:val="0076233D"/>
    <w:rsid w:val="0076455D"/>
    <w:rsid w:val="007750F3"/>
    <w:rsid w:val="007770F4"/>
    <w:rsid w:val="0078507F"/>
    <w:rsid w:val="00791F5E"/>
    <w:rsid w:val="007A68C5"/>
    <w:rsid w:val="007B396C"/>
    <w:rsid w:val="007B5625"/>
    <w:rsid w:val="007B75E6"/>
    <w:rsid w:val="007B7EC0"/>
    <w:rsid w:val="007C2EF0"/>
    <w:rsid w:val="007D00FD"/>
    <w:rsid w:val="007D05C4"/>
    <w:rsid w:val="007D5008"/>
    <w:rsid w:val="007E0A68"/>
    <w:rsid w:val="007F5EEA"/>
    <w:rsid w:val="007F707C"/>
    <w:rsid w:val="0080340C"/>
    <w:rsid w:val="0080454D"/>
    <w:rsid w:val="00810D83"/>
    <w:rsid w:val="00812D89"/>
    <w:rsid w:val="00816E1C"/>
    <w:rsid w:val="00817D84"/>
    <w:rsid w:val="008220D5"/>
    <w:rsid w:val="00835B3C"/>
    <w:rsid w:val="00844584"/>
    <w:rsid w:val="00845341"/>
    <w:rsid w:val="00845342"/>
    <w:rsid w:val="00845D3D"/>
    <w:rsid w:val="008534AA"/>
    <w:rsid w:val="00853634"/>
    <w:rsid w:val="00861D7C"/>
    <w:rsid w:val="00862056"/>
    <w:rsid w:val="008678D7"/>
    <w:rsid w:val="008716B4"/>
    <w:rsid w:val="008726DA"/>
    <w:rsid w:val="0088485C"/>
    <w:rsid w:val="008872BA"/>
    <w:rsid w:val="008940A7"/>
    <w:rsid w:val="008967C3"/>
    <w:rsid w:val="008A1393"/>
    <w:rsid w:val="008A3E72"/>
    <w:rsid w:val="008B0834"/>
    <w:rsid w:val="008B34EF"/>
    <w:rsid w:val="008B4773"/>
    <w:rsid w:val="008C2869"/>
    <w:rsid w:val="008E303A"/>
    <w:rsid w:val="008E3B3A"/>
    <w:rsid w:val="008E59A7"/>
    <w:rsid w:val="008E790F"/>
    <w:rsid w:val="008F6003"/>
    <w:rsid w:val="008F7B6C"/>
    <w:rsid w:val="009000DB"/>
    <w:rsid w:val="00903051"/>
    <w:rsid w:val="00903ACB"/>
    <w:rsid w:val="009046E7"/>
    <w:rsid w:val="00905764"/>
    <w:rsid w:val="00906291"/>
    <w:rsid w:val="00911890"/>
    <w:rsid w:val="00914ACC"/>
    <w:rsid w:val="00920064"/>
    <w:rsid w:val="00920754"/>
    <w:rsid w:val="00920B05"/>
    <w:rsid w:val="00933B79"/>
    <w:rsid w:val="00941FB2"/>
    <w:rsid w:val="0095003C"/>
    <w:rsid w:val="009634FB"/>
    <w:rsid w:val="00973EBA"/>
    <w:rsid w:val="00974F01"/>
    <w:rsid w:val="00976160"/>
    <w:rsid w:val="00981250"/>
    <w:rsid w:val="00981E30"/>
    <w:rsid w:val="0098254F"/>
    <w:rsid w:val="00985D9C"/>
    <w:rsid w:val="00985E9C"/>
    <w:rsid w:val="0098645F"/>
    <w:rsid w:val="00986DCA"/>
    <w:rsid w:val="00992735"/>
    <w:rsid w:val="00994583"/>
    <w:rsid w:val="009A27CB"/>
    <w:rsid w:val="009B11F5"/>
    <w:rsid w:val="009B41B6"/>
    <w:rsid w:val="009C17F7"/>
    <w:rsid w:val="009C261D"/>
    <w:rsid w:val="009C37D0"/>
    <w:rsid w:val="009C45F6"/>
    <w:rsid w:val="009D02D6"/>
    <w:rsid w:val="009D3008"/>
    <w:rsid w:val="009D65A3"/>
    <w:rsid w:val="009E15DE"/>
    <w:rsid w:val="009E1695"/>
    <w:rsid w:val="009F1B75"/>
    <w:rsid w:val="00A03394"/>
    <w:rsid w:val="00A03F48"/>
    <w:rsid w:val="00A12F1E"/>
    <w:rsid w:val="00A14F8C"/>
    <w:rsid w:val="00A15142"/>
    <w:rsid w:val="00A2733C"/>
    <w:rsid w:val="00A34536"/>
    <w:rsid w:val="00A43859"/>
    <w:rsid w:val="00A55F22"/>
    <w:rsid w:val="00A57F29"/>
    <w:rsid w:val="00A607E2"/>
    <w:rsid w:val="00A60DC4"/>
    <w:rsid w:val="00A61838"/>
    <w:rsid w:val="00A6336F"/>
    <w:rsid w:val="00A63F1B"/>
    <w:rsid w:val="00A63FD3"/>
    <w:rsid w:val="00A653E7"/>
    <w:rsid w:val="00A73117"/>
    <w:rsid w:val="00A81E6A"/>
    <w:rsid w:val="00A843D1"/>
    <w:rsid w:val="00A874EA"/>
    <w:rsid w:val="00A91B7D"/>
    <w:rsid w:val="00AA2E12"/>
    <w:rsid w:val="00AA6790"/>
    <w:rsid w:val="00AC5425"/>
    <w:rsid w:val="00AD55FD"/>
    <w:rsid w:val="00AF5C28"/>
    <w:rsid w:val="00B230DC"/>
    <w:rsid w:val="00B24D11"/>
    <w:rsid w:val="00B25230"/>
    <w:rsid w:val="00B252C1"/>
    <w:rsid w:val="00B25BED"/>
    <w:rsid w:val="00B3495C"/>
    <w:rsid w:val="00B3520E"/>
    <w:rsid w:val="00B41C02"/>
    <w:rsid w:val="00B42481"/>
    <w:rsid w:val="00B476B9"/>
    <w:rsid w:val="00B50613"/>
    <w:rsid w:val="00B51582"/>
    <w:rsid w:val="00B5241C"/>
    <w:rsid w:val="00B55F96"/>
    <w:rsid w:val="00B614CF"/>
    <w:rsid w:val="00B62078"/>
    <w:rsid w:val="00B66B7C"/>
    <w:rsid w:val="00B72E3A"/>
    <w:rsid w:val="00B733DA"/>
    <w:rsid w:val="00B833A8"/>
    <w:rsid w:val="00B84C2B"/>
    <w:rsid w:val="00B9222E"/>
    <w:rsid w:val="00BA56BB"/>
    <w:rsid w:val="00BA5A8C"/>
    <w:rsid w:val="00BB2DE1"/>
    <w:rsid w:val="00BB3BD8"/>
    <w:rsid w:val="00BB3DD8"/>
    <w:rsid w:val="00BB7607"/>
    <w:rsid w:val="00BC7EFE"/>
    <w:rsid w:val="00BD68BE"/>
    <w:rsid w:val="00BF14F0"/>
    <w:rsid w:val="00C06FA2"/>
    <w:rsid w:val="00C12BED"/>
    <w:rsid w:val="00C14B7A"/>
    <w:rsid w:val="00C159B1"/>
    <w:rsid w:val="00C24324"/>
    <w:rsid w:val="00C31797"/>
    <w:rsid w:val="00C369DA"/>
    <w:rsid w:val="00C40DA3"/>
    <w:rsid w:val="00C41903"/>
    <w:rsid w:val="00C47E51"/>
    <w:rsid w:val="00C50719"/>
    <w:rsid w:val="00C610D3"/>
    <w:rsid w:val="00C653D0"/>
    <w:rsid w:val="00C678C5"/>
    <w:rsid w:val="00C70F7D"/>
    <w:rsid w:val="00C7205F"/>
    <w:rsid w:val="00C806F7"/>
    <w:rsid w:val="00C84E17"/>
    <w:rsid w:val="00C84F2C"/>
    <w:rsid w:val="00C8534D"/>
    <w:rsid w:val="00C854D0"/>
    <w:rsid w:val="00C908FF"/>
    <w:rsid w:val="00CB4084"/>
    <w:rsid w:val="00CB6B88"/>
    <w:rsid w:val="00CB7E60"/>
    <w:rsid w:val="00CC23A8"/>
    <w:rsid w:val="00CD35EE"/>
    <w:rsid w:val="00CD3B6A"/>
    <w:rsid w:val="00CD3CFA"/>
    <w:rsid w:val="00CD3EA9"/>
    <w:rsid w:val="00CD5F43"/>
    <w:rsid w:val="00CE25AF"/>
    <w:rsid w:val="00CF3EF6"/>
    <w:rsid w:val="00CF58E8"/>
    <w:rsid w:val="00D0447C"/>
    <w:rsid w:val="00D05D2C"/>
    <w:rsid w:val="00D12F45"/>
    <w:rsid w:val="00D13592"/>
    <w:rsid w:val="00D15713"/>
    <w:rsid w:val="00D34F45"/>
    <w:rsid w:val="00D50767"/>
    <w:rsid w:val="00D51307"/>
    <w:rsid w:val="00D55670"/>
    <w:rsid w:val="00D55EA3"/>
    <w:rsid w:val="00D56982"/>
    <w:rsid w:val="00D610BA"/>
    <w:rsid w:val="00D62317"/>
    <w:rsid w:val="00D6663A"/>
    <w:rsid w:val="00D706C1"/>
    <w:rsid w:val="00D726C9"/>
    <w:rsid w:val="00D734AE"/>
    <w:rsid w:val="00D74395"/>
    <w:rsid w:val="00D764BC"/>
    <w:rsid w:val="00D76696"/>
    <w:rsid w:val="00D773F4"/>
    <w:rsid w:val="00D81FAD"/>
    <w:rsid w:val="00D852FE"/>
    <w:rsid w:val="00D87708"/>
    <w:rsid w:val="00D92984"/>
    <w:rsid w:val="00DA194D"/>
    <w:rsid w:val="00DA1FF1"/>
    <w:rsid w:val="00DA32D5"/>
    <w:rsid w:val="00DA48EE"/>
    <w:rsid w:val="00DA6859"/>
    <w:rsid w:val="00DB3349"/>
    <w:rsid w:val="00DB5050"/>
    <w:rsid w:val="00DC002A"/>
    <w:rsid w:val="00DC4449"/>
    <w:rsid w:val="00DC5886"/>
    <w:rsid w:val="00DC7988"/>
    <w:rsid w:val="00DE0DDA"/>
    <w:rsid w:val="00DE1339"/>
    <w:rsid w:val="00DE2F01"/>
    <w:rsid w:val="00DE48EA"/>
    <w:rsid w:val="00DE5473"/>
    <w:rsid w:val="00DF7887"/>
    <w:rsid w:val="00E02122"/>
    <w:rsid w:val="00E04952"/>
    <w:rsid w:val="00E25844"/>
    <w:rsid w:val="00E32ED9"/>
    <w:rsid w:val="00E361F5"/>
    <w:rsid w:val="00E364BD"/>
    <w:rsid w:val="00E37113"/>
    <w:rsid w:val="00E37836"/>
    <w:rsid w:val="00E41399"/>
    <w:rsid w:val="00E43D5E"/>
    <w:rsid w:val="00E45E69"/>
    <w:rsid w:val="00E474A1"/>
    <w:rsid w:val="00E51004"/>
    <w:rsid w:val="00E52998"/>
    <w:rsid w:val="00E6108B"/>
    <w:rsid w:val="00E7039C"/>
    <w:rsid w:val="00E72997"/>
    <w:rsid w:val="00E7643A"/>
    <w:rsid w:val="00E80F7A"/>
    <w:rsid w:val="00E82CAD"/>
    <w:rsid w:val="00E83D99"/>
    <w:rsid w:val="00E86C8E"/>
    <w:rsid w:val="00E86CD2"/>
    <w:rsid w:val="00E91AA2"/>
    <w:rsid w:val="00E9421D"/>
    <w:rsid w:val="00E97D09"/>
    <w:rsid w:val="00EA2330"/>
    <w:rsid w:val="00EB344A"/>
    <w:rsid w:val="00EB62DB"/>
    <w:rsid w:val="00EC076A"/>
    <w:rsid w:val="00EC2A9C"/>
    <w:rsid w:val="00EC6403"/>
    <w:rsid w:val="00ED6C82"/>
    <w:rsid w:val="00EE2197"/>
    <w:rsid w:val="00EE4787"/>
    <w:rsid w:val="00EE6179"/>
    <w:rsid w:val="00EE6B85"/>
    <w:rsid w:val="00EF1841"/>
    <w:rsid w:val="00EF5C02"/>
    <w:rsid w:val="00EF770D"/>
    <w:rsid w:val="00F0368B"/>
    <w:rsid w:val="00F03FEA"/>
    <w:rsid w:val="00F066A4"/>
    <w:rsid w:val="00F06A8F"/>
    <w:rsid w:val="00F10CD2"/>
    <w:rsid w:val="00F11AC6"/>
    <w:rsid w:val="00F15437"/>
    <w:rsid w:val="00F1645B"/>
    <w:rsid w:val="00F2316D"/>
    <w:rsid w:val="00F24773"/>
    <w:rsid w:val="00F25686"/>
    <w:rsid w:val="00F30F2F"/>
    <w:rsid w:val="00F37F39"/>
    <w:rsid w:val="00F41CB4"/>
    <w:rsid w:val="00F47711"/>
    <w:rsid w:val="00F5058C"/>
    <w:rsid w:val="00F52E45"/>
    <w:rsid w:val="00F6259D"/>
    <w:rsid w:val="00F708B7"/>
    <w:rsid w:val="00F77AD2"/>
    <w:rsid w:val="00F84156"/>
    <w:rsid w:val="00F84CB9"/>
    <w:rsid w:val="00F904E6"/>
    <w:rsid w:val="00F91F8A"/>
    <w:rsid w:val="00F97B84"/>
    <w:rsid w:val="00FA00B0"/>
    <w:rsid w:val="00FA23E2"/>
    <w:rsid w:val="00FA35D9"/>
    <w:rsid w:val="00FA7FA7"/>
    <w:rsid w:val="00FB4080"/>
    <w:rsid w:val="00FC718E"/>
    <w:rsid w:val="00FD0D94"/>
    <w:rsid w:val="00FD2768"/>
    <w:rsid w:val="00FD7263"/>
    <w:rsid w:val="00FE1621"/>
    <w:rsid w:val="00FE1A45"/>
    <w:rsid w:val="00FF25C2"/>
    <w:rsid w:val="00FF3DE3"/>
    <w:rsid w:val="00FF77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821F40C"/>
  <w15:chartTrackingRefBased/>
  <w15:docId w15:val="{B6C8F3A7-BCA1-4317-937C-87126363BD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64BC"/>
  </w:style>
  <w:style w:type="paragraph" w:styleId="Heading1">
    <w:name w:val="heading 1"/>
    <w:basedOn w:val="Normal"/>
    <w:next w:val="Normal"/>
    <w:link w:val="Heading1Char"/>
    <w:uiPriority w:val="9"/>
    <w:qFormat/>
    <w:rsid w:val="00D764BC"/>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unhideWhenUsed/>
    <w:qFormat/>
    <w:rsid w:val="00D764BC"/>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D764BC"/>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rsid w:val="00D764BC"/>
    <w:pPr>
      <w:keepNext/>
      <w:keepLines/>
      <w:spacing w:before="200" w:after="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link w:val="Heading5Char"/>
    <w:uiPriority w:val="9"/>
    <w:semiHidden/>
    <w:unhideWhenUsed/>
    <w:qFormat/>
    <w:rsid w:val="00D764BC"/>
    <w:pPr>
      <w:keepNext/>
      <w:keepLines/>
      <w:spacing w:before="200" w:after="0"/>
      <w:outlineLvl w:val="4"/>
    </w:pPr>
    <w:rPr>
      <w:rFonts w:asciiTheme="majorHAnsi" w:eastAsiaTheme="majorEastAsia" w:hAnsiTheme="majorHAnsi" w:cstheme="majorBidi"/>
      <w:color w:val="1F3763" w:themeColor="accent1" w:themeShade="7F"/>
    </w:rPr>
  </w:style>
  <w:style w:type="paragraph" w:styleId="Heading6">
    <w:name w:val="heading 6"/>
    <w:basedOn w:val="Normal"/>
    <w:next w:val="Normal"/>
    <w:link w:val="Heading6Char"/>
    <w:uiPriority w:val="9"/>
    <w:semiHidden/>
    <w:unhideWhenUsed/>
    <w:qFormat/>
    <w:rsid w:val="00D764BC"/>
    <w:pPr>
      <w:keepNext/>
      <w:keepLines/>
      <w:spacing w:before="200" w:after="0"/>
      <w:outlineLvl w:val="5"/>
    </w:pPr>
    <w:rPr>
      <w:rFonts w:asciiTheme="majorHAnsi" w:eastAsiaTheme="majorEastAsia" w:hAnsiTheme="majorHAnsi" w:cstheme="majorBidi"/>
      <w:i/>
      <w:iCs/>
      <w:color w:val="1F3763" w:themeColor="accent1" w:themeShade="7F"/>
    </w:rPr>
  </w:style>
  <w:style w:type="paragraph" w:styleId="Heading7">
    <w:name w:val="heading 7"/>
    <w:basedOn w:val="Normal"/>
    <w:next w:val="Normal"/>
    <w:link w:val="Heading7Char"/>
    <w:uiPriority w:val="9"/>
    <w:semiHidden/>
    <w:unhideWhenUsed/>
    <w:qFormat/>
    <w:rsid w:val="00D764BC"/>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D764BC"/>
    <w:pPr>
      <w:keepNext/>
      <w:keepLines/>
      <w:spacing w:before="200" w:after="0"/>
      <w:outlineLvl w:val="7"/>
    </w:pPr>
    <w:rPr>
      <w:rFonts w:asciiTheme="majorHAnsi" w:eastAsiaTheme="majorEastAsia" w:hAnsiTheme="majorHAnsi" w:cstheme="majorBidi"/>
      <w:color w:val="4472C4" w:themeColor="accent1"/>
      <w:sz w:val="20"/>
      <w:szCs w:val="20"/>
    </w:rPr>
  </w:style>
  <w:style w:type="paragraph" w:styleId="Heading9">
    <w:name w:val="heading 9"/>
    <w:basedOn w:val="Normal"/>
    <w:next w:val="Normal"/>
    <w:link w:val="Heading9Char"/>
    <w:uiPriority w:val="9"/>
    <w:semiHidden/>
    <w:unhideWhenUsed/>
    <w:qFormat/>
    <w:rsid w:val="00D764BC"/>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64BC"/>
    <w:rPr>
      <w:rFonts w:asciiTheme="majorHAnsi" w:eastAsiaTheme="majorEastAsia" w:hAnsiTheme="majorHAnsi" w:cstheme="majorBidi"/>
      <w:b/>
      <w:bCs/>
      <w:color w:val="2F5496" w:themeColor="accent1" w:themeShade="BF"/>
      <w:sz w:val="28"/>
      <w:szCs w:val="28"/>
    </w:rPr>
  </w:style>
  <w:style w:type="character" w:customStyle="1" w:styleId="Heading2Char">
    <w:name w:val="Heading 2 Char"/>
    <w:basedOn w:val="DefaultParagraphFont"/>
    <w:link w:val="Heading2"/>
    <w:uiPriority w:val="9"/>
    <w:rsid w:val="00D764BC"/>
    <w:rPr>
      <w:rFonts w:asciiTheme="majorHAnsi" w:eastAsiaTheme="majorEastAsia" w:hAnsiTheme="majorHAnsi" w:cstheme="majorBidi"/>
      <w:b/>
      <w:bCs/>
      <w:color w:val="4472C4" w:themeColor="accent1"/>
      <w:sz w:val="26"/>
      <w:szCs w:val="26"/>
    </w:rPr>
  </w:style>
  <w:style w:type="character" w:customStyle="1" w:styleId="Heading3Char">
    <w:name w:val="Heading 3 Char"/>
    <w:basedOn w:val="DefaultParagraphFont"/>
    <w:link w:val="Heading3"/>
    <w:uiPriority w:val="9"/>
    <w:rsid w:val="00D764BC"/>
    <w:rPr>
      <w:rFonts w:asciiTheme="majorHAnsi" w:eastAsiaTheme="majorEastAsia" w:hAnsiTheme="majorHAnsi" w:cstheme="majorBidi"/>
      <w:b/>
      <w:bCs/>
      <w:color w:val="4472C4" w:themeColor="accent1"/>
    </w:rPr>
  </w:style>
  <w:style w:type="character" w:customStyle="1" w:styleId="Heading4Char">
    <w:name w:val="Heading 4 Char"/>
    <w:basedOn w:val="DefaultParagraphFont"/>
    <w:link w:val="Heading4"/>
    <w:uiPriority w:val="9"/>
    <w:rsid w:val="00D764BC"/>
    <w:rPr>
      <w:rFonts w:asciiTheme="majorHAnsi" w:eastAsiaTheme="majorEastAsia" w:hAnsiTheme="majorHAnsi" w:cstheme="majorBidi"/>
      <w:b/>
      <w:bCs/>
      <w:i/>
      <w:iCs/>
      <w:color w:val="4472C4" w:themeColor="accent1"/>
    </w:rPr>
  </w:style>
  <w:style w:type="character" w:customStyle="1" w:styleId="Heading5Char">
    <w:name w:val="Heading 5 Char"/>
    <w:basedOn w:val="DefaultParagraphFont"/>
    <w:link w:val="Heading5"/>
    <w:uiPriority w:val="9"/>
    <w:semiHidden/>
    <w:rsid w:val="00D764BC"/>
    <w:rPr>
      <w:rFonts w:asciiTheme="majorHAnsi" w:eastAsiaTheme="majorEastAsia" w:hAnsiTheme="majorHAnsi" w:cstheme="majorBidi"/>
      <w:color w:val="1F3763" w:themeColor="accent1" w:themeShade="7F"/>
    </w:rPr>
  </w:style>
  <w:style w:type="character" w:customStyle="1" w:styleId="Heading6Char">
    <w:name w:val="Heading 6 Char"/>
    <w:basedOn w:val="DefaultParagraphFont"/>
    <w:link w:val="Heading6"/>
    <w:uiPriority w:val="9"/>
    <w:semiHidden/>
    <w:rsid w:val="00D764BC"/>
    <w:rPr>
      <w:rFonts w:asciiTheme="majorHAnsi" w:eastAsiaTheme="majorEastAsia" w:hAnsiTheme="majorHAnsi" w:cstheme="majorBidi"/>
      <w:i/>
      <w:iCs/>
      <w:color w:val="1F3763" w:themeColor="accent1" w:themeShade="7F"/>
    </w:rPr>
  </w:style>
  <w:style w:type="character" w:customStyle="1" w:styleId="Heading7Char">
    <w:name w:val="Heading 7 Char"/>
    <w:basedOn w:val="DefaultParagraphFont"/>
    <w:link w:val="Heading7"/>
    <w:uiPriority w:val="9"/>
    <w:semiHidden/>
    <w:rsid w:val="00D764BC"/>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D764BC"/>
    <w:rPr>
      <w:rFonts w:asciiTheme="majorHAnsi" w:eastAsiaTheme="majorEastAsia" w:hAnsiTheme="majorHAnsi" w:cstheme="majorBidi"/>
      <w:color w:val="4472C4" w:themeColor="accent1"/>
      <w:sz w:val="20"/>
      <w:szCs w:val="20"/>
    </w:rPr>
  </w:style>
  <w:style w:type="character" w:customStyle="1" w:styleId="Heading9Char">
    <w:name w:val="Heading 9 Char"/>
    <w:basedOn w:val="DefaultParagraphFont"/>
    <w:link w:val="Heading9"/>
    <w:uiPriority w:val="9"/>
    <w:semiHidden/>
    <w:rsid w:val="00D764BC"/>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D764BC"/>
    <w:pPr>
      <w:spacing w:line="240" w:lineRule="auto"/>
    </w:pPr>
    <w:rPr>
      <w:b/>
      <w:bCs/>
      <w:color w:val="4472C4" w:themeColor="accent1"/>
      <w:sz w:val="18"/>
      <w:szCs w:val="18"/>
    </w:rPr>
  </w:style>
  <w:style w:type="paragraph" w:styleId="Title">
    <w:name w:val="Title"/>
    <w:basedOn w:val="Normal"/>
    <w:next w:val="Normal"/>
    <w:link w:val="TitleChar"/>
    <w:uiPriority w:val="10"/>
    <w:qFormat/>
    <w:rsid w:val="00D764BC"/>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leChar">
    <w:name w:val="Title Char"/>
    <w:basedOn w:val="DefaultParagraphFont"/>
    <w:link w:val="Title"/>
    <w:uiPriority w:val="10"/>
    <w:rsid w:val="00D764BC"/>
    <w:rPr>
      <w:rFonts w:asciiTheme="majorHAnsi" w:eastAsiaTheme="majorEastAsia" w:hAnsiTheme="majorHAnsi" w:cstheme="majorBidi"/>
      <w:color w:val="323E4F" w:themeColor="text2" w:themeShade="BF"/>
      <w:spacing w:val="5"/>
      <w:sz w:val="52"/>
      <w:szCs w:val="52"/>
    </w:rPr>
  </w:style>
  <w:style w:type="paragraph" w:styleId="Subtitle">
    <w:name w:val="Subtitle"/>
    <w:basedOn w:val="Normal"/>
    <w:next w:val="Normal"/>
    <w:link w:val="SubtitleChar"/>
    <w:uiPriority w:val="11"/>
    <w:qFormat/>
    <w:rsid w:val="00D764BC"/>
    <w:pPr>
      <w:numPr>
        <w:ilvl w:val="1"/>
      </w:numPr>
    </w:pPr>
    <w:rPr>
      <w:rFonts w:asciiTheme="majorHAnsi" w:eastAsiaTheme="majorEastAsia" w:hAnsiTheme="majorHAnsi" w:cstheme="majorBidi"/>
      <w:i/>
      <w:iCs/>
      <w:color w:val="4472C4" w:themeColor="accent1"/>
      <w:spacing w:val="15"/>
      <w:sz w:val="24"/>
      <w:szCs w:val="24"/>
    </w:rPr>
  </w:style>
  <w:style w:type="character" w:customStyle="1" w:styleId="SubtitleChar">
    <w:name w:val="Subtitle Char"/>
    <w:basedOn w:val="DefaultParagraphFont"/>
    <w:link w:val="Subtitle"/>
    <w:uiPriority w:val="11"/>
    <w:rsid w:val="00D764BC"/>
    <w:rPr>
      <w:rFonts w:asciiTheme="majorHAnsi" w:eastAsiaTheme="majorEastAsia" w:hAnsiTheme="majorHAnsi" w:cstheme="majorBidi"/>
      <w:i/>
      <w:iCs/>
      <w:color w:val="4472C4" w:themeColor="accent1"/>
      <w:spacing w:val="15"/>
      <w:sz w:val="24"/>
      <w:szCs w:val="24"/>
    </w:rPr>
  </w:style>
  <w:style w:type="character" w:styleId="Strong">
    <w:name w:val="Strong"/>
    <w:basedOn w:val="DefaultParagraphFont"/>
    <w:uiPriority w:val="22"/>
    <w:qFormat/>
    <w:rsid w:val="00D764BC"/>
    <w:rPr>
      <w:b/>
      <w:bCs/>
    </w:rPr>
  </w:style>
  <w:style w:type="character" w:styleId="Emphasis">
    <w:name w:val="Emphasis"/>
    <w:basedOn w:val="DefaultParagraphFont"/>
    <w:uiPriority w:val="20"/>
    <w:qFormat/>
    <w:rsid w:val="00D764BC"/>
    <w:rPr>
      <w:i/>
      <w:iCs/>
    </w:rPr>
  </w:style>
  <w:style w:type="paragraph" w:styleId="NoSpacing">
    <w:name w:val="No Spacing"/>
    <w:uiPriority w:val="1"/>
    <w:qFormat/>
    <w:rsid w:val="00D764BC"/>
    <w:pPr>
      <w:spacing w:after="0" w:line="240" w:lineRule="auto"/>
    </w:pPr>
  </w:style>
  <w:style w:type="paragraph" w:styleId="Quote">
    <w:name w:val="Quote"/>
    <w:basedOn w:val="Normal"/>
    <w:next w:val="Normal"/>
    <w:link w:val="QuoteChar"/>
    <w:uiPriority w:val="29"/>
    <w:qFormat/>
    <w:rsid w:val="00D764BC"/>
    <w:rPr>
      <w:i/>
      <w:iCs/>
      <w:color w:val="000000" w:themeColor="text1"/>
    </w:rPr>
  </w:style>
  <w:style w:type="character" w:customStyle="1" w:styleId="QuoteChar">
    <w:name w:val="Quote Char"/>
    <w:basedOn w:val="DefaultParagraphFont"/>
    <w:link w:val="Quote"/>
    <w:uiPriority w:val="29"/>
    <w:rsid w:val="00D764BC"/>
    <w:rPr>
      <w:i/>
      <w:iCs/>
      <w:color w:val="000000" w:themeColor="text1"/>
    </w:rPr>
  </w:style>
  <w:style w:type="paragraph" w:styleId="IntenseQuote">
    <w:name w:val="Intense Quote"/>
    <w:basedOn w:val="Normal"/>
    <w:next w:val="Normal"/>
    <w:link w:val="IntenseQuoteChar"/>
    <w:uiPriority w:val="30"/>
    <w:qFormat/>
    <w:rsid w:val="00D764BC"/>
    <w:pPr>
      <w:pBdr>
        <w:bottom w:val="single" w:sz="4" w:space="4" w:color="4472C4" w:themeColor="accent1"/>
      </w:pBdr>
      <w:spacing w:before="200" w:after="280"/>
      <w:ind w:left="936" w:right="936"/>
    </w:pPr>
    <w:rPr>
      <w:b/>
      <w:bCs/>
      <w:i/>
      <w:iCs/>
      <w:color w:val="4472C4" w:themeColor="accent1"/>
    </w:rPr>
  </w:style>
  <w:style w:type="character" w:customStyle="1" w:styleId="IntenseQuoteChar">
    <w:name w:val="Intense Quote Char"/>
    <w:basedOn w:val="DefaultParagraphFont"/>
    <w:link w:val="IntenseQuote"/>
    <w:uiPriority w:val="30"/>
    <w:rsid w:val="00D764BC"/>
    <w:rPr>
      <w:b/>
      <w:bCs/>
      <w:i/>
      <w:iCs/>
      <w:color w:val="4472C4" w:themeColor="accent1"/>
    </w:rPr>
  </w:style>
  <w:style w:type="character" w:styleId="SubtleEmphasis">
    <w:name w:val="Subtle Emphasis"/>
    <w:basedOn w:val="DefaultParagraphFont"/>
    <w:uiPriority w:val="19"/>
    <w:qFormat/>
    <w:rsid w:val="00D764BC"/>
    <w:rPr>
      <w:i/>
      <w:iCs/>
      <w:color w:val="808080" w:themeColor="text1" w:themeTint="7F"/>
    </w:rPr>
  </w:style>
  <w:style w:type="character" w:styleId="IntenseEmphasis">
    <w:name w:val="Intense Emphasis"/>
    <w:basedOn w:val="DefaultParagraphFont"/>
    <w:uiPriority w:val="21"/>
    <w:qFormat/>
    <w:rsid w:val="00D764BC"/>
    <w:rPr>
      <w:b/>
      <w:bCs/>
      <w:i/>
      <w:iCs/>
      <w:color w:val="4472C4" w:themeColor="accent1"/>
    </w:rPr>
  </w:style>
  <w:style w:type="character" w:styleId="SubtleReference">
    <w:name w:val="Subtle Reference"/>
    <w:basedOn w:val="DefaultParagraphFont"/>
    <w:uiPriority w:val="31"/>
    <w:qFormat/>
    <w:rsid w:val="00D764BC"/>
    <w:rPr>
      <w:smallCaps/>
      <w:color w:val="ED7D31" w:themeColor="accent2"/>
      <w:u w:val="single"/>
    </w:rPr>
  </w:style>
  <w:style w:type="character" w:styleId="IntenseReference">
    <w:name w:val="Intense Reference"/>
    <w:basedOn w:val="DefaultParagraphFont"/>
    <w:uiPriority w:val="32"/>
    <w:qFormat/>
    <w:rsid w:val="00D764BC"/>
    <w:rPr>
      <w:b/>
      <w:bCs/>
      <w:smallCaps/>
      <w:color w:val="ED7D31" w:themeColor="accent2"/>
      <w:spacing w:val="5"/>
      <w:u w:val="single"/>
    </w:rPr>
  </w:style>
  <w:style w:type="character" w:styleId="BookTitle">
    <w:name w:val="Book Title"/>
    <w:basedOn w:val="DefaultParagraphFont"/>
    <w:uiPriority w:val="33"/>
    <w:qFormat/>
    <w:rsid w:val="00D764BC"/>
    <w:rPr>
      <w:b/>
      <w:bCs/>
      <w:smallCaps/>
      <w:spacing w:val="5"/>
    </w:rPr>
  </w:style>
  <w:style w:type="paragraph" w:styleId="TOCHeading">
    <w:name w:val="TOC Heading"/>
    <w:basedOn w:val="Heading1"/>
    <w:next w:val="Normal"/>
    <w:uiPriority w:val="39"/>
    <w:semiHidden/>
    <w:unhideWhenUsed/>
    <w:qFormat/>
    <w:rsid w:val="00D764BC"/>
    <w:pPr>
      <w:outlineLvl w:val="9"/>
    </w:pPr>
  </w:style>
  <w:style w:type="character" w:styleId="Hyperlink">
    <w:name w:val="Hyperlink"/>
    <w:basedOn w:val="DefaultParagraphFont"/>
    <w:uiPriority w:val="99"/>
    <w:unhideWhenUsed/>
    <w:rsid w:val="002C37CB"/>
    <w:rPr>
      <w:color w:val="0563C1" w:themeColor="hyperlink"/>
      <w:u w:val="single"/>
    </w:rPr>
  </w:style>
  <w:style w:type="character" w:styleId="UnresolvedMention">
    <w:name w:val="Unresolved Mention"/>
    <w:basedOn w:val="DefaultParagraphFont"/>
    <w:uiPriority w:val="99"/>
    <w:semiHidden/>
    <w:unhideWhenUsed/>
    <w:rsid w:val="002C37CB"/>
    <w:rPr>
      <w:color w:val="605E5C"/>
      <w:shd w:val="clear" w:color="auto" w:fill="E1DFDD"/>
    </w:rPr>
  </w:style>
  <w:style w:type="paragraph" w:styleId="NormalWeb">
    <w:name w:val="Normal (Web)"/>
    <w:basedOn w:val="Normal"/>
    <w:uiPriority w:val="99"/>
    <w:unhideWhenUsed/>
    <w:rsid w:val="00B252C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34E78"/>
    <w:pPr>
      <w:ind w:left="720"/>
      <w:contextualSpacing/>
    </w:pPr>
  </w:style>
  <w:style w:type="paragraph" w:styleId="FootnoteText">
    <w:name w:val="footnote text"/>
    <w:basedOn w:val="Normal"/>
    <w:link w:val="FootnoteTextChar"/>
    <w:uiPriority w:val="99"/>
    <w:semiHidden/>
    <w:unhideWhenUsed/>
    <w:rsid w:val="00E0212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02122"/>
    <w:rPr>
      <w:sz w:val="20"/>
      <w:szCs w:val="20"/>
    </w:rPr>
  </w:style>
  <w:style w:type="character" w:styleId="FootnoteReference">
    <w:name w:val="footnote reference"/>
    <w:basedOn w:val="DefaultParagraphFont"/>
    <w:uiPriority w:val="99"/>
    <w:semiHidden/>
    <w:unhideWhenUsed/>
    <w:rsid w:val="00E02122"/>
    <w:rPr>
      <w:vertAlign w:val="superscript"/>
    </w:rPr>
  </w:style>
  <w:style w:type="paragraph" w:styleId="Header">
    <w:name w:val="header"/>
    <w:basedOn w:val="Normal"/>
    <w:link w:val="HeaderChar"/>
    <w:uiPriority w:val="99"/>
    <w:unhideWhenUsed/>
    <w:rsid w:val="00F904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04E6"/>
  </w:style>
  <w:style w:type="paragraph" w:styleId="Footer">
    <w:name w:val="footer"/>
    <w:basedOn w:val="Normal"/>
    <w:link w:val="FooterChar"/>
    <w:uiPriority w:val="99"/>
    <w:unhideWhenUsed/>
    <w:rsid w:val="00F904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04E6"/>
  </w:style>
  <w:style w:type="character" w:styleId="FollowedHyperlink">
    <w:name w:val="FollowedHyperlink"/>
    <w:basedOn w:val="DefaultParagraphFont"/>
    <w:uiPriority w:val="99"/>
    <w:semiHidden/>
    <w:unhideWhenUsed/>
    <w:rsid w:val="00C908F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76034">
      <w:bodyDiv w:val="1"/>
      <w:marLeft w:val="0"/>
      <w:marRight w:val="0"/>
      <w:marTop w:val="0"/>
      <w:marBottom w:val="0"/>
      <w:divBdr>
        <w:top w:val="none" w:sz="0" w:space="0" w:color="auto"/>
        <w:left w:val="none" w:sz="0" w:space="0" w:color="auto"/>
        <w:bottom w:val="none" w:sz="0" w:space="0" w:color="auto"/>
        <w:right w:val="none" w:sz="0" w:space="0" w:color="auto"/>
      </w:divBdr>
    </w:div>
    <w:div w:id="36707790">
      <w:bodyDiv w:val="1"/>
      <w:marLeft w:val="0"/>
      <w:marRight w:val="0"/>
      <w:marTop w:val="0"/>
      <w:marBottom w:val="0"/>
      <w:divBdr>
        <w:top w:val="none" w:sz="0" w:space="0" w:color="auto"/>
        <w:left w:val="none" w:sz="0" w:space="0" w:color="auto"/>
        <w:bottom w:val="none" w:sz="0" w:space="0" w:color="auto"/>
        <w:right w:val="none" w:sz="0" w:space="0" w:color="auto"/>
      </w:divBdr>
    </w:div>
    <w:div w:id="323049788">
      <w:bodyDiv w:val="1"/>
      <w:marLeft w:val="0"/>
      <w:marRight w:val="0"/>
      <w:marTop w:val="0"/>
      <w:marBottom w:val="0"/>
      <w:divBdr>
        <w:top w:val="none" w:sz="0" w:space="0" w:color="auto"/>
        <w:left w:val="none" w:sz="0" w:space="0" w:color="auto"/>
        <w:bottom w:val="none" w:sz="0" w:space="0" w:color="auto"/>
        <w:right w:val="none" w:sz="0" w:space="0" w:color="auto"/>
      </w:divBdr>
    </w:div>
    <w:div w:id="458500374">
      <w:bodyDiv w:val="1"/>
      <w:marLeft w:val="0"/>
      <w:marRight w:val="0"/>
      <w:marTop w:val="0"/>
      <w:marBottom w:val="0"/>
      <w:divBdr>
        <w:top w:val="none" w:sz="0" w:space="0" w:color="auto"/>
        <w:left w:val="none" w:sz="0" w:space="0" w:color="auto"/>
        <w:bottom w:val="none" w:sz="0" w:space="0" w:color="auto"/>
        <w:right w:val="none" w:sz="0" w:space="0" w:color="auto"/>
      </w:divBdr>
      <w:divsChild>
        <w:div w:id="1514569324">
          <w:marLeft w:val="0"/>
          <w:marRight w:val="0"/>
          <w:marTop w:val="300"/>
          <w:marBottom w:val="0"/>
          <w:divBdr>
            <w:top w:val="none" w:sz="0" w:space="0" w:color="auto"/>
            <w:left w:val="none" w:sz="0" w:space="0" w:color="auto"/>
            <w:bottom w:val="none" w:sz="0" w:space="0" w:color="auto"/>
            <w:right w:val="none" w:sz="0" w:space="0" w:color="auto"/>
          </w:divBdr>
        </w:div>
      </w:divsChild>
    </w:div>
    <w:div w:id="682632514">
      <w:bodyDiv w:val="1"/>
      <w:marLeft w:val="0"/>
      <w:marRight w:val="0"/>
      <w:marTop w:val="0"/>
      <w:marBottom w:val="0"/>
      <w:divBdr>
        <w:top w:val="none" w:sz="0" w:space="0" w:color="auto"/>
        <w:left w:val="none" w:sz="0" w:space="0" w:color="auto"/>
        <w:bottom w:val="none" w:sz="0" w:space="0" w:color="auto"/>
        <w:right w:val="none" w:sz="0" w:space="0" w:color="auto"/>
      </w:divBdr>
    </w:div>
    <w:div w:id="937834193">
      <w:bodyDiv w:val="1"/>
      <w:marLeft w:val="0"/>
      <w:marRight w:val="0"/>
      <w:marTop w:val="0"/>
      <w:marBottom w:val="0"/>
      <w:divBdr>
        <w:top w:val="none" w:sz="0" w:space="0" w:color="auto"/>
        <w:left w:val="none" w:sz="0" w:space="0" w:color="auto"/>
        <w:bottom w:val="none" w:sz="0" w:space="0" w:color="auto"/>
        <w:right w:val="none" w:sz="0" w:space="0" w:color="auto"/>
      </w:divBdr>
    </w:div>
    <w:div w:id="1684933861">
      <w:bodyDiv w:val="1"/>
      <w:marLeft w:val="0"/>
      <w:marRight w:val="0"/>
      <w:marTop w:val="0"/>
      <w:marBottom w:val="0"/>
      <w:divBdr>
        <w:top w:val="none" w:sz="0" w:space="0" w:color="auto"/>
        <w:left w:val="none" w:sz="0" w:space="0" w:color="auto"/>
        <w:bottom w:val="none" w:sz="0" w:space="0" w:color="auto"/>
        <w:right w:val="none" w:sz="0" w:space="0" w:color="auto"/>
      </w:divBdr>
    </w:div>
    <w:div w:id="2118482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ites.google.com/site/349924e64e68f035/issue-4/why-english-contract-law-should-prohibit-unfair-conduct-in-contractual-negotiations-by-a-general-doctrine-of-unconscionability" TargetMode="External"/><Relationship Id="rId13" Type="http://schemas.openxmlformats.org/officeDocument/2006/relationships/hyperlink" Target="https://www.allenovery.com/en-gb/global/news-and-insights/publications/top-finance-litigation-and-contract-law-developments-in-2019"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asemine.com/search/uk/barton%2Barmstrong"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udocu.com/en-gb/document/university-of-gloucestershire/contract-law/contract-duress-cases/3919513" TargetMode="External"/><Relationship Id="rId5" Type="http://schemas.openxmlformats.org/officeDocument/2006/relationships/webSettings" Target="webSettings.xml"/><Relationship Id="rId15" Type="http://schemas.openxmlformats.org/officeDocument/2006/relationships/hyperlink" Target="https://e-lawresources.co.uk/Contract.php" TargetMode="External"/><Relationship Id="rId10" Type="http://schemas.openxmlformats.org/officeDocument/2006/relationships/hyperlink" Target="https://www.studentlawnotes.com/skeate-v-beale-1840-11-ad-e-983"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xology.com/library/detail.aspx?g=c4503eaa-21c0-4c47-bc78-19a874a3477f" TargetMode="External"/><Relationship Id="rId14" Type="http://schemas.openxmlformats.org/officeDocument/2006/relationships/hyperlink" Target="https://www.jstor.org/stable/13407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CFBF07-6BE5-4B08-8119-86E28F025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2549</Words>
  <Characters>14530</Characters>
  <Application>Microsoft Office Word</Application>
  <DocSecurity>0</DocSecurity>
  <Lines>121</Lines>
  <Paragraphs>34</Paragraphs>
  <ScaleCrop>false</ScaleCrop>
  <Company/>
  <LinksUpToDate>false</LinksUpToDate>
  <CharactersWithSpaces>17045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Layla Abdul</dc:creator>
  <cp:keywords/>
  <dc:description/>
  <cp:lastModifiedBy>Layla Abdul</cp:lastModifiedBy>
  <cp:revision>2</cp:revision>
  <dcterms:created xsi:type="dcterms:W3CDTF">2021-07-16T23:37:00Z</dcterms:created>
  <dcterms:modified xsi:type="dcterms:W3CDTF">2021-07-16T23:37:00Z</dcterms:modified>
</cp:coreProperties>
</file>