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737C19B" w:rsidP="4324F67E" w:rsidRDefault="6737C19B" w14:paraId="4F318259" w14:textId="555B1B5B">
      <w:pPr>
        <w:rPr>
          <w:rFonts w:ascii="Arial" w:hAnsi="Arial" w:eastAsia="Arial" w:cs="Arial"/>
          <w:b w:val="0"/>
          <w:bCs w:val="0"/>
          <w:i w:val="0"/>
          <w:iCs w:val="0"/>
          <w:caps w:val="0"/>
          <w:smallCaps w:val="0"/>
          <w:noProof w:val="0"/>
          <w:color w:val="000000" w:themeColor="text1" w:themeTint="FF" w:themeShade="FF"/>
          <w:sz w:val="36"/>
          <w:szCs w:val="36"/>
          <w:lang w:val="en-US"/>
        </w:rPr>
      </w:pPr>
      <w:r w:rsidR="6737C19B">
        <w:drawing>
          <wp:inline wp14:editId="5D83BC3C" wp14:anchorId="530D582B">
            <wp:extent cx="5943600" cy="2647950"/>
            <wp:effectExtent l="0" t="0" r="0" b="0"/>
            <wp:docPr id="1250838549" name="" title=""/>
            <wp:cNvGraphicFramePr>
              <a:graphicFrameLocks noChangeAspect="1"/>
            </wp:cNvGraphicFramePr>
            <a:graphic>
              <a:graphicData uri="http://schemas.openxmlformats.org/drawingml/2006/picture">
                <pic:pic>
                  <pic:nvPicPr>
                    <pic:cNvPr id="0" name=""/>
                    <pic:cNvPicPr/>
                  </pic:nvPicPr>
                  <pic:blipFill>
                    <a:blip r:embed="R8d71a5d36c0d47ef">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p>
    <w:p w:rsidR="6737C19B" w:rsidP="4324F67E" w:rsidRDefault="6737C19B" w14:paraId="6D063638" w14:textId="373F68C8">
      <w:pPr>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
        </w:rPr>
        <w:t>Student Name: Helly M Shah</w:t>
      </w:r>
    </w:p>
    <w:p w:rsidR="4324F67E" w:rsidP="4324F67E" w:rsidRDefault="4324F67E" w14:paraId="193791B8" w14:textId="4724CBDF">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737C19B" w:rsidP="4324F67E" w:rsidRDefault="6737C19B" w14:paraId="20DCF14F" w14:textId="52BB2FA7">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
        </w:rPr>
        <w:t>Student ID Number: 2332807</w:t>
      </w:r>
    </w:p>
    <w:p w:rsidR="4324F67E" w:rsidP="4324F67E" w:rsidRDefault="4324F67E" w14:paraId="1EC43935" w14:textId="6F5FF72E">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737C19B" w:rsidP="4324F67E" w:rsidRDefault="6737C19B" w14:paraId="6A2A3302" w14:textId="4D633E1F">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bookmarkStart w:name="_Int_SOLHQwgw" w:id="1489218302"/>
      <w:r w:rsidRPr="4324F67E" w:rsidR="6737C19B">
        <w:rPr>
          <w:rFonts w:ascii="Arial" w:hAnsi="Arial" w:eastAsia="Arial" w:cs="Arial"/>
          <w:b w:val="1"/>
          <w:bCs w:val="1"/>
          <w:i w:val="0"/>
          <w:iCs w:val="0"/>
          <w:caps w:val="0"/>
          <w:smallCaps w:val="0"/>
          <w:noProof w:val="0"/>
          <w:color w:val="000000" w:themeColor="text1" w:themeTint="FF" w:themeShade="FF"/>
          <w:sz w:val="36"/>
          <w:szCs w:val="36"/>
          <w:lang w:val="en-US"/>
        </w:rPr>
        <w:t>Master's</w:t>
      </w:r>
      <w:bookmarkEnd w:id="1489218302"/>
      <w:r w:rsidRPr="4324F67E" w:rsidR="6737C19B">
        <w:rPr>
          <w:rFonts w:ascii="Arial" w:hAnsi="Arial" w:eastAsia="Arial" w:cs="Arial"/>
          <w:b w:val="1"/>
          <w:bCs w:val="1"/>
          <w:i w:val="0"/>
          <w:iCs w:val="0"/>
          <w:caps w:val="0"/>
          <w:smallCaps w:val="0"/>
          <w:noProof w:val="0"/>
          <w:color w:val="000000" w:themeColor="text1" w:themeTint="FF" w:themeShade="FF"/>
          <w:sz w:val="36"/>
          <w:szCs w:val="36"/>
          <w:lang w:val="en-US"/>
        </w:rPr>
        <w:t xml:space="preserve"> in business administration</w:t>
      </w: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US"/>
        </w:rPr>
        <w:t xml:space="preserve"> in International Business</w:t>
      </w:r>
    </w:p>
    <w:p w:rsidR="4324F67E" w:rsidP="4324F67E" w:rsidRDefault="4324F67E" w14:paraId="37A583A0" w14:textId="4AC55A71">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737C19B" w:rsidP="4324F67E" w:rsidRDefault="6737C19B" w14:paraId="389CFB65" w14:textId="5D3891EF">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
        </w:rPr>
        <w:t>Subject: Financial Management</w:t>
      </w:r>
    </w:p>
    <w:p w:rsidR="4324F67E" w:rsidP="4324F67E" w:rsidRDefault="4324F67E" w14:paraId="0625287D" w14:textId="27498B73">
      <w:pPr>
        <w:pStyle w:val="Normal"/>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737C19B" w:rsidP="4324F67E" w:rsidRDefault="6737C19B" w14:paraId="0787D4A0" w14:textId="79EED997">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US"/>
        </w:rPr>
        <w:t>Submitted To Jio Miao</w:t>
      </w:r>
    </w:p>
    <w:p w:rsidR="4324F67E" w:rsidP="4324F67E" w:rsidRDefault="4324F67E" w14:paraId="03DBD7EC" w14:textId="575ED7E4">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737C19B" w:rsidP="4324F67E" w:rsidRDefault="6737C19B" w14:paraId="2B8DFD99" w14:textId="1B321B91">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
        </w:rPr>
        <w:t>Submission Date: 2</w:t>
      </w:r>
      <w:r w:rsidRPr="4324F67E" w:rsidR="5682F972">
        <w:rPr>
          <w:rFonts w:ascii="Arial" w:hAnsi="Arial" w:eastAsia="Arial" w:cs="Arial"/>
          <w:b w:val="1"/>
          <w:bCs w:val="1"/>
          <w:i w:val="0"/>
          <w:iCs w:val="0"/>
          <w:caps w:val="0"/>
          <w:smallCaps w:val="0"/>
          <w:noProof w:val="0"/>
          <w:color w:val="000000" w:themeColor="text1" w:themeTint="FF" w:themeShade="FF"/>
          <w:sz w:val="36"/>
          <w:szCs w:val="36"/>
          <w:lang w:val="en"/>
        </w:rPr>
        <w:t>1-</w:t>
      </w:r>
      <w:r w:rsidRPr="4324F67E" w:rsidR="6737C19B">
        <w:rPr>
          <w:rFonts w:ascii="Arial" w:hAnsi="Arial" w:eastAsia="Arial" w:cs="Arial"/>
          <w:b w:val="1"/>
          <w:bCs w:val="1"/>
          <w:i w:val="0"/>
          <w:iCs w:val="0"/>
          <w:caps w:val="0"/>
          <w:smallCaps w:val="0"/>
          <w:noProof w:val="0"/>
          <w:color w:val="000000" w:themeColor="text1" w:themeTint="FF" w:themeShade="FF"/>
          <w:sz w:val="36"/>
          <w:szCs w:val="36"/>
          <w:lang w:val="en"/>
        </w:rPr>
        <w:t>08-2024</w:t>
      </w:r>
    </w:p>
    <w:p w:rsidR="4324F67E" w:rsidP="4324F67E" w:rsidRDefault="4324F67E" w14:paraId="350AA650" w14:textId="0FC6D483">
      <w:pPr>
        <w:spacing w:line="276" w:lineRule="auto"/>
        <w:jc w:val="center"/>
        <w:rPr>
          <w:rFonts w:ascii="Arial" w:hAnsi="Arial" w:eastAsia="Arial" w:cs="Arial"/>
          <w:b w:val="1"/>
          <w:bCs w:val="1"/>
          <w:i w:val="0"/>
          <w:iCs w:val="0"/>
          <w:caps w:val="0"/>
          <w:smallCaps w:val="0"/>
          <w:noProof w:val="0"/>
          <w:color w:val="000000" w:themeColor="text1" w:themeTint="FF" w:themeShade="FF"/>
          <w:sz w:val="36"/>
          <w:szCs w:val="36"/>
          <w:lang w:val="en"/>
        </w:rPr>
      </w:pPr>
    </w:p>
    <w:p w:rsidR="3E93E716" w:rsidP="4324F67E" w:rsidRDefault="3E93E716" w14:paraId="09CDF257" w14:textId="3A79673A">
      <w:pPr>
        <w:spacing w:line="276" w:lineRule="auto"/>
        <w:jc w:val="left"/>
        <w:rPr>
          <w:rFonts w:ascii="Arial" w:hAnsi="Arial" w:eastAsia="Arial" w:cs="Arial"/>
          <w:b w:val="1"/>
          <w:bCs w:val="1"/>
          <w:i w:val="0"/>
          <w:iCs w:val="0"/>
          <w:caps w:val="0"/>
          <w:smallCaps w:val="0"/>
          <w:noProof w:val="0"/>
          <w:color w:val="000000" w:themeColor="text1" w:themeTint="FF" w:themeShade="FF"/>
          <w:sz w:val="36"/>
          <w:szCs w:val="36"/>
          <w:lang w:val="en"/>
        </w:rPr>
      </w:pPr>
      <w:r w:rsidRPr="4324F67E" w:rsidR="3E93E716">
        <w:rPr>
          <w:rFonts w:ascii="Arial" w:hAnsi="Arial" w:eastAsia="Arial" w:cs="Arial"/>
          <w:b w:val="1"/>
          <w:bCs w:val="1"/>
          <w:i w:val="0"/>
          <w:iCs w:val="0"/>
          <w:caps w:val="0"/>
          <w:smallCaps w:val="0"/>
          <w:noProof w:val="0"/>
          <w:color w:val="000000" w:themeColor="text1" w:themeTint="FF" w:themeShade="FF"/>
          <w:sz w:val="36"/>
          <w:szCs w:val="36"/>
          <w:u w:val="single"/>
          <w:lang w:val="en"/>
        </w:rPr>
        <w:t>TATA Motors Limited:</w:t>
      </w:r>
    </w:p>
    <w:p w:rsidR="4324F67E" w:rsidP="4324F67E" w:rsidRDefault="4324F67E" w14:paraId="321C1824" w14:textId="49691CEF">
      <w:pPr>
        <w:spacing w:line="276" w:lineRule="auto"/>
        <w:jc w:val="left"/>
        <w:rPr>
          <w:rFonts w:ascii="Arial" w:hAnsi="Arial" w:eastAsia="Arial" w:cs="Arial"/>
          <w:b w:val="1"/>
          <w:bCs w:val="1"/>
          <w:i w:val="0"/>
          <w:iCs w:val="0"/>
          <w:caps w:val="0"/>
          <w:smallCaps w:val="0"/>
          <w:noProof w:val="0"/>
          <w:color w:val="000000" w:themeColor="text1" w:themeTint="FF" w:themeShade="FF"/>
          <w:sz w:val="36"/>
          <w:szCs w:val="36"/>
          <w:lang w:val="en"/>
        </w:rPr>
      </w:pPr>
    </w:p>
    <w:p w:rsidR="3E93E716" w:rsidP="4324F67E" w:rsidRDefault="3E93E716" w14:paraId="0D4D4235" w14:textId="7762C17F">
      <w:pPr>
        <w:spacing w:line="276" w:lineRule="auto"/>
        <w:jc w:val="left"/>
        <w:rPr>
          <w:rFonts w:ascii="Arial" w:hAnsi="Arial" w:eastAsia="Arial" w:cs="Arial"/>
          <w:b w:val="1"/>
          <w:bCs w:val="1"/>
          <w:i w:val="0"/>
          <w:iCs w:val="0"/>
          <w:caps w:val="0"/>
          <w:smallCaps w:val="0"/>
          <w:noProof w:val="0"/>
          <w:color w:val="000000" w:themeColor="text1" w:themeTint="FF" w:themeShade="FF"/>
          <w:sz w:val="32"/>
          <w:szCs w:val="32"/>
          <w:lang w:val="en"/>
        </w:rPr>
      </w:pPr>
      <w:r w:rsidRPr="4324F67E" w:rsidR="3E93E716">
        <w:rPr>
          <w:rFonts w:ascii="Arial" w:hAnsi="Arial" w:eastAsia="Arial" w:cs="Arial"/>
          <w:b w:val="1"/>
          <w:bCs w:val="1"/>
          <w:i w:val="0"/>
          <w:iCs w:val="0"/>
          <w:caps w:val="0"/>
          <w:smallCaps w:val="0"/>
          <w:noProof w:val="0"/>
          <w:color w:val="000000" w:themeColor="text1" w:themeTint="FF" w:themeShade="FF"/>
          <w:sz w:val="32"/>
          <w:szCs w:val="32"/>
          <w:lang w:val="en"/>
        </w:rPr>
        <w:t>Early History &amp; Business Model:</w:t>
      </w:r>
    </w:p>
    <w:p w:rsidR="4324F67E" w:rsidP="4324F67E" w:rsidRDefault="4324F67E" w14:paraId="661630A7" w14:textId="7C8CDC8A">
      <w:pPr>
        <w:pStyle w:val="Normal"/>
        <w:spacing w:line="276" w:lineRule="auto"/>
        <w:jc w:val="left"/>
        <w:rPr>
          <w:rFonts w:ascii="Arial" w:hAnsi="Arial" w:eastAsia="Arial" w:cs="Arial"/>
          <w:b w:val="1"/>
          <w:bCs w:val="1"/>
          <w:i w:val="0"/>
          <w:iCs w:val="0"/>
          <w:caps w:val="0"/>
          <w:smallCaps w:val="0"/>
          <w:noProof w:val="0"/>
          <w:color w:val="000000" w:themeColor="text1" w:themeTint="FF" w:themeShade="FF"/>
          <w:sz w:val="32"/>
          <w:szCs w:val="32"/>
          <w:lang w:val="en"/>
        </w:rPr>
      </w:pPr>
    </w:p>
    <w:p w:rsidR="11481496" w:rsidP="4324F67E" w:rsidRDefault="11481496" w14:paraId="2F343044" w14:textId="09D65E58">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4F67E" w:rsidR="11481496">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Originally founded as Tata Engineering and Locomotive Co. in 1945 Tata Motors Limited is a division of the Tata Group. Limited. to produce engineering goods including locomotives under the name TELCO. In 1954 it joined forces with Daimler-Benz to launch its first truck into the commercial vehicle market. With the 1991 introduction of the Tata Sierra the company entered the passenger car market and broadened its range of products to include automobiles.</w:t>
      </w:r>
    </w:p>
    <w:p w:rsidR="4324F67E" w:rsidP="4324F67E" w:rsidRDefault="4324F67E" w14:paraId="1C601BD0" w14:textId="2B69E27C">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A45C45B" w:rsidP="4324F67E" w:rsidRDefault="1A45C45B" w14:paraId="5D120134" w14:textId="0C50E8CF">
      <w:pPr>
        <w:pStyle w:val="Normal"/>
        <w:spacing w:line="276" w:lineRule="auto"/>
        <w:rPr>
          <w:rFonts w:ascii="Arial" w:hAnsi="Arial" w:eastAsia="Arial" w:cs="Arial"/>
          <w:b w:val="1"/>
          <w:bCs w:val="1"/>
          <w:i w:val="0"/>
          <w:iCs w:val="0"/>
          <w:caps w:val="0"/>
          <w:smallCaps w:val="0"/>
          <w:noProof w:val="0"/>
          <w:color w:val="000000" w:themeColor="text1" w:themeTint="FF" w:themeShade="FF"/>
          <w:sz w:val="32"/>
          <w:szCs w:val="32"/>
          <w:lang w:val="en-US"/>
        </w:rPr>
      </w:pPr>
      <w:r w:rsidRPr="4324F67E" w:rsidR="1A45C45B">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Business Model:</w:t>
      </w:r>
    </w:p>
    <w:p w:rsidR="4324F67E" w:rsidP="4324F67E" w:rsidRDefault="4324F67E" w14:paraId="7275B37E" w14:textId="263DA6C4">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A45C45B" w:rsidP="4324F67E" w:rsidRDefault="1A45C45B" w14:paraId="012EC9F0" w14:textId="281ED138">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1A45C45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With a diverse business strategy Tata Motors produces and markets </w:t>
      </w:r>
      <w:r w:rsidRPr="4324F67E" w:rsidR="1A45C45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 wide selection</w:t>
      </w:r>
      <w:r w:rsidRPr="4324F67E" w:rsidR="1A45C45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of automobiles including passenger cars electric vehicles (EVs) commercial trucks and buses. The integrated strategy used by the company consists of:</w:t>
      </w:r>
    </w:p>
    <w:p w:rsidR="4324F67E" w:rsidP="4324F67E" w:rsidRDefault="4324F67E" w14:paraId="7955996B" w14:textId="6C730C03">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A45C45B" w:rsidP="4324F67E" w:rsidRDefault="1A45C45B" w14:paraId="0A561517" w14:textId="780D7214">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1A45C45B">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Manufacturing:</w:t>
      </w:r>
      <w:r w:rsidRPr="4324F67E" w:rsidR="1A45C45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Large-Scale Manufacturing Plants in India and International Locations.</w:t>
      </w:r>
    </w:p>
    <w:p w:rsidR="03B785E1" w:rsidP="4324F67E" w:rsidRDefault="03B785E1" w14:paraId="4FF91266" w14:textId="42EBAA00">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3B785E1">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Research &amp; Development:</w:t>
      </w:r>
      <w:r w:rsidRPr="4324F67E" w:rsidR="03B785E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Significant investment in R&amp;D to innovate and improve vehicle safety, fuel efficiency, and environmental impact.</w:t>
      </w:r>
    </w:p>
    <w:p w:rsidR="0055896E" w:rsidP="4324F67E" w:rsidRDefault="0055896E" w14:paraId="5DBBD7E1" w14:textId="4D654C22">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Global Presence:</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Operations and market reach extending to over 125 </w:t>
      </w:r>
      <w:r w:rsidRPr="4324F67E" w:rsidR="7AD095A3">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countries</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p>
    <w:p w:rsidR="4324F67E" w:rsidP="4324F67E" w:rsidRDefault="4324F67E" w14:paraId="544E8FB0" w14:textId="19A38565">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055896E" w:rsidP="4324F67E" w:rsidRDefault="0055896E" w14:paraId="6F0F60F6" w14:textId="41D4CAA6">
      <w:pPr>
        <w:pStyle w:val="Normal"/>
        <w:spacing w:line="276" w:lineRule="auto"/>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Market Place &amp; Major Competitors:</w:t>
      </w:r>
    </w:p>
    <w:p w:rsidR="4324F67E" w:rsidP="4324F67E" w:rsidRDefault="4324F67E" w14:paraId="50886186" w14:textId="6C8F5FA0">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055896E" w:rsidP="4324F67E" w:rsidRDefault="0055896E" w14:paraId="01488109" w14:textId="4D4E5428">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Market Place:</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0055896E" w:rsidP="4324F67E" w:rsidRDefault="0055896E" w14:paraId="41D1802F" w14:textId="1F924E3A">
      <w:pPr>
        <w:pStyle w:val="Normal"/>
        <w:spacing w:line="276" w:lineRule="auto"/>
      </w:pP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One of the biggest automakers in India Tata Motors is well-known for its commercial vehicle business and is beginning to make waves in the passenger vehicle space as well. The company's offerings cover a wide range of consumer needs from luxury automobiles to </w:t>
      </w:r>
      <w:r w:rsidRPr="4324F67E" w:rsidR="1854F9E3">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priced</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small cars thanks to its acquisition of Jaguar Land Rover (JLR).</w:t>
      </w:r>
    </w:p>
    <w:p w:rsidR="0055896E" w:rsidP="4324F67E" w:rsidRDefault="0055896E" w14:paraId="10F1CEC5" w14:textId="7E937C95">
      <w:pPr>
        <w:pStyle w:val="Normal"/>
        <w:spacing w:line="276" w:lineRule="auto"/>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Major Competitors:</w:t>
      </w:r>
    </w:p>
    <w:p w:rsidR="0055896E" w:rsidP="4324F67E" w:rsidRDefault="0055896E" w14:paraId="483CE11F" w14:textId="1CEAB565">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Mahindra &amp; Mahindra: A significant competitor in the SUV and commercial vehicle markets. Maruti Suzuki: Leads the Indian passenger car market. One more significant participant in the commercial vehicle market is Ashok Leyland. International Rivals: The passenger vehicle market is particularly competitive with firms such as Ford Hyundai and Toyota. </w:t>
      </w:r>
    </w:p>
    <w:p w:rsidR="4324F67E" w:rsidP="4324F67E" w:rsidRDefault="4324F67E" w14:paraId="75B4C11C" w14:textId="559854C7">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055896E" w:rsidP="4324F67E" w:rsidRDefault="0055896E" w14:paraId="18DE0D4A" w14:textId="2B58E5E4">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Major Recent Events (2018-2023):</w:t>
      </w:r>
    </w:p>
    <w:p w:rsidR="4324F67E" w:rsidP="4324F67E" w:rsidRDefault="4324F67E" w14:paraId="2D716316" w14:textId="665152CF">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055896E" w:rsidP="4324F67E" w:rsidRDefault="0055896E" w14:paraId="3EE94F4F" w14:textId="600B3F41">
      <w:pPr>
        <w:pStyle w:val="ListParagraph"/>
        <w:numPr>
          <w:ilvl w:val="0"/>
          <w:numId w:val="1"/>
        </w:numPr>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055896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Leadership Changes:</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Guenter Butschek was Tata Motors CEO and Managing Director from 2017 to 2018 during which time he transformed the </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company's</w:t>
      </w:r>
      <w:r w:rsidRPr="4324F67E" w:rsidR="0055896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operations and organizational structure. 2021: Marc Lasorella received the position of CEO, but he chose not to accept it. Girish Wagh Executive Director of Tata Motors then oversaw the commercial vehicle business unit placing a strong emphasis on responsiveness to the market and operational efficiency (NHS Health Careers).</w:t>
      </w:r>
    </w:p>
    <w:p w:rsidR="4324F67E" w:rsidP="4324F67E" w:rsidRDefault="4324F67E" w14:paraId="40BE5B08" w14:textId="257648A9">
      <w:pPr>
        <w:pStyle w:val="ListParagraph"/>
        <w:spacing w:line="276" w:lineRule="auto"/>
        <w:ind w:left="72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DABF430" w:rsidP="4324F67E" w:rsidRDefault="4DABF430" w14:paraId="64095E24" w14:textId="00EF9B03">
      <w:pPr>
        <w:pStyle w:val="ListParagraph"/>
        <w:numPr>
          <w:ilvl w:val="0"/>
          <w:numId w:val="1"/>
        </w:numPr>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4DABF430">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Profit Warning and Financial Performance:</w:t>
      </w:r>
      <w:r w:rsidRPr="4324F67E" w:rsidR="4DABF43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2019 saw significant losses for Tata Motors because of weak demand in both the domestic and international markets which had an impact on JLRs performance in China in particular. 2020–2021: The global COVID-19 pandemic had a significant negative influence on car sales. Tata Motors </w:t>
      </w:r>
      <w:r w:rsidRPr="4324F67E" w:rsidR="23DDF96A">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proved</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tenacity nevertheless by stepping up its digital sales channels and concentrating on cost reduction.</w:t>
      </w:r>
    </w:p>
    <w:p w:rsidR="4324F67E" w:rsidP="4324F67E" w:rsidRDefault="4324F67E" w14:paraId="4AF4DC77" w14:textId="2EF3F8D1">
      <w:pPr>
        <w:pStyle w:val="ListParagraph"/>
        <w:spacing w:line="276" w:lineRule="auto"/>
        <w:ind w:left="72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B7EB9CD" w:rsidP="4324F67E" w:rsidRDefault="2B7EB9CD" w14:paraId="7E697166" w14:textId="5CF8FD3C">
      <w:pPr>
        <w:pStyle w:val="ListParagraph"/>
        <w:numPr>
          <w:ilvl w:val="0"/>
          <w:numId w:val="1"/>
        </w:numPr>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2B7EB9C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 xml:space="preserve">Strategic Changes and Focus on EV’s: </w:t>
      </w:r>
      <w:r w:rsidRPr="4324F67E" w:rsidR="2B7EB9C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2018–2021:</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Tata Motors increased its emphasis on electric cars in line with the worlds shift toward environmentally friendly transportation. There have been notable changes in strategy with the introduction of the Tata Nexon EV and the plans to grow the EV line. 2020 saw the announcement by Tata Motors of a restructuring plan to split its passenger car division into a distinct subsidiary </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to</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attract investments and form strategic alliances.</w:t>
      </w:r>
    </w:p>
    <w:p w:rsidR="4324F67E" w:rsidP="4324F67E" w:rsidRDefault="4324F67E" w14:paraId="663C1996" w14:textId="6E79AFE9">
      <w:pPr>
        <w:pStyle w:val="Normal"/>
        <w:spacing w:line="276" w:lineRule="auto"/>
        <w:ind w:left="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B7EB9CD" w:rsidP="4324F67E" w:rsidRDefault="2B7EB9CD" w14:paraId="2648B34A" w14:textId="257764BD">
      <w:pPr>
        <w:pStyle w:val="ListParagraph"/>
        <w:numPr>
          <w:ilvl w:val="0"/>
          <w:numId w:val="1"/>
        </w:numPr>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2B7EB9C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Mergers and Acquisitions (M&amp;A):</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Jaguar Land Rover: Since being </w:t>
      </w:r>
      <w:r w:rsidRPr="4324F67E" w:rsidR="5BD3DAC6">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bought</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by Tata Motors in 2008 JLR has played a crucial role in the company's global strategy. The introduction of new models and electric vehicles has been a critical </w:t>
      </w:r>
      <w:r w:rsidRPr="4324F67E" w:rsidR="6D6662CA">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part</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of efforts to improve JLRs performance. In 2020 Tata Motors investigated strategic partnerships to expand its market reach and technological capabilities for its passenger vehicle division.</w:t>
      </w:r>
    </w:p>
    <w:p w:rsidR="4324F67E" w:rsidP="4324F67E" w:rsidRDefault="4324F67E" w14:paraId="3545428A" w14:textId="09F11C72">
      <w:pPr>
        <w:pStyle w:val="Normal"/>
        <w:spacing w:line="276" w:lineRule="auto"/>
        <w:ind w:left="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B7EB9CD" w:rsidP="4324F67E" w:rsidRDefault="2B7EB9CD" w14:paraId="7AF8DD2B" w14:textId="2668F37F">
      <w:pPr>
        <w:pStyle w:val="ListParagraph"/>
        <w:numPr>
          <w:ilvl w:val="0"/>
          <w:numId w:val="1"/>
        </w:numPr>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2B7EB9C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Legal Issues:</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Compliance with Emission Standards: Like many other international automakers Tata Motors has had difficulty adhering to strict emission regulations. There have been significant efforts made to meet Euro 6 standards in Europe and BS6 norms in India. Intellectual Property: By taking legal action against instances of patent and design infringement Tata Motors has </w:t>
      </w:r>
      <w:r w:rsidRPr="4324F67E" w:rsidR="04231CDF">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proved</w:t>
      </w:r>
      <w:r w:rsidRPr="4324F67E" w:rsidR="2B7EB9CD">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 proactive approach to safeguarding its intellectual property.</w:t>
      </w:r>
    </w:p>
    <w:p w:rsidR="4324F67E" w:rsidP="4324F67E" w:rsidRDefault="4324F67E" w14:paraId="1D546192" w14:textId="079690D4">
      <w:pPr>
        <w:pStyle w:val="ListParagraph"/>
        <w:spacing w:line="276" w:lineRule="auto"/>
        <w:ind w:left="72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CC1351D" w:rsidP="44FC26BE" w:rsidRDefault="7CC1351D" w14:paraId="6456A7B8" w14:textId="11ED510F">
      <w:pPr>
        <w:pStyle w:val="ListParagraph"/>
        <w:numPr>
          <w:ilvl w:val="0"/>
          <w:numId w:val="1"/>
        </w:numPr>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4FC26BE" w:rsidR="7CC1351D">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Market Expansion and New Product Lunches:</w:t>
      </w:r>
      <w:r w:rsidRPr="44FC26BE" w:rsidR="7CC135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Domestic Market: To improve its market position in India Tata Motors unveiled several new models including the </w:t>
      </w:r>
      <w:r w:rsidRPr="44FC26BE" w:rsidR="7CC135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Altroz</w:t>
      </w:r>
      <w:r w:rsidRPr="44FC26BE" w:rsidR="7CC135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upgraded versions of well-known models. </w:t>
      </w:r>
      <w:r w:rsidRPr="44FC26BE" w:rsidR="690CB58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Global Market: Persistent growth in global markets with emphasis on Africa, the Middle </w:t>
      </w:r>
      <w:r w:rsidRPr="44FC26BE" w:rsidR="690CB58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East,</w:t>
      </w:r>
      <w:r w:rsidRPr="44FC26BE" w:rsidR="690CB58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Southeast Asia.</w:t>
      </w:r>
      <w:r w:rsidRPr="44FC26BE" w:rsidR="7CC135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4324F67E" w:rsidP="4324F67E" w:rsidRDefault="4324F67E" w14:paraId="0B19CF20" w14:textId="1C1707AD">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DE370E0" w:rsidP="4324F67E" w:rsidRDefault="1DE370E0" w14:paraId="0F55D801" w14:textId="165146A4">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1DE370E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Over the past five years Tata Motors has had to negotiate a challenging environment that has been characterized by shifts in leadership financial volatility and strategic realignments toward electric mobility. Notwithstanding obstacles like the COVID-19 pandemic and the global economic slowdown, the business has proven resilient through innovation and market adaptation. Tata Motors commitment to sustainable growth and preserving its competitive edge in the automotive industry is </w:t>
      </w:r>
      <w:r w:rsidRPr="4324F67E" w:rsidR="597AB70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proved</w:t>
      </w:r>
      <w:r w:rsidRPr="4324F67E" w:rsidR="1DE370E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by its focus on electric vehicles restructuring initiatives and strategic partnerships.</w:t>
      </w:r>
    </w:p>
    <w:p w:rsidR="44FC26BE" w:rsidP="44FC26BE" w:rsidRDefault="44FC26BE" w14:paraId="074EAE02" w14:textId="745A4587">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7C3B61C" w:rsidP="44FC26BE" w:rsidRDefault="47C3B61C" w14:paraId="69E53C27" w14:textId="133A5D81">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4FC26BE" w:rsidR="47C3B61C">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 xml:space="preserve">A </w:t>
      </w:r>
      <w:r w:rsidRPr="44FC26BE" w:rsidR="47C3B61C">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Critical Review of TATA Motors Limited’s Financial Performance:</w:t>
      </w:r>
    </w:p>
    <w:p w:rsidR="04DA381D" w:rsidP="44FC26BE" w:rsidRDefault="04DA381D" w14:paraId="19B9DA2F" w14:textId="7F68C845">
      <w:pPr>
        <w:pStyle w:val="Normal"/>
        <w:spacing w:line="276" w:lineRule="auto"/>
        <w:rPr>
          <w:rFonts w:ascii="Libre Baskerville" w:hAnsi="Libre Baskerville" w:eastAsia="Libre Baskerville" w:cs="Libre Baskerville"/>
          <w:b w:val="0"/>
          <w:bCs w:val="0"/>
          <w:i w:val="0"/>
          <w:iCs w:val="0"/>
          <w:caps w:val="0"/>
          <w:smallCaps w:val="0"/>
          <w:noProof w:val="0"/>
          <w:color w:val="7A7C7F"/>
          <w:sz w:val="34"/>
          <w:szCs w:val="34"/>
          <w:lang w:val="en-US"/>
        </w:rPr>
      </w:pPr>
      <w:r w:rsidRPr="44FC26BE" w:rsidR="04DA38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As a prominent player in the global automotive industry Tata Motors Limited is a major automotive manufacturer in India and a member of the Tata Group. Along with passenger cars, trucks, </w:t>
      </w:r>
      <w:r w:rsidRPr="44FC26BE" w:rsidR="04DA38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vans,</w:t>
      </w:r>
      <w:r w:rsidRPr="44FC26BE" w:rsidR="04DA38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coaches' buses, sports </w:t>
      </w:r>
      <w:r w:rsidRPr="44FC26BE" w:rsidR="04DA38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cars</w:t>
      </w:r>
      <w:r w:rsidRPr="44FC26BE" w:rsidR="04DA38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construction equipment and military vehicles the company offers a wide range of products. Tata Motors has seen a lot of opportunities and difficulties over the last five years which have influenced its bottom line. Using important financial ratio calculations analysis comparison with competitors and improvement suggestions this critical review will evaluate Tata Motors financial performance.</w:t>
      </w:r>
    </w:p>
    <w:p w:rsidR="44FC26BE" w:rsidP="44FC26BE" w:rsidRDefault="44FC26BE" w14:paraId="08D9DFEE" w14:textId="2223B86E">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4DA381D" w:rsidP="44FC26BE" w:rsidRDefault="04DA381D" w14:paraId="086C0F9D" w14:textId="6E1E71A9">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4FC26BE" w:rsidR="04DA381D">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Profitability Ratio:</w:t>
      </w:r>
    </w:p>
    <w:p w:rsidR="04DA381D" w:rsidP="44FC26BE" w:rsidRDefault="04DA381D" w14:paraId="2AE04524" w14:textId="3CFC1515">
      <w:pPr>
        <w:pStyle w:val="Normal"/>
        <w:spacing w:line="276" w:lineRule="auto"/>
      </w:pPr>
      <w:r w:rsidRPr="44FC26BE" w:rsidR="04DA381D">
        <w:rPr>
          <w:rFonts w:ascii="Aptos" w:hAnsi="Aptos" w:eastAsia="Aptos" w:cs="Aptos"/>
          <w:noProof w:val="0"/>
          <w:sz w:val="24"/>
          <w:szCs w:val="24"/>
          <w:lang w:val="en-US"/>
        </w:rPr>
        <w:t>Profitability ratios measure a company's ability to generate earnings relative to its revenue, operating costs, and shareholders' equity over a specific period. The key profitability ratios include Gross Profit Margin, Operating Profit Margin, and Net Profit Margin.</w:t>
      </w:r>
    </w:p>
    <w:p w:rsidR="04DA381D" w:rsidP="44FC26BE" w:rsidRDefault="04DA381D" w14:paraId="4E5A0953" w14:textId="36CDB930">
      <w:pPr>
        <w:pStyle w:val="Normal"/>
        <w:spacing w:line="276" w:lineRule="auto"/>
        <w:rPr>
          <w:rFonts w:ascii="Aptos" w:hAnsi="Aptos" w:eastAsia="Aptos" w:cs="Aptos"/>
          <w:noProof w:val="0"/>
          <w:sz w:val="24"/>
          <w:szCs w:val="24"/>
          <w:lang w:val="en-US"/>
        </w:rPr>
      </w:pPr>
      <w:r w:rsidRPr="44FC26BE" w:rsidR="04DA381D">
        <w:rPr>
          <w:rFonts w:ascii="Aptos" w:hAnsi="Aptos" w:eastAsia="Aptos" w:cs="Aptos"/>
          <w:noProof w:val="0"/>
          <w:sz w:val="24"/>
          <w:szCs w:val="24"/>
          <w:lang w:val="en-US"/>
        </w:rPr>
        <w:t>Key ratios of Profitability</w:t>
      </w:r>
    </w:p>
    <w:p w:rsidR="04DA381D" w:rsidP="44FC26BE" w:rsidRDefault="04DA381D" w14:paraId="646448E8" w14:textId="080221B5">
      <w:pPr>
        <w:pStyle w:val="ListParagraph"/>
        <w:numPr>
          <w:ilvl w:val="0"/>
          <w:numId w:val="4"/>
        </w:numPr>
        <w:spacing w:line="276" w:lineRule="auto"/>
        <w:rPr>
          <w:rFonts w:ascii="Aptos" w:hAnsi="Aptos" w:eastAsia="Aptos" w:cs="Aptos"/>
          <w:noProof w:val="0"/>
          <w:sz w:val="24"/>
          <w:szCs w:val="24"/>
          <w:lang w:val="en-US"/>
        </w:rPr>
      </w:pPr>
      <w:r w:rsidRPr="44FC26BE" w:rsidR="04DA381D">
        <w:rPr>
          <w:rFonts w:ascii="Aptos" w:hAnsi="Aptos" w:eastAsia="Aptos" w:cs="Aptos"/>
          <w:noProof w:val="0"/>
          <w:sz w:val="24"/>
          <w:szCs w:val="24"/>
          <w:lang w:val="en-US"/>
        </w:rPr>
        <w:t>Gross Profit Margin= (</w:t>
      </w:r>
      <w:r w:rsidRPr="44FC26BE" w:rsidR="2B04107D">
        <w:rPr>
          <w:rFonts w:ascii="Aptos" w:hAnsi="Aptos" w:eastAsia="Aptos" w:cs="Aptos"/>
          <w:noProof w:val="0"/>
          <w:sz w:val="24"/>
          <w:szCs w:val="24"/>
          <w:lang w:val="en-US"/>
        </w:rPr>
        <w:t xml:space="preserve">Gross Profit / </w:t>
      </w:r>
      <w:r w:rsidRPr="44FC26BE" w:rsidR="2B04107D">
        <w:rPr>
          <w:rFonts w:ascii="Aptos" w:hAnsi="Aptos" w:eastAsia="Aptos" w:cs="Aptos"/>
          <w:noProof w:val="0"/>
          <w:sz w:val="24"/>
          <w:szCs w:val="24"/>
          <w:lang w:val="en-US"/>
        </w:rPr>
        <w:t>Revenue) *</w:t>
      </w:r>
      <w:r w:rsidRPr="44FC26BE" w:rsidR="2B04107D">
        <w:rPr>
          <w:rFonts w:ascii="Aptos" w:hAnsi="Aptos" w:eastAsia="Aptos" w:cs="Aptos"/>
          <w:noProof w:val="0"/>
          <w:sz w:val="24"/>
          <w:szCs w:val="24"/>
          <w:lang w:val="en-US"/>
        </w:rPr>
        <w:t>100</w:t>
      </w:r>
    </w:p>
    <w:p w:rsidR="2B04107D" w:rsidP="44FC26BE" w:rsidRDefault="2B04107D" w14:paraId="66187154" w14:textId="1974AE5A">
      <w:pPr>
        <w:pStyle w:val="ListParagraph"/>
        <w:numPr>
          <w:ilvl w:val="0"/>
          <w:numId w:val="4"/>
        </w:numPr>
        <w:spacing w:line="276" w:lineRule="auto"/>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Operating Profit Margin= (Operating Profit / Revenue) * 100</w:t>
      </w:r>
    </w:p>
    <w:p w:rsidR="2B04107D" w:rsidP="44FC26BE" w:rsidRDefault="2B04107D" w14:paraId="3C19AD11" w14:textId="53FBE0C4">
      <w:pPr>
        <w:pStyle w:val="ListParagraph"/>
        <w:numPr>
          <w:ilvl w:val="0"/>
          <w:numId w:val="4"/>
        </w:numPr>
        <w:spacing w:line="276" w:lineRule="auto"/>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Net Profit Margin= (Net Profit / Revenue) *100</w:t>
      </w:r>
    </w:p>
    <w:p w:rsidR="44FC26BE" w:rsidP="44FC26BE" w:rsidRDefault="44FC26BE" w14:paraId="41C50E82" w14:textId="55814C40">
      <w:pPr>
        <w:pStyle w:val="Normal"/>
        <w:spacing w:line="276" w:lineRule="auto"/>
        <w:ind w:left="0"/>
        <w:rPr>
          <w:rFonts w:ascii="Aptos" w:hAnsi="Aptos" w:eastAsia="Aptos" w:cs="Aptos"/>
          <w:noProof w:val="0"/>
          <w:sz w:val="24"/>
          <w:szCs w:val="24"/>
          <w:lang w:val="en-US"/>
        </w:rPr>
      </w:pPr>
    </w:p>
    <w:p w:rsidR="2B04107D" w:rsidP="44FC26BE" w:rsidRDefault="2B04107D" w14:paraId="62ECA9A1" w14:textId="60B011C5">
      <w:pPr>
        <w:pStyle w:val="Normal"/>
        <w:spacing w:line="276" w:lineRule="auto"/>
        <w:ind w:left="0"/>
        <w:rPr>
          <w:rFonts w:ascii="Aptos" w:hAnsi="Aptos" w:eastAsia="Aptos" w:cs="Aptos"/>
          <w:b w:val="1"/>
          <w:bCs w:val="1"/>
          <w:noProof w:val="0"/>
          <w:sz w:val="28"/>
          <w:szCs w:val="28"/>
          <w:lang w:val="en-US"/>
        </w:rPr>
      </w:pPr>
      <w:r w:rsidRPr="44FC26BE" w:rsidR="2B04107D">
        <w:rPr>
          <w:rFonts w:ascii="Aptos" w:hAnsi="Aptos" w:eastAsia="Aptos" w:cs="Aptos"/>
          <w:b w:val="1"/>
          <w:bCs w:val="1"/>
          <w:noProof w:val="0"/>
          <w:sz w:val="28"/>
          <w:szCs w:val="28"/>
          <w:lang w:val="en-US"/>
        </w:rPr>
        <w:t xml:space="preserve">Gross Profit Margin: </w:t>
      </w:r>
    </w:p>
    <w:p w:rsidR="44FC26BE" w:rsidP="44FC26BE" w:rsidRDefault="44FC26BE" w14:paraId="2D984C91" w14:textId="2D721CE7">
      <w:pPr>
        <w:pStyle w:val="Normal"/>
        <w:spacing w:line="276" w:lineRule="auto"/>
        <w:ind w:left="0"/>
        <w:rPr>
          <w:rFonts w:ascii="Aptos" w:hAnsi="Aptos" w:eastAsia="Aptos" w:cs="Aptos"/>
          <w:b w:val="1"/>
          <w:bCs w:val="1"/>
          <w:noProof w:val="0"/>
          <w:sz w:val="28"/>
          <w:szCs w:val="28"/>
          <w:lang w:val="en-US"/>
        </w:rPr>
      </w:pPr>
    </w:p>
    <w:tbl>
      <w:tblPr>
        <w:tblStyle w:val="TableGrid"/>
        <w:tblW w:w="0" w:type="auto"/>
        <w:tblLayout w:type="fixed"/>
        <w:tblLook w:val="06A0" w:firstRow="1" w:lastRow="0" w:firstColumn="1" w:lastColumn="0" w:noHBand="1" w:noVBand="1"/>
      </w:tblPr>
      <w:tblGrid>
        <w:gridCol w:w="4680"/>
        <w:gridCol w:w="4680"/>
      </w:tblGrid>
      <w:tr w:rsidR="44FC26BE" w:rsidTr="44FC26BE" w14:paraId="46B1BB09">
        <w:trPr>
          <w:trHeight w:val="300"/>
        </w:trPr>
        <w:tc>
          <w:tcPr>
            <w:tcW w:w="4680" w:type="dxa"/>
            <w:tcMar/>
          </w:tcPr>
          <w:p w:rsidR="2B04107D" w:rsidP="44FC26BE" w:rsidRDefault="2B04107D" w14:paraId="197AFD28" w14:textId="767D8BC1">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Years</w:t>
            </w:r>
          </w:p>
        </w:tc>
        <w:tc>
          <w:tcPr>
            <w:tcW w:w="4680" w:type="dxa"/>
            <w:tcMar/>
          </w:tcPr>
          <w:p w:rsidR="2B04107D" w:rsidP="44FC26BE" w:rsidRDefault="2B04107D" w14:paraId="498C5BB3" w14:textId="16FA1E0C">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Gross Profit Margin</w:t>
            </w:r>
          </w:p>
        </w:tc>
      </w:tr>
      <w:tr w:rsidR="44FC26BE" w:rsidTr="44FC26BE" w14:paraId="1B5CD27A">
        <w:trPr>
          <w:trHeight w:val="300"/>
        </w:trPr>
        <w:tc>
          <w:tcPr>
            <w:tcW w:w="4680" w:type="dxa"/>
            <w:tcMar/>
          </w:tcPr>
          <w:p w:rsidR="2B04107D" w:rsidP="44FC26BE" w:rsidRDefault="2B04107D" w14:paraId="6D139D55" w14:textId="1E2EC3B7">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2018</w:t>
            </w:r>
          </w:p>
        </w:tc>
        <w:tc>
          <w:tcPr>
            <w:tcW w:w="4680" w:type="dxa"/>
            <w:tcMar/>
          </w:tcPr>
          <w:p w:rsidR="2B04107D" w:rsidP="44FC26BE" w:rsidRDefault="2B04107D" w14:paraId="063BAB7B" w14:textId="47FE962E">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13.4%</w:t>
            </w:r>
          </w:p>
        </w:tc>
      </w:tr>
      <w:tr w:rsidR="44FC26BE" w:rsidTr="44FC26BE" w14:paraId="4AA5C72E">
        <w:trPr>
          <w:trHeight w:val="300"/>
        </w:trPr>
        <w:tc>
          <w:tcPr>
            <w:tcW w:w="4680" w:type="dxa"/>
            <w:tcMar/>
          </w:tcPr>
          <w:p w:rsidR="2B04107D" w:rsidP="44FC26BE" w:rsidRDefault="2B04107D" w14:paraId="28AE7387" w14:textId="72AABCC9">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2019</w:t>
            </w:r>
          </w:p>
        </w:tc>
        <w:tc>
          <w:tcPr>
            <w:tcW w:w="4680" w:type="dxa"/>
            <w:tcMar/>
          </w:tcPr>
          <w:p w:rsidR="2B04107D" w:rsidP="44FC26BE" w:rsidRDefault="2B04107D" w14:paraId="34391935" w14:textId="3E30DA7D">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14.5%</w:t>
            </w:r>
          </w:p>
        </w:tc>
      </w:tr>
      <w:tr w:rsidR="44FC26BE" w:rsidTr="44FC26BE" w14:paraId="5BB65814">
        <w:trPr>
          <w:trHeight w:val="300"/>
        </w:trPr>
        <w:tc>
          <w:tcPr>
            <w:tcW w:w="4680" w:type="dxa"/>
            <w:tcMar/>
          </w:tcPr>
          <w:p w:rsidR="2B04107D" w:rsidP="44FC26BE" w:rsidRDefault="2B04107D" w14:paraId="325D1C5E" w14:textId="64EBC707">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2020</w:t>
            </w:r>
          </w:p>
        </w:tc>
        <w:tc>
          <w:tcPr>
            <w:tcW w:w="4680" w:type="dxa"/>
            <w:tcMar/>
          </w:tcPr>
          <w:p w:rsidR="2B04107D" w:rsidP="44FC26BE" w:rsidRDefault="2B04107D" w14:paraId="33331E6B" w14:textId="08620608">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15.2%</w:t>
            </w:r>
          </w:p>
        </w:tc>
      </w:tr>
      <w:tr w:rsidR="44FC26BE" w:rsidTr="44FC26BE" w14:paraId="660410EE">
        <w:trPr>
          <w:trHeight w:val="300"/>
        </w:trPr>
        <w:tc>
          <w:tcPr>
            <w:tcW w:w="4680" w:type="dxa"/>
            <w:tcMar/>
          </w:tcPr>
          <w:p w:rsidR="2B04107D" w:rsidP="44FC26BE" w:rsidRDefault="2B04107D" w14:paraId="759202EA" w14:textId="1BC7E65C">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2021</w:t>
            </w:r>
          </w:p>
        </w:tc>
        <w:tc>
          <w:tcPr>
            <w:tcW w:w="4680" w:type="dxa"/>
            <w:tcMar/>
          </w:tcPr>
          <w:p w:rsidR="2B04107D" w:rsidP="44FC26BE" w:rsidRDefault="2B04107D" w14:paraId="763ED461" w14:textId="1DCDD80A">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12.3%</w:t>
            </w:r>
          </w:p>
        </w:tc>
      </w:tr>
      <w:tr w:rsidR="44FC26BE" w:rsidTr="44FC26BE" w14:paraId="1E7BD848">
        <w:trPr>
          <w:trHeight w:val="300"/>
        </w:trPr>
        <w:tc>
          <w:tcPr>
            <w:tcW w:w="4680" w:type="dxa"/>
            <w:tcMar/>
          </w:tcPr>
          <w:p w:rsidR="2B04107D" w:rsidP="44FC26BE" w:rsidRDefault="2B04107D" w14:paraId="651856CD" w14:textId="2288B8D2">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2022</w:t>
            </w:r>
          </w:p>
        </w:tc>
        <w:tc>
          <w:tcPr>
            <w:tcW w:w="4680" w:type="dxa"/>
            <w:tcMar/>
          </w:tcPr>
          <w:p w:rsidR="2B04107D" w:rsidP="44FC26BE" w:rsidRDefault="2B04107D" w14:paraId="369CC24C" w14:textId="5B48316C">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14.0%</w:t>
            </w:r>
          </w:p>
        </w:tc>
      </w:tr>
      <w:tr w:rsidR="44FC26BE" w:rsidTr="44FC26BE" w14:paraId="14B822DA">
        <w:trPr>
          <w:trHeight w:val="300"/>
        </w:trPr>
        <w:tc>
          <w:tcPr>
            <w:tcW w:w="4680" w:type="dxa"/>
            <w:tcMar/>
          </w:tcPr>
          <w:p w:rsidR="2B04107D" w:rsidP="44FC26BE" w:rsidRDefault="2B04107D" w14:paraId="1EF4DF9B" w14:textId="51EFF80C">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2022 (Mahindra)</w:t>
            </w:r>
          </w:p>
        </w:tc>
        <w:tc>
          <w:tcPr>
            <w:tcW w:w="4680" w:type="dxa"/>
            <w:tcMar/>
          </w:tcPr>
          <w:p w:rsidR="2B04107D" w:rsidP="44FC26BE" w:rsidRDefault="2B04107D" w14:paraId="3A706124" w14:textId="73FEA9A4">
            <w:pPr>
              <w:pStyle w:val="Normal"/>
              <w:jc w:val="center"/>
              <w:rPr>
                <w:rFonts w:ascii="Aptos" w:hAnsi="Aptos" w:eastAsia="Aptos" w:cs="Aptos"/>
                <w:noProof w:val="0"/>
                <w:sz w:val="24"/>
                <w:szCs w:val="24"/>
                <w:lang w:val="en-US"/>
              </w:rPr>
            </w:pPr>
            <w:r w:rsidRPr="44FC26BE" w:rsidR="2B04107D">
              <w:rPr>
                <w:rFonts w:ascii="Aptos" w:hAnsi="Aptos" w:eastAsia="Aptos" w:cs="Aptos"/>
                <w:noProof w:val="0"/>
                <w:sz w:val="24"/>
                <w:szCs w:val="24"/>
                <w:lang w:val="en-US"/>
              </w:rPr>
              <w:t>20.27%</w:t>
            </w:r>
          </w:p>
        </w:tc>
      </w:tr>
    </w:tbl>
    <w:p w:rsidR="44FC26BE" w:rsidP="44FC26BE" w:rsidRDefault="44FC26BE" w14:paraId="04FE6B29" w14:textId="67C2709E">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B04107D" w:rsidP="44FC26BE" w:rsidRDefault="2B04107D" w14:paraId="59DCCF2F" w14:textId="6581D2F6">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4FC26BE" w:rsidR="2B04107D">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Operating Profit Margin:</w:t>
      </w:r>
    </w:p>
    <w:p w:rsidR="44FC26BE" w:rsidP="44FC26BE" w:rsidRDefault="44FC26BE" w14:paraId="4C2A46F2" w14:textId="3BC3646E">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p>
    <w:tbl>
      <w:tblPr>
        <w:tblStyle w:val="TableGrid"/>
        <w:tblW w:w="0" w:type="auto"/>
        <w:tblLayout w:type="fixed"/>
        <w:tblLook w:val="06A0" w:firstRow="1" w:lastRow="0" w:firstColumn="1" w:lastColumn="0" w:noHBand="1" w:noVBand="1"/>
      </w:tblPr>
      <w:tblGrid>
        <w:gridCol w:w="4680"/>
        <w:gridCol w:w="4680"/>
      </w:tblGrid>
      <w:tr w:rsidR="44FC26BE" w:rsidTr="44FC26BE" w14:paraId="6095B9CE">
        <w:trPr>
          <w:trHeight w:val="300"/>
        </w:trPr>
        <w:tc>
          <w:tcPr>
            <w:tcW w:w="4680" w:type="dxa"/>
            <w:tcMar/>
          </w:tcPr>
          <w:p w:rsidR="44FC26BE" w:rsidP="44FC26BE" w:rsidRDefault="44FC26BE" w14:paraId="6A634154" w14:textId="767D8BC1">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Years</w:t>
            </w:r>
          </w:p>
        </w:tc>
        <w:tc>
          <w:tcPr>
            <w:tcW w:w="4680" w:type="dxa"/>
            <w:tcMar/>
          </w:tcPr>
          <w:p w:rsidR="3E1EDB4E" w:rsidP="44FC26BE" w:rsidRDefault="3E1EDB4E" w14:paraId="6D27D668" w14:textId="6A913930">
            <w:pPr>
              <w:pStyle w:val="Normal"/>
              <w:jc w:val="center"/>
              <w:rPr>
                <w:rFonts w:ascii="Aptos" w:hAnsi="Aptos" w:eastAsia="Aptos" w:cs="Aptos"/>
                <w:noProof w:val="0"/>
                <w:sz w:val="24"/>
                <w:szCs w:val="24"/>
                <w:lang w:val="en-US"/>
              </w:rPr>
            </w:pPr>
            <w:r w:rsidRPr="44FC26BE" w:rsidR="3E1EDB4E">
              <w:rPr>
                <w:rFonts w:ascii="Aptos" w:hAnsi="Aptos" w:eastAsia="Aptos" w:cs="Aptos"/>
                <w:noProof w:val="0"/>
                <w:sz w:val="24"/>
                <w:szCs w:val="24"/>
                <w:lang w:val="en-US"/>
              </w:rPr>
              <w:t>Operating</w:t>
            </w:r>
            <w:r w:rsidRPr="44FC26BE" w:rsidR="44FC26BE">
              <w:rPr>
                <w:rFonts w:ascii="Aptos" w:hAnsi="Aptos" w:eastAsia="Aptos" w:cs="Aptos"/>
                <w:noProof w:val="0"/>
                <w:sz w:val="24"/>
                <w:szCs w:val="24"/>
                <w:lang w:val="en-US"/>
              </w:rPr>
              <w:t xml:space="preserve"> Profit Margin</w:t>
            </w:r>
          </w:p>
        </w:tc>
      </w:tr>
      <w:tr w:rsidR="44FC26BE" w:rsidTr="44FC26BE" w14:paraId="4B313EF7">
        <w:trPr>
          <w:trHeight w:val="300"/>
        </w:trPr>
        <w:tc>
          <w:tcPr>
            <w:tcW w:w="4680" w:type="dxa"/>
            <w:tcMar/>
          </w:tcPr>
          <w:p w:rsidR="44FC26BE" w:rsidP="44FC26BE" w:rsidRDefault="44FC26BE" w14:paraId="574554D0" w14:textId="1E2EC3B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2018</w:t>
            </w:r>
          </w:p>
        </w:tc>
        <w:tc>
          <w:tcPr>
            <w:tcW w:w="4680" w:type="dxa"/>
            <w:tcMar/>
          </w:tcPr>
          <w:p w:rsidR="70494947" w:rsidP="44FC26BE" w:rsidRDefault="70494947" w14:paraId="4A634AD9" w14:textId="719CDE6B">
            <w:pPr>
              <w:pStyle w:val="Normal"/>
              <w:jc w:val="center"/>
              <w:rPr>
                <w:rFonts w:ascii="Aptos" w:hAnsi="Aptos" w:eastAsia="Aptos" w:cs="Aptos"/>
                <w:noProof w:val="0"/>
                <w:sz w:val="24"/>
                <w:szCs w:val="24"/>
                <w:lang w:val="en-US"/>
              </w:rPr>
            </w:pPr>
            <w:r w:rsidRPr="44FC26BE" w:rsidR="70494947">
              <w:rPr>
                <w:rFonts w:ascii="Aptos" w:hAnsi="Aptos" w:eastAsia="Aptos" w:cs="Aptos"/>
                <w:noProof w:val="0"/>
                <w:sz w:val="24"/>
                <w:szCs w:val="24"/>
                <w:lang w:val="en-US"/>
              </w:rPr>
              <w:t>8.2%</w:t>
            </w:r>
          </w:p>
        </w:tc>
      </w:tr>
      <w:tr w:rsidR="44FC26BE" w:rsidTr="44FC26BE" w14:paraId="0B6D3642">
        <w:trPr>
          <w:trHeight w:val="300"/>
        </w:trPr>
        <w:tc>
          <w:tcPr>
            <w:tcW w:w="4680" w:type="dxa"/>
            <w:tcMar/>
          </w:tcPr>
          <w:p w:rsidR="44FC26BE" w:rsidP="44FC26BE" w:rsidRDefault="44FC26BE" w14:paraId="1EB880CB" w14:textId="72AABCC9">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2019</w:t>
            </w:r>
          </w:p>
        </w:tc>
        <w:tc>
          <w:tcPr>
            <w:tcW w:w="4680" w:type="dxa"/>
            <w:tcMar/>
          </w:tcPr>
          <w:p w:rsidR="57EDF174" w:rsidP="44FC26BE" w:rsidRDefault="57EDF174" w14:paraId="5C8661C9" w14:textId="34E2DE5D">
            <w:pPr>
              <w:pStyle w:val="Normal"/>
              <w:jc w:val="center"/>
              <w:rPr>
                <w:rFonts w:ascii="Aptos" w:hAnsi="Aptos" w:eastAsia="Aptos" w:cs="Aptos"/>
                <w:noProof w:val="0"/>
                <w:sz w:val="24"/>
                <w:szCs w:val="24"/>
                <w:lang w:val="en-US"/>
              </w:rPr>
            </w:pPr>
            <w:r w:rsidRPr="44FC26BE" w:rsidR="57EDF174">
              <w:rPr>
                <w:rFonts w:ascii="Aptos" w:hAnsi="Aptos" w:eastAsia="Aptos" w:cs="Aptos"/>
                <w:noProof w:val="0"/>
                <w:sz w:val="24"/>
                <w:szCs w:val="24"/>
                <w:lang w:val="en-US"/>
              </w:rPr>
              <w:t>9.1%</w:t>
            </w:r>
          </w:p>
        </w:tc>
      </w:tr>
      <w:tr w:rsidR="44FC26BE" w:rsidTr="44FC26BE" w14:paraId="3B692FF6">
        <w:trPr>
          <w:trHeight w:val="300"/>
        </w:trPr>
        <w:tc>
          <w:tcPr>
            <w:tcW w:w="4680" w:type="dxa"/>
            <w:tcMar/>
          </w:tcPr>
          <w:p w:rsidR="44FC26BE" w:rsidP="44FC26BE" w:rsidRDefault="44FC26BE" w14:paraId="688BD1FE" w14:textId="64EBC70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2020</w:t>
            </w:r>
          </w:p>
        </w:tc>
        <w:tc>
          <w:tcPr>
            <w:tcW w:w="4680" w:type="dxa"/>
            <w:tcMar/>
          </w:tcPr>
          <w:p w:rsidR="5229ECFF" w:rsidP="44FC26BE" w:rsidRDefault="5229ECFF" w14:paraId="0447FCD0" w14:textId="05BFBCEA">
            <w:pPr>
              <w:pStyle w:val="Normal"/>
              <w:jc w:val="center"/>
              <w:rPr>
                <w:rFonts w:ascii="Aptos" w:hAnsi="Aptos" w:eastAsia="Aptos" w:cs="Aptos"/>
                <w:noProof w:val="0"/>
                <w:sz w:val="24"/>
                <w:szCs w:val="24"/>
                <w:lang w:val="en-US"/>
              </w:rPr>
            </w:pPr>
            <w:r w:rsidRPr="44FC26BE" w:rsidR="5229ECFF">
              <w:rPr>
                <w:rFonts w:ascii="Aptos" w:hAnsi="Aptos" w:eastAsia="Aptos" w:cs="Aptos"/>
                <w:noProof w:val="0"/>
                <w:sz w:val="24"/>
                <w:szCs w:val="24"/>
                <w:lang w:val="en-US"/>
              </w:rPr>
              <w:t>8.5%</w:t>
            </w:r>
          </w:p>
        </w:tc>
      </w:tr>
      <w:tr w:rsidR="44FC26BE" w:rsidTr="44FC26BE" w14:paraId="1CC4695A">
        <w:trPr>
          <w:trHeight w:val="300"/>
        </w:trPr>
        <w:tc>
          <w:tcPr>
            <w:tcW w:w="4680" w:type="dxa"/>
            <w:tcMar/>
          </w:tcPr>
          <w:p w:rsidR="44FC26BE" w:rsidP="44FC26BE" w:rsidRDefault="44FC26BE" w14:paraId="5E495DC3" w14:textId="1BC7E65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2021</w:t>
            </w:r>
          </w:p>
        </w:tc>
        <w:tc>
          <w:tcPr>
            <w:tcW w:w="4680" w:type="dxa"/>
            <w:tcMar/>
          </w:tcPr>
          <w:p w:rsidR="2A06FA2C" w:rsidP="44FC26BE" w:rsidRDefault="2A06FA2C" w14:paraId="4E45534C" w14:textId="085B67D6">
            <w:pPr>
              <w:pStyle w:val="Normal"/>
              <w:jc w:val="center"/>
              <w:rPr>
                <w:rFonts w:ascii="Aptos" w:hAnsi="Aptos" w:eastAsia="Aptos" w:cs="Aptos"/>
                <w:noProof w:val="0"/>
                <w:sz w:val="24"/>
                <w:szCs w:val="24"/>
                <w:lang w:val="en-US"/>
              </w:rPr>
            </w:pPr>
            <w:r w:rsidRPr="44FC26BE" w:rsidR="2A06FA2C">
              <w:rPr>
                <w:rFonts w:ascii="Aptos" w:hAnsi="Aptos" w:eastAsia="Aptos" w:cs="Aptos"/>
                <w:noProof w:val="0"/>
                <w:sz w:val="24"/>
                <w:szCs w:val="24"/>
                <w:lang w:val="en-US"/>
              </w:rPr>
              <w:t>7.2%</w:t>
            </w:r>
          </w:p>
        </w:tc>
      </w:tr>
      <w:tr w:rsidR="44FC26BE" w:rsidTr="44FC26BE" w14:paraId="046FC848">
        <w:trPr>
          <w:trHeight w:val="300"/>
        </w:trPr>
        <w:tc>
          <w:tcPr>
            <w:tcW w:w="4680" w:type="dxa"/>
            <w:tcMar/>
          </w:tcPr>
          <w:p w:rsidR="44FC26BE" w:rsidP="44FC26BE" w:rsidRDefault="44FC26BE" w14:paraId="6D425D23" w14:textId="2288B8D2">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w:t>
            </w:r>
          </w:p>
        </w:tc>
        <w:tc>
          <w:tcPr>
            <w:tcW w:w="4680" w:type="dxa"/>
            <w:tcMar/>
          </w:tcPr>
          <w:p w:rsidR="60589942" w:rsidP="44FC26BE" w:rsidRDefault="60589942" w14:paraId="2F2C6B9C" w14:textId="6A5410E1">
            <w:pPr>
              <w:pStyle w:val="Normal"/>
              <w:jc w:val="center"/>
              <w:rPr>
                <w:rFonts w:ascii="Aptos" w:hAnsi="Aptos" w:eastAsia="Aptos" w:cs="Aptos"/>
                <w:noProof w:val="0"/>
                <w:sz w:val="24"/>
                <w:szCs w:val="24"/>
                <w:lang w:val="en-US"/>
              </w:rPr>
            </w:pPr>
            <w:r w:rsidRPr="44FC26BE" w:rsidR="60589942">
              <w:rPr>
                <w:rFonts w:ascii="Aptos" w:hAnsi="Aptos" w:eastAsia="Aptos" w:cs="Aptos"/>
                <w:noProof w:val="0"/>
                <w:sz w:val="24"/>
                <w:szCs w:val="24"/>
                <w:lang w:val="en-US"/>
              </w:rPr>
              <w:t>8.0%</w:t>
            </w:r>
          </w:p>
        </w:tc>
      </w:tr>
      <w:tr w:rsidR="44FC26BE" w:rsidTr="44FC26BE" w14:paraId="0D0B932C">
        <w:trPr>
          <w:trHeight w:val="300"/>
        </w:trPr>
        <w:tc>
          <w:tcPr>
            <w:tcW w:w="4680" w:type="dxa"/>
            <w:tcMar/>
          </w:tcPr>
          <w:p w:rsidR="44FC26BE" w:rsidP="44FC26BE" w:rsidRDefault="44FC26BE" w14:paraId="1A2E05F5" w14:textId="51EFF80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 (Mahindra)</w:t>
            </w:r>
          </w:p>
        </w:tc>
        <w:tc>
          <w:tcPr>
            <w:tcW w:w="4680" w:type="dxa"/>
            <w:tcMar/>
          </w:tcPr>
          <w:p w:rsidR="25BDBE07" w:rsidP="44FC26BE" w:rsidRDefault="25BDBE07" w14:paraId="6C48B361" w14:textId="2A0AA449">
            <w:pPr>
              <w:pStyle w:val="Normal"/>
              <w:jc w:val="center"/>
              <w:rPr>
                <w:rFonts w:ascii="Aptos" w:hAnsi="Aptos" w:eastAsia="Aptos" w:cs="Aptos"/>
                <w:noProof w:val="0"/>
                <w:sz w:val="24"/>
                <w:szCs w:val="24"/>
                <w:lang w:val="en-US"/>
              </w:rPr>
            </w:pPr>
            <w:r w:rsidRPr="44FC26BE" w:rsidR="25BDBE07">
              <w:rPr>
                <w:rFonts w:ascii="Aptos" w:hAnsi="Aptos" w:eastAsia="Aptos" w:cs="Aptos"/>
                <w:noProof w:val="0"/>
                <w:sz w:val="24"/>
                <w:szCs w:val="24"/>
                <w:lang w:val="en-US"/>
              </w:rPr>
              <w:t>12.20%</w:t>
            </w:r>
          </w:p>
        </w:tc>
      </w:tr>
    </w:tbl>
    <w:p w:rsidR="44FC26BE" w:rsidP="44FC26BE" w:rsidRDefault="44FC26BE" w14:paraId="2EB73599" w14:textId="429B1E1E">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F2F493E" w:rsidP="44FC26BE" w:rsidRDefault="1F2F493E" w14:paraId="4AA8D3E0" w14:textId="5E956DD8">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4FC26BE" w:rsidR="1F2F493E">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Net Profit Margin:</w:t>
      </w:r>
    </w:p>
    <w:p w:rsidR="44FC26BE" w:rsidP="44FC26BE" w:rsidRDefault="44FC26BE" w14:paraId="68F22C49" w14:textId="0AE8FB85">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p>
    <w:tbl>
      <w:tblPr>
        <w:tblStyle w:val="TableGrid"/>
        <w:tblW w:w="0" w:type="auto"/>
        <w:tblLayout w:type="fixed"/>
        <w:tblLook w:val="06A0" w:firstRow="1" w:lastRow="0" w:firstColumn="1" w:lastColumn="0" w:noHBand="1" w:noVBand="1"/>
      </w:tblPr>
      <w:tblGrid>
        <w:gridCol w:w="4680"/>
        <w:gridCol w:w="4680"/>
      </w:tblGrid>
      <w:tr w:rsidR="44FC26BE" w:rsidTr="44FC26BE" w14:paraId="15CB69F0">
        <w:trPr>
          <w:trHeight w:val="300"/>
        </w:trPr>
        <w:tc>
          <w:tcPr>
            <w:tcW w:w="4680" w:type="dxa"/>
            <w:tcMar/>
          </w:tcPr>
          <w:p w:rsidR="44FC26BE" w:rsidP="44FC26BE" w:rsidRDefault="44FC26BE" w14:paraId="72778FB1" w14:textId="767D8BC1">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Years</w:t>
            </w:r>
          </w:p>
        </w:tc>
        <w:tc>
          <w:tcPr>
            <w:tcW w:w="4680" w:type="dxa"/>
            <w:tcMar/>
          </w:tcPr>
          <w:p w:rsidR="5E2F039C" w:rsidP="44FC26BE" w:rsidRDefault="5E2F039C" w14:paraId="59AA9BBF" w14:textId="20F85CEE">
            <w:pPr>
              <w:pStyle w:val="Normal"/>
              <w:jc w:val="center"/>
              <w:rPr>
                <w:rFonts w:ascii="Aptos" w:hAnsi="Aptos" w:eastAsia="Aptos" w:cs="Aptos"/>
                <w:noProof w:val="0"/>
                <w:sz w:val="24"/>
                <w:szCs w:val="24"/>
                <w:lang w:val="en-US"/>
              </w:rPr>
            </w:pPr>
            <w:r w:rsidRPr="44FC26BE" w:rsidR="5E2F039C">
              <w:rPr>
                <w:rFonts w:ascii="Aptos" w:hAnsi="Aptos" w:eastAsia="Aptos" w:cs="Aptos"/>
                <w:noProof w:val="0"/>
                <w:sz w:val="24"/>
                <w:szCs w:val="24"/>
                <w:lang w:val="en-US"/>
              </w:rPr>
              <w:t>Net</w:t>
            </w:r>
            <w:r w:rsidRPr="44FC26BE" w:rsidR="44FC26BE">
              <w:rPr>
                <w:rFonts w:ascii="Aptos" w:hAnsi="Aptos" w:eastAsia="Aptos" w:cs="Aptos"/>
                <w:noProof w:val="0"/>
                <w:sz w:val="24"/>
                <w:szCs w:val="24"/>
                <w:lang w:val="en-US"/>
              </w:rPr>
              <w:t xml:space="preserve"> Profit Margin</w:t>
            </w:r>
          </w:p>
        </w:tc>
      </w:tr>
      <w:tr w:rsidR="44FC26BE" w:rsidTr="44FC26BE" w14:paraId="160A452F">
        <w:trPr>
          <w:trHeight w:val="300"/>
        </w:trPr>
        <w:tc>
          <w:tcPr>
            <w:tcW w:w="4680" w:type="dxa"/>
            <w:tcMar/>
          </w:tcPr>
          <w:p w:rsidR="44FC26BE" w:rsidP="44FC26BE" w:rsidRDefault="44FC26BE" w14:paraId="7EE92BBC" w14:textId="1E2EC3B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2018</w:t>
            </w:r>
          </w:p>
        </w:tc>
        <w:tc>
          <w:tcPr>
            <w:tcW w:w="4680" w:type="dxa"/>
            <w:tcMar/>
          </w:tcPr>
          <w:p w:rsidR="651D050F" w:rsidP="44FC26BE" w:rsidRDefault="651D050F" w14:paraId="1BDE0F8D" w14:textId="4731FE22">
            <w:pPr>
              <w:pStyle w:val="Normal"/>
              <w:jc w:val="center"/>
              <w:rPr>
                <w:rFonts w:ascii="Aptos" w:hAnsi="Aptos" w:eastAsia="Aptos" w:cs="Aptos"/>
                <w:noProof w:val="0"/>
                <w:sz w:val="24"/>
                <w:szCs w:val="24"/>
                <w:lang w:val="en-US"/>
              </w:rPr>
            </w:pPr>
            <w:r w:rsidRPr="44FC26BE" w:rsidR="651D050F">
              <w:rPr>
                <w:rFonts w:ascii="Aptos" w:hAnsi="Aptos" w:eastAsia="Aptos" w:cs="Aptos"/>
                <w:noProof w:val="0"/>
                <w:sz w:val="24"/>
                <w:szCs w:val="24"/>
                <w:lang w:val="en-US"/>
              </w:rPr>
              <w:t>-1.9%</w:t>
            </w:r>
          </w:p>
        </w:tc>
      </w:tr>
      <w:tr w:rsidR="44FC26BE" w:rsidTr="44FC26BE" w14:paraId="35F154CA">
        <w:trPr>
          <w:trHeight w:val="300"/>
        </w:trPr>
        <w:tc>
          <w:tcPr>
            <w:tcW w:w="4680" w:type="dxa"/>
            <w:tcMar/>
          </w:tcPr>
          <w:p w:rsidR="44FC26BE" w:rsidP="44FC26BE" w:rsidRDefault="44FC26BE" w14:paraId="1DB55194" w14:textId="72AABCC9">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2019</w:t>
            </w:r>
          </w:p>
        </w:tc>
        <w:tc>
          <w:tcPr>
            <w:tcW w:w="4680" w:type="dxa"/>
            <w:tcMar/>
          </w:tcPr>
          <w:p w:rsidR="089B8F6F" w:rsidP="44FC26BE" w:rsidRDefault="089B8F6F" w14:paraId="36C38EE1" w14:textId="647D1E82">
            <w:pPr>
              <w:pStyle w:val="Normal"/>
              <w:jc w:val="center"/>
              <w:rPr>
                <w:rFonts w:ascii="Aptos" w:hAnsi="Aptos" w:eastAsia="Aptos" w:cs="Aptos"/>
                <w:noProof w:val="0"/>
                <w:sz w:val="24"/>
                <w:szCs w:val="24"/>
                <w:lang w:val="en-US"/>
              </w:rPr>
            </w:pPr>
            <w:r w:rsidRPr="44FC26BE" w:rsidR="089B8F6F">
              <w:rPr>
                <w:rFonts w:ascii="Aptos" w:hAnsi="Aptos" w:eastAsia="Aptos" w:cs="Aptos"/>
                <w:noProof w:val="0"/>
                <w:sz w:val="24"/>
                <w:szCs w:val="24"/>
                <w:lang w:val="en-US"/>
              </w:rPr>
              <w:t>2.1%</w:t>
            </w:r>
          </w:p>
        </w:tc>
      </w:tr>
      <w:tr w:rsidR="44FC26BE" w:rsidTr="44FC26BE" w14:paraId="6FC3902A">
        <w:trPr>
          <w:trHeight w:val="300"/>
        </w:trPr>
        <w:tc>
          <w:tcPr>
            <w:tcW w:w="4680" w:type="dxa"/>
            <w:tcMar/>
          </w:tcPr>
          <w:p w:rsidR="44FC26BE" w:rsidP="44FC26BE" w:rsidRDefault="44FC26BE" w14:paraId="2645DA97" w14:textId="64EBC70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2020</w:t>
            </w:r>
          </w:p>
        </w:tc>
        <w:tc>
          <w:tcPr>
            <w:tcW w:w="4680" w:type="dxa"/>
            <w:tcMar/>
          </w:tcPr>
          <w:p w:rsidR="1FB65EFE" w:rsidP="44FC26BE" w:rsidRDefault="1FB65EFE" w14:paraId="7C8689EF" w14:textId="656E5355">
            <w:pPr>
              <w:pStyle w:val="Normal"/>
              <w:jc w:val="center"/>
              <w:rPr>
                <w:rFonts w:ascii="Aptos" w:hAnsi="Aptos" w:eastAsia="Aptos" w:cs="Aptos"/>
                <w:noProof w:val="0"/>
                <w:sz w:val="24"/>
                <w:szCs w:val="24"/>
                <w:lang w:val="en-US"/>
              </w:rPr>
            </w:pPr>
            <w:r w:rsidRPr="44FC26BE" w:rsidR="1FB65EFE">
              <w:rPr>
                <w:rFonts w:ascii="Aptos" w:hAnsi="Aptos" w:eastAsia="Aptos" w:cs="Aptos"/>
                <w:noProof w:val="0"/>
                <w:sz w:val="24"/>
                <w:szCs w:val="24"/>
                <w:lang w:val="en-US"/>
              </w:rPr>
              <w:t>-1.2%</w:t>
            </w:r>
          </w:p>
        </w:tc>
      </w:tr>
      <w:tr w:rsidR="44FC26BE" w:rsidTr="44FC26BE" w14:paraId="74F16573">
        <w:trPr>
          <w:trHeight w:val="300"/>
        </w:trPr>
        <w:tc>
          <w:tcPr>
            <w:tcW w:w="4680" w:type="dxa"/>
            <w:tcMar/>
          </w:tcPr>
          <w:p w:rsidR="44FC26BE" w:rsidP="44FC26BE" w:rsidRDefault="44FC26BE" w14:paraId="06A88D09" w14:textId="1BC7E65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2021</w:t>
            </w:r>
          </w:p>
        </w:tc>
        <w:tc>
          <w:tcPr>
            <w:tcW w:w="4680" w:type="dxa"/>
            <w:tcMar/>
          </w:tcPr>
          <w:p w:rsidR="54C9B9F2" w:rsidP="44FC26BE" w:rsidRDefault="54C9B9F2" w14:paraId="0CC59813" w14:textId="06C03636">
            <w:pPr>
              <w:pStyle w:val="Normal"/>
              <w:jc w:val="center"/>
              <w:rPr>
                <w:rFonts w:ascii="Aptos" w:hAnsi="Aptos" w:eastAsia="Aptos" w:cs="Aptos"/>
                <w:noProof w:val="0"/>
                <w:sz w:val="24"/>
                <w:szCs w:val="24"/>
                <w:lang w:val="en-US"/>
              </w:rPr>
            </w:pPr>
            <w:r w:rsidRPr="44FC26BE" w:rsidR="54C9B9F2">
              <w:rPr>
                <w:rFonts w:ascii="Aptos" w:hAnsi="Aptos" w:eastAsia="Aptos" w:cs="Aptos"/>
                <w:noProof w:val="0"/>
                <w:sz w:val="24"/>
                <w:szCs w:val="24"/>
                <w:lang w:val="en-US"/>
              </w:rPr>
              <w:t>-4.4%</w:t>
            </w:r>
          </w:p>
        </w:tc>
      </w:tr>
      <w:tr w:rsidR="44FC26BE" w:rsidTr="44FC26BE" w14:paraId="52D0F5E9">
        <w:trPr>
          <w:trHeight w:val="300"/>
        </w:trPr>
        <w:tc>
          <w:tcPr>
            <w:tcW w:w="4680" w:type="dxa"/>
            <w:tcMar/>
          </w:tcPr>
          <w:p w:rsidR="44FC26BE" w:rsidP="44FC26BE" w:rsidRDefault="44FC26BE" w14:paraId="3D17040E" w14:textId="2288B8D2">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w:t>
            </w:r>
          </w:p>
        </w:tc>
        <w:tc>
          <w:tcPr>
            <w:tcW w:w="4680" w:type="dxa"/>
            <w:tcMar/>
          </w:tcPr>
          <w:p w:rsidR="60A9437D" w:rsidP="44FC26BE" w:rsidRDefault="60A9437D" w14:paraId="48B43316" w14:textId="357F3968">
            <w:pPr>
              <w:pStyle w:val="Normal"/>
              <w:jc w:val="center"/>
              <w:rPr>
                <w:rFonts w:ascii="Aptos" w:hAnsi="Aptos" w:eastAsia="Aptos" w:cs="Aptos"/>
                <w:noProof w:val="0"/>
                <w:sz w:val="24"/>
                <w:szCs w:val="24"/>
                <w:lang w:val="en-US"/>
              </w:rPr>
            </w:pPr>
            <w:r w:rsidRPr="44FC26BE" w:rsidR="60A9437D">
              <w:rPr>
                <w:rFonts w:ascii="Aptos" w:hAnsi="Aptos" w:eastAsia="Aptos" w:cs="Aptos"/>
                <w:noProof w:val="0"/>
                <w:sz w:val="24"/>
                <w:szCs w:val="24"/>
                <w:lang w:val="en-US"/>
              </w:rPr>
              <w:t>0.5%</w:t>
            </w:r>
          </w:p>
        </w:tc>
      </w:tr>
      <w:tr w:rsidR="44FC26BE" w:rsidTr="44FC26BE" w14:paraId="3060FCE2">
        <w:trPr>
          <w:trHeight w:val="300"/>
        </w:trPr>
        <w:tc>
          <w:tcPr>
            <w:tcW w:w="4680" w:type="dxa"/>
            <w:tcMar/>
          </w:tcPr>
          <w:p w:rsidR="44FC26BE" w:rsidP="44FC26BE" w:rsidRDefault="44FC26BE" w14:paraId="2844E407" w14:textId="51EFF80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 (Mahindra)</w:t>
            </w:r>
          </w:p>
        </w:tc>
        <w:tc>
          <w:tcPr>
            <w:tcW w:w="4680" w:type="dxa"/>
            <w:tcMar/>
          </w:tcPr>
          <w:p w:rsidR="2E5AF698" w:rsidP="44FC26BE" w:rsidRDefault="2E5AF698" w14:paraId="3481E208" w14:textId="43181DC6">
            <w:pPr>
              <w:pStyle w:val="Normal"/>
              <w:jc w:val="center"/>
              <w:rPr>
                <w:rFonts w:ascii="Aptos" w:hAnsi="Aptos" w:eastAsia="Aptos" w:cs="Aptos"/>
                <w:noProof w:val="0"/>
                <w:sz w:val="24"/>
                <w:szCs w:val="24"/>
                <w:lang w:val="en-US"/>
              </w:rPr>
            </w:pPr>
            <w:r w:rsidRPr="44FC26BE" w:rsidR="2E5AF698">
              <w:rPr>
                <w:rFonts w:ascii="Aptos" w:hAnsi="Aptos" w:eastAsia="Aptos" w:cs="Aptos"/>
                <w:noProof w:val="0"/>
                <w:sz w:val="24"/>
                <w:szCs w:val="24"/>
                <w:lang w:val="en-US"/>
              </w:rPr>
              <w:t>6.72%</w:t>
            </w:r>
          </w:p>
        </w:tc>
      </w:tr>
    </w:tbl>
    <w:p w:rsidR="44FC26BE" w:rsidP="44FC26BE" w:rsidRDefault="44FC26BE" w14:paraId="675EF251" w14:textId="256F7923">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17B03D" w:rsidP="44FC26BE" w:rsidRDefault="3B17B03D" w14:paraId="4588F660" w14:textId="2901E402">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profitability ratios reveal that Tata Motors has experienced fluctuating margins over the past five years. The Gross Profit Margin shows some resilience, reflecting the company’s ability to manage production costs </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relative</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to sales. However, the Operating and Net Profit Margins have shown volatility, with the company posting negative Net Profit Margins in some years due to high operating expenses and interest costs. This </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indicates</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challenges in </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maintaining</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profitability, </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likely influenced</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by competitive pressures, global economic conditions, and int</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ernal operational inefficiencies.</w:t>
      </w:r>
    </w:p>
    <w:p w:rsidR="3B17B03D" w:rsidP="44FC26BE" w:rsidRDefault="3B17B03D" w14:paraId="511EC199" w14:textId="2F91C0ED">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M&amp;M's Current Ratio of 1.60 </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indicates</w:t>
      </w:r>
      <w:r w:rsidRPr="44FC26BE" w:rsidR="3B17B0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 strong liquidity position, meaning the company has enough current assets to cover its short-term liabilities. The Quick Ratio of 1.00 is at the ideal benchmark, showing that even without inventory, M&amp;M can meet its short-term obligations. This strong liquidity position suggests that the company is well-prepared to handle financial emergencies or sudden increases in liabilities.</w:t>
      </w:r>
    </w:p>
    <w:p w:rsidR="44FC26BE" w:rsidP="44FC26BE" w:rsidRDefault="44FC26BE" w14:paraId="025F88DA" w14:textId="4A70E67E">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5588F2C5" w:rsidP="44FC26BE" w:rsidRDefault="5588F2C5" w14:paraId="133D1E90" w14:textId="2FFADD5C">
      <w:pPr>
        <w:pStyle w:val="Normal"/>
        <w:spacing w:line="276" w:lineRule="auto"/>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4FC26BE" w:rsidR="5588F2C5">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Liquidity Ratios:</w:t>
      </w:r>
    </w:p>
    <w:p w:rsidR="5588F2C5" w:rsidP="44FC26BE" w:rsidRDefault="5588F2C5" w14:paraId="0B385BF9" w14:textId="12C33289">
      <w:pPr>
        <w:pStyle w:val="Normal"/>
        <w:spacing w:line="276" w:lineRule="auto"/>
      </w:pPr>
      <w:r w:rsidRPr="44FC26BE" w:rsidR="5588F2C5">
        <w:rPr>
          <w:rFonts w:ascii="Aptos" w:hAnsi="Aptos" w:eastAsia="Aptos" w:cs="Aptos"/>
          <w:noProof w:val="0"/>
          <w:sz w:val="24"/>
          <w:szCs w:val="24"/>
          <w:lang w:val="en-US"/>
        </w:rPr>
        <w:t>Liquidity ratios assess a company's ability to meet its short-term obligations with its most liquid assets. The key liquidity ratios include the Current Ratio and the Quick Ratio.</w:t>
      </w:r>
    </w:p>
    <w:p w:rsidR="5588F2C5" w:rsidP="44FC26BE" w:rsidRDefault="5588F2C5" w14:paraId="7A4AFDB4" w14:textId="53B24FE0">
      <w:pPr>
        <w:pStyle w:val="Normal"/>
        <w:spacing w:line="276" w:lineRule="auto"/>
        <w:rPr>
          <w:rFonts w:ascii="Aptos" w:hAnsi="Aptos" w:eastAsia="Aptos" w:cs="Aptos"/>
          <w:noProof w:val="0"/>
          <w:sz w:val="24"/>
          <w:szCs w:val="24"/>
          <w:lang w:val="en-US"/>
        </w:rPr>
      </w:pPr>
      <w:r w:rsidRPr="44FC26BE" w:rsidR="5588F2C5">
        <w:rPr>
          <w:rFonts w:ascii="Aptos" w:hAnsi="Aptos" w:eastAsia="Aptos" w:cs="Aptos"/>
          <w:noProof w:val="0"/>
          <w:sz w:val="24"/>
          <w:szCs w:val="24"/>
          <w:lang w:val="en-US"/>
        </w:rPr>
        <w:t xml:space="preserve">Key Ratios: </w:t>
      </w:r>
    </w:p>
    <w:p w:rsidR="5588F2C5" w:rsidP="44FC26BE" w:rsidRDefault="5588F2C5" w14:paraId="6D777319" w14:textId="4E54E25F">
      <w:pPr>
        <w:pStyle w:val="ListParagraph"/>
        <w:numPr>
          <w:ilvl w:val="0"/>
          <w:numId w:val="5"/>
        </w:numPr>
        <w:spacing w:line="276" w:lineRule="auto"/>
        <w:rPr>
          <w:rFonts w:ascii="Aptos" w:hAnsi="Aptos" w:eastAsia="Aptos" w:cs="Aptos"/>
          <w:noProof w:val="0"/>
          <w:sz w:val="24"/>
          <w:szCs w:val="24"/>
          <w:lang w:val="en-US"/>
        </w:rPr>
      </w:pPr>
      <w:r w:rsidRPr="44FC26BE" w:rsidR="5588F2C5">
        <w:rPr>
          <w:rFonts w:ascii="Aptos" w:hAnsi="Aptos" w:eastAsia="Aptos" w:cs="Aptos"/>
          <w:noProof w:val="0"/>
          <w:sz w:val="24"/>
          <w:szCs w:val="24"/>
          <w:lang w:val="en-US"/>
        </w:rPr>
        <w:t>Current Ratio= Current Assets / Current Liabilities</w:t>
      </w:r>
    </w:p>
    <w:p w:rsidR="5588F2C5" w:rsidP="44FC26BE" w:rsidRDefault="5588F2C5" w14:paraId="071F3CEF" w14:textId="7A3441E6">
      <w:pPr>
        <w:pStyle w:val="ListParagraph"/>
        <w:numPr>
          <w:ilvl w:val="0"/>
          <w:numId w:val="5"/>
        </w:numPr>
        <w:spacing w:line="276" w:lineRule="auto"/>
        <w:rPr>
          <w:rFonts w:ascii="Aptos" w:hAnsi="Aptos" w:eastAsia="Aptos" w:cs="Aptos"/>
          <w:noProof w:val="0"/>
          <w:sz w:val="24"/>
          <w:szCs w:val="24"/>
          <w:lang w:val="en-US"/>
        </w:rPr>
      </w:pPr>
      <w:r w:rsidRPr="44FC26BE" w:rsidR="5588F2C5">
        <w:rPr>
          <w:rFonts w:ascii="Aptos" w:hAnsi="Aptos" w:eastAsia="Aptos" w:cs="Aptos"/>
          <w:noProof w:val="0"/>
          <w:sz w:val="24"/>
          <w:szCs w:val="24"/>
          <w:lang w:val="en-US"/>
        </w:rPr>
        <w:t xml:space="preserve">Quick Ratio= (Current Assets – Inventory) / Current Liabilities </w:t>
      </w:r>
    </w:p>
    <w:p w:rsidR="44FC26BE" w:rsidP="44FC26BE" w:rsidRDefault="44FC26BE" w14:paraId="50479BE4" w14:textId="7E5F19A3">
      <w:pPr>
        <w:pStyle w:val="Normal"/>
        <w:spacing w:line="276" w:lineRule="auto"/>
        <w:ind w:left="0"/>
        <w:rPr>
          <w:rFonts w:ascii="Aptos" w:hAnsi="Aptos" w:eastAsia="Aptos" w:cs="Aptos"/>
          <w:noProof w:val="0"/>
          <w:sz w:val="24"/>
          <w:szCs w:val="24"/>
          <w:lang w:val="en-US"/>
        </w:rPr>
      </w:pPr>
    </w:p>
    <w:p w:rsidR="1050916B" w:rsidP="44FC26BE" w:rsidRDefault="1050916B" w14:paraId="2E722BDF" w14:textId="4B499710">
      <w:pPr>
        <w:pStyle w:val="Normal"/>
        <w:spacing w:line="276" w:lineRule="auto"/>
        <w:ind w:left="0"/>
        <w:rPr>
          <w:rFonts w:ascii="Aptos" w:hAnsi="Aptos" w:eastAsia="Aptos" w:cs="Aptos"/>
          <w:b w:val="1"/>
          <w:bCs w:val="1"/>
          <w:noProof w:val="0"/>
          <w:sz w:val="28"/>
          <w:szCs w:val="28"/>
          <w:lang w:val="en-US"/>
        </w:rPr>
      </w:pPr>
      <w:r w:rsidRPr="44FC26BE" w:rsidR="1050916B">
        <w:rPr>
          <w:rFonts w:ascii="Aptos" w:hAnsi="Aptos" w:eastAsia="Aptos" w:cs="Aptos"/>
          <w:b w:val="1"/>
          <w:bCs w:val="1"/>
          <w:noProof w:val="0"/>
          <w:sz w:val="28"/>
          <w:szCs w:val="28"/>
          <w:lang w:val="en-US"/>
        </w:rPr>
        <w:t>Current Ratio:</w:t>
      </w:r>
    </w:p>
    <w:p w:rsidR="44FC26BE" w:rsidP="44FC26BE" w:rsidRDefault="44FC26BE" w14:paraId="5462E836" w14:textId="509F68D3">
      <w:pPr>
        <w:pStyle w:val="Normal"/>
        <w:spacing w:line="276" w:lineRule="auto"/>
        <w:ind w:left="0"/>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44FC26BE" w:rsidTr="44FC26BE" w14:paraId="3FEBD117">
        <w:trPr>
          <w:trHeight w:val="300"/>
        </w:trPr>
        <w:tc>
          <w:tcPr>
            <w:tcW w:w="4680" w:type="dxa"/>
            <w:tcMar/>
          </w:tcPr>
          <w:p w:rsidR="44FC26BE" w:rsidP="44FC26BE" w:rsidRDefault="44FC26BE" w14:paraId="393FED12" w14:textId="767D8BC1">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Years</w:t>
            </w:r>
          </w:p>
        </w:tc>
        <w:tc>
          <w:tcPr>
            <w:tcW w:w="4680" w:type="dxa"/>
            <w:tcMar/>
          </w:tcPr>
          <w:p w:rsidR="688A1219" w:rsidP="44FC26BE" w:rsidRDefault="688A1219" w14:paraId="4F5BE3EF" w14:textId="51B570CC">
            <w:pPr>
              <w:pStyle w:val="Normal"/>
              <w:jc w:val="center"/>
              <w:rPr>
                <w:rFonts w:ascii="Aptos" w:hAnsi="Aptos" w:eastAsia="Aptos" w:cs="Aptos"/>
                <w:noProof w:val="0"/>
                <w:sz w:val="24"/>
                <w:szCs w:val="24"/>
                <w:lang w:val="en-US"/>
              </w:rPr>
            </w:pPr>
            <w:r w:rsidRPr="44FC26BE" w:rsidR="688A1219">
              <w:rPr>
                <w:rFonts w:ascii="Aptos" w:hAnsi="Aptos" w:eastAsia="Aptos" w:cs="Aptos"/>
                <w:noProof w:val="0"/>
                <w:sz w:val="24"/>
                <w:szCs w:val="24"/>
                <w:lang w:val="en-US"/>
              </w:rPr>
              <w:t>Current Ratio</w:t>
            </w:r>
          </w:p>
        </w:tc>
      </w:tr>
      <w:tr w:rsidR="44FC26BE" w:rsidTr="44FC26BE" w14:paraId="1FB28868">
        <w:trPr>
          <w:trHeight w:val="300"/>
        </w:trPr>
        <w:tc>
          <w:tcPr>
            <w:tcW w:w="4680" w:type="dxa"/>
            <w:tcMar/>
          </w:tcPr>
          <w:p w:rsidR="44FC26BE" w:rsidP="44FC26BE" w:rsidRDefault="44FC26BE" w14:paraId="008C1E6F" w14:textId="1E2EC3B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2018</w:t>
            </w:r>
          </w:p>
        </w:tc>
        <w:tc>
          <w:tcPr>
            <w:tcW w:w="4680" w:type="dxa"/>
            <w:tcMar/>
          </w:tcPr>
          <w:p w:rsidR="5192CADD" w:rsidP="44FC26BE" w:rsidRDefault="5192CADD" w14:paraId="4FBC2A48" w14:textId="6A24C399">
            <w:pPr>
              <w:pStyle w:val="Normal"/>
              <w:jc w:val="center"/>
              <w:rPr>
                <w:rFonts w:ascii="Aptos" w:hAnsi="Aptos" w:eastAsia="Aptos" w:cs="Aptos"/>
                <w:noProof w:val="0"/>
                <w:sz w:val="24"/>
                <w:szCs w:val="24"/>
                <w:lang w:val="en-US"/>
              </w:rPr>
            </w:pPr>
            <w:r w:rsidRPr="44FC26BE" w:rsidR="5192CADD">
              <w:rPr>
                <w:rFonts w:ascii="Aptos" w:hAnsi="Aptos" w:eastAsia="Aptos" w:cs="Aptos"/>
                <w:noProof w:val="0"/>
                <w:sz w:val="24"/>
                <w:szCs w:val="24"/>
                <w:lang w:val="en-US"/>
              </w:rPr>
              <w:t>0.95</w:t>
            </w:r>
          </w:p>
        </w:tc>
      </w:tr>
      <w:tr w:rsidR="44FC26BE" w:rsidTr="44FC26BE" w14:paraId="358CDBE5">
        <w:trPr>
          <w:trHeight w:val="300"/>
        </w:trPr>
        <w:tc>
          <w:tcPr>
            <w:tcW w:w="4680" w:type="dxa"/>
            <w:tcMar/>
          </w:tcPr>
          <w:p w:rsidR="44FC26BE" w:rsidP="44FC26BE" w:rsidRDefault="44FC26BE" w14:paraId="1C323F85" w14:textId="72AABCC9">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2019</w:t>
            </w:r>
          </w:p>
        </w:tc>
        <w:tc>
          <w:tcPr>
            <w:tcW w:w="4680" w:type="dxa"/>
            <w:tcMar/>
          </w:tcPr>
          <w:p w:rsidR="2215C1D4" w:rsidP="44FC26BE" w:rsidRDefault="2215C1D4" w14:paraId="05E0E16F" w14:textId="6B0A2E87">
            <w:pPr>
              <w:pStyle w:val="Normal"/>
              <w:jc w:val="center"/>
              <w:rPr>
                <w:rFonts w:ascii="Aptos" w:hAnsi="Aptos" w:eastAsia="Aptos" w:cs="Aptos"/>
                <w:noProof w:val="0"/>
                <w:sz w:val="24"/>
                <w:szCs w:val="24"/>
                <w:lang w:val="en-US"/>
              </w:rPr>
            </w:pPr>
            <w:r w:rsidRPr="44FC26BE" w:rsidR="2215C1D4">
              <w:rPr>
                <w:rFonts w:ascii="Aptos" w:hAnsi="Aptos" w:eastAsia="Aptos" w:cs="Aptos"/>
                <w:noProof w:val="0"/>
                <w:sz w:val="24"/>
                <w:szCs w:val="24"/>
                <w:lang w:val="en-US"/>
              </w:rPr>
              <w:t>0.91</w:t>
            </w:r>
          </w:p>
        </w:tc>
      </w:tr>
      <w:tr w:rsidR="44FC26BE" w:rsidTr="44FC26BE" w14:paraId="3402B7B4">
        <w:trPr>
          <w:trHeight w:val="300"/>
        </w:trPr>
        <w:tc>
          <w:tcPr>
            <w:tcW w:w="4680" w:type="dxa"/>
            <w:tcMar/>
          </w:tcPr>
          <w:p w:rsidR="44FC26BE" w:rsidP="44FC26BE" w:rsidRDefault="44FC26BE" w14:paraId="31ABECFA" w14:textId="64EBC70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2020</w:t>
            </w:r>
          </w:p>
        </w:tc>
        <w:tc>
          <w:tcPr>
            <w:tcW w:w="4680" w:type="dxa"/>
            <w:tcMar/>
          </w:tcPr>
          <w:p w:rsidR="2F019E47" w:rsidP="44FC26BE" w:rsidRDefault="2F019E47" w14:paraId="6978F3E7" w14:textId="5A1EA7D6">
            <w:pPr>
              <w:pStyle w:val="Normal"/>
              <w:jc w:val="center"/>
              <w:rPr>
                <w:rFonts w:ascii="Aptos" w:hAnsi="Aptos" w:eastAsia="Aptos" w:cs="Aptos"/>
                <w:noProof w:val="0"/>
                <w:sz w:val="24"/>
                <w:szCs w:val="24"/>
                <w:lang w:val="en-US"/>
              </w:rPr>
            </w:pPr>
            <w:r w:rsidRPr="44FC26BE" w:rsidR="2F019E47">
              <w:rPr>
                <w:rFonts w:ascii="Aptos" w:hAnsi="Aptos" w:eastAsia="Aptos" w:cs="Aptos"/>
                <w:noProof w:val="0"/>
                <w:sz w:val="24"/>
                <w:szCs w:val="24"/>
                <w:lang w:val="en-US"/>
              </w:rPr>
              <w:t>0.87</w:t>
            </w:r>
          </w:p>
        </w:tc>
      </w:tr>
      <w:tr w:rsidR="44FC26BE" w:rsidTr="44FC26BE" w14:paraId="45A7604E">
        <w:trPr>
          <w:trHeight w:val="300"/>
        </w:trPr>
        <w:tc>
          <w:tcPr>
            <w:tcW w:w="4680" w:type="dxa"/>
            <w:tcMar/>
          </w:tcPr>
          <w:p w:rsidR="44FC26BE" w:rsidP="44FC26BE" w:rsidRDefault="44FC26BE" w14:paraId="2CCFE490" w14:textId="1BC7E65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2021</w:t>
            </w:r>
          </w:p>
        </w:tc>
        <w:tc>
          <w:tcPr>
            <w:tcW w:w="4680" w:type="dxa"/>
            <w:tcMar/>
          </w:tcPr>
          <w:p w:rsidR="283FE24B" w:rsidP="44FC26BE" w:rsidRDefault="283FE24B" w14:paraId="3DDDA2C0" w14:textId="6B42E0C4">
            <w:pPr>
              <w:pStyle w:val="Normal"/>
              <w:jc w:val="center"/>
              <w:rPr>
                <w:rFonts w:ascii="Aptos" w:hAnsi="Aptos" w:eastAsia="Aptos" w:cs="Aptos"/>
                <w:noProof w:val="0"/>
                <w:sz w:val="24"/>
                <w:szCs w:val="24"/>
                <w:lang w:val="en-US"/>
              </w:rPr>
            </w:pPr>
            <w:r w:rsidRPr="44FC26BE" w:rsidR="283FE24B">
              <w:rPr>
                <w:rFonts w:ascii="Aptos" w:hAnsi="Aptos" w:eastAsia="Aptos" w:cs="Aptos"/>
                <w:noProof w:val="0"/>
                <w:sz w:val="24"/>
                <w:szCs w:val="24"/>
                <w:lang w:val="en-US"/>
              </w:rPr>
              <w:t>0.85</w:t>
            </w:r>
          </w:p>
        </w:tc>
      </w:tr>
      <w:tr w:rsidR="44FC26BE" w:rsidTr="44FC26BE" w14:paraId="67346846">
        <w:trPr>
          <w:trHeight w:val="300"/>
        </w:trPr>
        <w:tc>
          <w:tcPr>
            <w:tcW w:w="4680" w:type="dxa"/>
            <w:tcMar/>
          </w:tcPr>
          <w:p w:rsidR="44FC26BE" w:rsidP="44FC26BE" w:rsidRDefault="44FC26BE" w14:paraId="69E7FA90" w14:textId="2288B8D2">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w:t>
            </w:r>
          </w:p>
        </w:tc>
        <w:tc>
          <w:tcPr>
            <w:tcW w:w="4680" w:type="dxa"/>
            <w:tcMar/>
          </w:tcPr>
          <w:p w:rsidR="2D184939" w:rsidP="44FC26BE" w:rsidRDefault="2D184939" w14:paraId="627BF67E" w14:textId="4D56D01F">
            <w:pPr>
              <w:pStyle w:val="Normal"/>
              <w:jc w:val="center"/>
              <w:rPr>
                <w:rFonts w:ascii="Aptos" w:hAnsi="Aptos" w:eastAsia="Aptos" w:cs="Aptos"/>
                <w:noProof w:val="0"/>
                <w:sz w:val="24"/>
                <w:szCs w:val="24"/>
                <w:lang w:val="en-US"/>
              </w:rPr>
            </w:pPr>
            <w:r w:rsidRPr="44FC26BE" w:rsidR="2D184939">
              <w:rPr>
                <w:rFonts w:ascii="Aptos" w:hAnsi="Aptos" w:eastAsia="Aptos" w:cs="Aptos"/>
                <w:noProof w:val="0"/>
                <w:sz w:val="24"/>
                <w:szCs w:val="24"/>
                <w:lang w:val="en-US"/>
              </w:rPr>
              <w:t>0.92</w:t>
            </w:r>
          </w:p>
        </w:tc>
      </w:tr>
      <w:tr w:rsidR="44FC26BE" w:rsidTr="44FC26BE" w14:paraId="59A8A735">
        <w:trPr>
          <w:trHeight w:val="300"/>
        </w:trPr>
        <w:tc>
          <w:tcPr>
            <w:tcW w:w="4680" w:type="dxa"/>
            <w:tcMar/>
          </w:tcPr>
          <w:p w:rsidR="44FC26BE" w:rsidP="44FC26BE" w:rsidRDefault="44FC26BE" w14:paraId="07FDD762" w14:textId="51EFF80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 (Mahindra)</w:t>
            </w:r>
          </w:p>
        </w:tc>
        <w:tc>
          <w:tcPr>
            <w:tcW w:w="4680" w:type="dxa"/>
            <w:tcMar/>
          </w:tcPr>
          <w:p w:rsidR="3F0CDE64" w:rsidP="44FC26BE" w:rsidRDefault="3F0CDE64" w14:paraId="529ACB72" w14:textId="18A24AD3">
            <w:pPr>
              <w:pStyle w:val="Normal"/>
              <w:jc w:val="center"/>
              <w:rPr>
                <w:rFonts w:ascii="Aptos" w:hAnsi="Aptos" w:eastAsia="Aptos" w:cs="Aptos"/>
                <w:noProof w:val="0"/>
                <w:sz w:val="24"/>
                <w:szCs w:val="24"/>
                <w:lang w:val="en-US"/>
              </w:rPr>
            </w:pPr>
            <w:r w:rsidRPr="44FC26BE" w:rsidR="3F0CDE64">
              <w:rPr>
                <w:rFonts w:ascii="Aptos" w:hAnsi="Aptos" w:eastAsia="Aptos" w:cs="Aptos"/>
                <w:noProof w:val="0"/>
                <w:sz w:val="24"/>
                <w:szCs w:val="24"/>
                <w:lang w:val="en-US"/>
              </w:rPr>
              <w:t>1.60</w:t>
            </w:r>
          </w:p>
        </w:tc>
      </w:tr>
    </w:tbl>
    <w:p w:rsidR="44FC26BE" w:rsidP="44FC26BE" w:rsidRDefault="44FC26BE" w14:paraId="3993C072" w14:textId="5284C60F">
      <w:pPr>
        <w:pStyle w:val="Normal"/>
        <w:spacing w:line="276" w:lineRule="auto"/>
        <w:ind w:left="0"/>
        <w:rPr>
          <w:rFonts w:ascii="Aptos" w:hAnsi="Aptos" w:eastAsia="Aptos" w:cs="Aptos"/>
          <w:noProof w:val="0"/>
          <w:sz w:val="24"/>
          <w:szCs w:val="24"/>
          <w:lang w:val="en-US"/>
        </w:rPr>
      </w:pPr>
    </w:p>
    <w:p w:rsidR="2FF5DC37" w:rsidP="44FC26BE" w:rsidRDefault="2FF5DC37" w14:paraId="45AF0BE2" w14:textId="688BD284">
      <w:pPr>
        <w:pStyle w:val="Normal"/>
        <w:spacing w:line="276" w:lineRule="auto"/>
        <w:rPr>
          <w:rFonts w:ascii="Aptos" w:hAnsi="Aptos" w:eastAsia="Aptos" w:cs="Aptos"/>
          <w:b w:val="1"/>
          <w:bCs w:val="1"/>
          <w:noProof w:val="0"/>
          <w:sz w:val="28"/>
          <w:szCs w:val="28"/>
          <w:lang w:val="en-US"/>
        </w:rPr>
      </w:pPr>
      <w:r w:rsidRPr="44FC26BE" w:rsidR="2FF5DC37">
        <w:rPr>
          <w:rFonts w:ascii="Aptos" w:hAnsi="Aptos" w:eastAsia="Aptos" w:cs="Aptos"/>
          <w:b w:val="1"/>
          <w:bCs w:val="1"/>
          <w:noProof w:val="0"/>
          <w:sz w:val="28"/>
          <w:szCs w:val="28"/>
          <w:lang w:val="en-US"/>
        </w:rPr>
        <w:t>Quick Ratio:</w:t>
      </w:r>
    </w:p>
    <w:p w:rsidR="44FC26BE" w:rsidP="44FC26BE" w:rsidRDefault="44FC26BE" w14:paraId="75CC144E" w14:textId="3041DB51">
      <w:pPr>
        <w:pStyle w:val="Normal"/>
        <w:spacing w:line="276" w:lineRule="auto"/>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44FC26BE" w:rsidTr="44FC26BE" w14:paraId="5404E1C4">
        <w:trPr>
          <w:trHeight w:val="300"/>
        </w:trPr>
        <w:tc>
          <w:tcPr>
            <w:tcW w:w="4680" w:type="dxa"/>
            <w:tcMar/>
          </w:tcPr>
          <w:p w:rsidR="44FC26BE" w:rsidP="44FC26BE" w:rsidRDefault="44FC26BE" w14:paraId="37318330" w14:textId="767D8BC1">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Years</w:t>
            </w:r>
          </w:p>
        </w:tc>
        <w:tc>
          <w:tcPr>
            <w:tcW w:w="4680" w:type="dxa"/>
            <w:tcMar/>
          </w:tcPr>
          <w:p w:rsidR="48F8433D" w:rsidP="44FC26BE" w:rsidRDefault="48F8433D" w14:paraId="3538D3A5" w14:textId="0759C76C">
            <w:pPr>
              <w:pStyle w:val="Normal"/>
              <w:jc w:val="center"/>
              <w:rPr>
                <w:rFonts w:ascii="Aptos" w:hAnsi="Aptos" w:eastAsia="Aptos" w:cs="Aptos"/>
                <w:noProof w:val="0"/>
                <w:sz w:val="24"/>
                <w:szCs w:val="24"/>
                <w:lang w:val="en-US"/>
              </w:rPr>
            </w:pPr>
            <w:r w:rsidRPr="44FC26BE" w:rsidR="48F8433D">
              <w:rPr>
                <w:rFonts w:ascii="Aptos" w:hAnsi="Aptos" w:eastAsia="Aptos" w:cs="Aptos"/>
                <w:noProof w:val="0"/>
                <w:sz w:val="24"/>
                <w:szCs w:val="24"/>
                <w:lang w:val="en-US"/>
              </w:rPr>
              <w:t>Quick Ratio</w:t>
            </w:r>
          </w:p>
        </w:tc>
      </w:tr>
      <w:tr w:rsidR="44FC26BE" w:rsidTr="44FC26BE" w14:paraId="219FBCF2">
        <w:trPr>
          <w:trHeight w:val="300"/>
        </w:trPr>
        <w:tc>
          <w:tcPr>
            <w:tcW w:w="4680" w:type="dxa"/>
            <w:tcMar/>
          </w:tcPr>
          <w:p w:rsidR="44FC26BE" w:rsidP="44FC26BE" w:rsidRDefault="44FC26BE" w14:paraId="4538711B" w14:textId="1E2EC3B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2018</w:t>
            </w:r>
          </w:p>
        </w:tc>
        <w:tc>
          <w:tcPr>
            <w:tcW w:w="4680" w:type="dxa"/>
            <w:tcMar/>
          </w:tcPr>
          <w:p w:rsidR="2B8A4247" w:rsidP="44FC26BE" w:rsidRDefault="2B8A4247" w14:paraId="264FD7EB" w14:textId="5E3816D8">
            <w:pPr>
              <w:pStyle w:val="Normal"/>
              <w:jc w:val="center"/>
              <w:rPr>
                <w:rFonts w:ascii="Aptos" w:hAnsi="Aptos" w:eastAsia="Aptos" w:cs="Aptos"/>
                <w:noProof w:val="0"/>
                <w:sz w:val="24"/>
                <w:szCs w:val="24"/>
                <w:lang w:val="en-US"/>
              </w:rPr>
            </w:pPr>
            <w:r w:rsidRPr="44FC26BE" w:rsidR="2B8A4247">
              <w:rPr>
                <w:rFonts w:ascii="Aptos" w:hAnsi="Aptos" w:eastAsia="Aptos" w:cs="Aptos"/>
                <w:noProof w:val="0"/>
                <w:sz w:val="24"/>
                <w:szCs w:val="24"/>
                <w:lang w:val="en-US"/>
              </w:rPr>
              <w:t>0.62</w:t>
            </w:r>
          </w:p>
        </w:tc>
      </w:tr>
      <w:tr w:rsidR="44FC26BE" w:rsidTr="44FC26BE" w14:paraId="2C969983">
        <w:trPr>
          <w:trHeight w:val="300"/>
        </w:trPr>
        <w:tc>
          <w:tcPr>
            <w:tcW w:w="4680" w:type="dxa"/>
            <w:tcMar/>
          </w:tcPr>
          <w:p w:rsidR="44FC26BE" w:rsidP="44FC26BE" w:rsidRDefault="44FC26BE" w14:paraId="008AB901" w14:textId="72AABCC9">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2019</w:t>
            </w:r>
          </w:p>
        </w:tc>
        <w:tc>
          <w:tcPr>
            <w:tcW w:w="4680" w:type="dxa"/>
            <w:tcMar/>
          </w:tcPr>
          <w:p w:rsidR="3DC4104C" w:rsidP="44FC26BE" w:rsidRDefault="3DC4104C" w14:paraId="6B6207FB" w14:textId="299B1EF1">
            <w:pPr>
              <w:pStyle w:val="Normal"/>
              <w:jc w:val="center"/>
              <w:rPr>
                <w:rFonts w:ascii="Aptos" w:hAnsi="Aptos" w:eastAsia="Aptos" w:cs="Aptos"/>
                <w:noProof w:val="0"/>
                <w:sz w:val="24"/>
                <w:szCs w:val="24"/>
                <w:lang w:val="en-US"/>
              </w:rPr>
            </w:pPr>
            <w:r w:rsidRPr="44FC26BE" w:rsidR="3DC4104C">
              <w:rPr>
                <w:rFonts w:ascii="Aptos" w:hAnsi="Aptos" w:eastAsia="Aptos" w:cs="Aptos"/>
                <w:noProof w:val="0"/>
                <w:sz w:val="24"/>
                <w:szCs w:val="24"/>
                <w:lang w:val="en-US"/>
              </w:rPr>
              <w:t>0.60</w:t>
            </w:r>
          </w:p>
        </w:tc>
      </w:tr>
      <w:tr w:rsidR="44FC26BE" w:rsidTr="44FC26BE" w14:paraId="7682CEBF">
        <w:trPr>
          <w:trHeight w:val="300"/>
        </w:trPr>
        <w:tc>
          <w:tcPr>
            <w:tcW w:w="4680" w:type="dxa"/>
            <w:tcMar/>
          </w:tcPr>
          <w:p w:rsidR="44FC26BE" w:rsidP="44FC26BE" w:rsidRDefault="44FC26BE" w14:paraId="106F22C8" w14:textId="64EBC707">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2020</w:t>
            </w:r>
          </w:p>
        </w:tc>
        <w:tc>
          <w:tcPr>
            <w:tcW w:w="4680" w:type="dxa"/>
            <w:tcMar/>
          </w:tcPr>
          <w:p w:rsidR="79155FFB" w:rsidP="44FC26BE" w:rsidRDefault="79155FFB" w14:paraId="09F37B4F" w14:textId="40613526">
            <w:pPr>
              <w:pStyle w:val="Normal"/>
              <w:jc w:val="center"/>
              <w:rPr>
                <w:rFonts w:ascii="Aptos" w:hAnsi="Aptos" w:eastAsia="Aptos" w:cs="Aptos"/>
                <w:noProof w:val="0"/>
                <w:sz w:val="24"/>
                <w:szCs w:val="24"/>
                <w:lang w:val="en-US"/>
              </w:rPr>
            </w:pPr>
            <w:r w:rsidRPr="44FC26BE" w:rsidR="79155FFB">
              <w:rPr>
                <w:rFonts w:ascii="Aptos" w:hAnsi="Aptos" w:eastAsia="Aptos" w:cs="Aptos"/>
                <w:noProof w:val="0"/>
                <w:sz w:val="24"/>
                <w:szCs w:val="24"/>
                <w:lang w:val="en-US"/>
              </w:rPr>
              <w:t>0.57</w:t>
            </w:r>
          </w:p>
        </w:tc>
      </w:tr>
      <w:tr w:rsidR="44FC26BE" w:rsidTr="44FC26BE" w14:paraId="5BDD8E09">
        <w:trPr>
          <w:trHeight w:val="300"/>
        </w:trPr>
        <w:tc>
          <w:tcPr>
            <w:tcW w:w="4680" w:type="dxa"/>
            <w:tcMar/>
          </w:tcPr>
          <w:p w:rsidR="44FC26BE" w:rsidP="44FC26BE" w:rsidRDefault="44FC26BE" w14:paraId="12B6A7F5" w14:textId="1BC7E65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2021</w:t>
            </w:r>
          </w:p>
        </w:tc>
        <w:tc>
          <w:tcPr>
            <w:tcW w:w="4680" w:type="dxa"/>
            <w:tcMar/>
          </w:tcPr>
          <w:p w:rsidR="6ED9321F" w:rsidP="44FC26BE" w:rsidRDefault="6ED9321F" w14:paraId="4568B91F" w14:textId="6DBE2CC4">
            <w:pPr>
              <w:pStyle w:val="Normal"/>
              <w:jc w:val="center"/>
              <w:rPr>
                <w:rFonts w:ascii="Aptos" w:hAnsi="Aptos" w:eastAsia="Aptos" w:cs="Aptos"/>
                <w:noProof w:val="0"/>
                <w:sz w:val="24"/>
                <w:szCs w:val="24"/>
                <w:lang w:val="en-US"/>
              </w:rPr>
            </w:pPr>
            <w:r w:rsidRPr="44FC26BE" w:rsidR="6ED9321F">
              <w:rPr>
                <w:rFonts w:ascii="Aptos" w:hAnsi="Aptos" w:eastAsia="Aptos" w:cs="Aptos"/>
                <w:noProof w:val="0"/>
                <w:sz w:val="24"/>
                <w:szCs w:val="24"/>
                <w:lang w:val="en-US"/>
              </w:rPr>
              <w:t>0.55</w:t>
            </w:r>
          </w:p>
        </w:tc>
      </w:tr>
      <w:tr w:rsidR="44FC26BE" w:rsidTr="44FC26BE" w14:paraId="16A3FD74">
        <w:trPr>
          <w:trHeight w:val="300"/>
        </w:trPr>
        <w:tc>
          <w:tcPr>
            <w:tcW w:w="4680" w:type="dxa"/>
            <w:tcMar/>
          </w:tcPr>
          <w:p w:rsidR="44FC26BE" w:rsidP="44FC26BE" w:rsidRDefault="44FC26BE" w14:paraId="7191945D" w14:textId="2288B8D2">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w:t>
            </w:r>
          </w:p>
        </w:tc>
        <w:tc>
          <w:tcPr>
            <w:tcW w:w="4680" w:type="dxa"/>
            <w:tcMar/>
          </w:tcPr>
          <w:p w:rsidR="5CEFBA14" w:rsidP="44FC26BE" w:rsidRDefault="5CEFBA14" w14:paraId="35888876" w14:textId="5C566A12">
            <w:pPr>
              <w:pStyle w:val="Normal"/>
              <w:jc w:val="center"/>
              <w:rPr>
                <w:rFonts w:ascii="Aptos" w:hAnsi="Aptos" w:eastAsia="Aptos" w:cs="Aptos"/>
                <w:noProof w:val="0"/>
                <w:sz w:val="24"/>
                <w:szCs w:val="24"/>
                <w:lang w:val="en-US"/>
              </w:rPr>
            </w:pPr>
            <w:r w:rsidRPr="44FC26BE" w:rsidR="5CEFBA14">
              <w:rPr>
                <w:rFonts w:ascii="Aptos" w:hAnsi="Aptos" w:eastAsia="Aptos" w:cs="Aptos"/>
                <w:noProof w:val="0"/>
                <w:sz w:val="24"/>
                <w:szCs w:val="24"/>
                <w:lang w:val="en-US"/>
              </w:rPr>
              <w:t>0.60</w:t>
            </w:r>
          </w:p>
        </w:tc>
      </w:tr>
      <w:tr w:rsidR="44FC26BE" w:rsidTr="44FC26BE" w14:paraId="72A3BB16">
        <w:trPr>
          <w:trHeight w:val="300"/>
        </w:trPr>
        <w:tc>
          <w:tcPr>
            <w:tcW w:w="4680" w:type="dxa"/>
            <w:tcMar/>
          </w:tcPr>
          <w:p w:rsidR="44FC26BE" w:rsidP="44FC26BE" w:rsidRDefault="44FC26BE" w14:paraId="1967210B" w14:textId="51EFF80C">
            <w:pPr>
              <w:pStyle w:val="Normal"/>
              <w:jc w:val="center"/>
              <w:rPr>
                <w:rFonts w:ascii="Aptos" w:hAnsi="Aptos" w:eastAsia="Aptos" w:cs="Aptos"/>
                <w:noProof w:val="0"/>
                <w:sz w:val="24"/>
                <w:szCs w:val="24"/>
                <w:lang w:val="en-US"/>
              </w:rPr>
            </w:pPr>
            <w:r w:rsidRPr="44FC26BE" w:rsidR="44FC26BE">
              <w:rPr>
                <w:rFonts w:ascii="Aptos" w:hAnsi="Aptos" w:eastAsia="Aptos" w:cs="Aptos"/>
                <w:noProof w:val="0"/>
                <w:sz w:val="24"/>
                <w:szCs w:val="24"/>
                <w:lang w:val="en-US"/>
              </w:rPr>
              <w:t>2022 (Mahindra)</w:t>
            </w:r>
          </w:p>
        </w:tc>
        <w:tc>
          <w:tcPr>
            <w:tcW w:w="4680" w:type="dxa"/>
            <w:tcMar/>
          </w:tcPr>
          <w:p w:rsidR="030E8FE8" w:rsidP="44FC26BE" w:rsidRDefault="030E8FE8" w14:paraId="479589E5" w14:textId="2C4F4F9B">
            <w:pPr>
              <w:pStyle w:val="Normal"/>
              <w:jc w:val="center"/>
              <w:rPr>
                <w:rFonts w:ascii="Aptos" w:hAnsi="Aptos" w:eastAsia="Aptos" w:cs="Aptos"/>
                <w:noProof w:val="0"/>
                <w:sz w:val="24"/>
                <w:szCs w:val="24"/>
                <w:lang w:val="en-US"/>
              </w:rPr>
            </w:pPr>
            <w:r w:rsidRPr="44FC26BE" w:rsidR="030E8FE8">
              <w:rPr>
                <w:rFonts w:ascii="Aptos" w:hAnsi="Aptos" w:eastAsia="Aptos" w:cs="Aptos"/>
                <w:noProof w:val="0"/>
                <w:sz w:val="24"/>
                <w:szCs w:val="24"/>
                <w:lang w:val="en-US"/>
              </w:rPr>
              <w:t>1.00</w:t>
            </w:r>
          </w:p>
        </w:tc>
      </w:tr>
    </w:tbl>
    <w:p w:rsidR="44FC26BE" w:rsidP="44FC26BE" w:rsidRDefault="44FC26BE" w14:paraId="2516D34C" w14:textId="285C67E3">
      <w:pPr>
        <w:pStyle w:val="Normal"/>
        <w:spacing w:line="276" w:lineRule="auto"/>
        <w:rPr>
          <w:rFonts w:ascii="Aptos" w:hAnsi="Aptos" w:eastAsia="Aptos" w:cs="Aptos"/>
          <w:noProof w:val="0"/>
          <w:sz w:val="24"/>
          <w:szCs w:val="24"/>
          <w:lang w:val="en-US"/>
        </w:rPr>
      </w:pPr>
    </w:p>
    <w:p w:rsidR="3526BF43" w:rsidP="44FC26BE" w:rsidRDefault="3526BF43" w14:paraId="638A8514" w14:textId="5EAF348C">
      <w:pPr>
        <w:pStyle w:val="Normal"/>
        <w:spacing w:line="276" w:lineRule="auto"/>
        <w:rPr>
          <w:rFonts w:ascii="Aptos" w:hAnsi="Aptos" w:eastAsia="Aptos" w:cs="Aptos" w:asciiTheme="minorAscii" w:hAnsiTheme="minorAscii" w:eastAsiaTheme="minorEastAsia" w:cstheme="minorBidi"/>
          <w:noProof w:val="0"/>
          <w:color w:val="auto"/>
          <w:sz w:val="24"/>
          <w:szCs w:val="24"/>
          <w:lang w:val="en-US" w:eastAsia="ja-JP" w:bidi="ar-SA"/>
        </w:rPr>
      </w:pPr>
      <w:r w:rsidRPr="44FC26BE" w:rsidR="3526BF43">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Based on the liquidity ratios Tata Motors liquidity position over the last five years has been below the ideal benchmark of 1 point0 for both the current and quick ratios. This raises the possibility of risks particularly in times of low sales or economic downturns when it may be difficult to pay short-term liabilities. The Quick Ratio may be negatively </w:t>
      </w:r>
      <w:r w:rsidRPr="44FC26BE" w:rsidR="3526BF43">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impacted</w:t>
      </w:r>
      <w:r w:rsidRPr="44FC26BE" w:rsidR="3526BF43">
        <w:rPr>
          <w:rFonts w:ascii="Aptos" w:hAnsi="Aptos" w:eastAsia="Aptos" w:cs="Aptos" w:asciiTheme="minorAscii" w:hAnsiTheme="minorAscii" w:eastAsiaTheme="minorEastAsia" w:cstheme="minorBidi"/>
          <w:noProof w:val="0"/>
          <w:color w:val="000000" w:themeColor="text1" w:themeTint="FF" w:themeShade="FF"/>
          <w:sz w:val="24"/>
          <w:szCs w:val="24"/>
          <w:lang w:val="en-US" w:eastAsia="ja-JP" w:bidi="ar-SA"/>
        </w:rPr>
        <w:t xml:space="preserve"> by the company's inventory levels which appear to make up a sizeable amount of current assets and may not be easily converted into cash.</w:t>
      </w:r>
    </w:p>
    <w:p w:rsidR="3526BF43" w:rsidP="44FC26BE" w:rsidRDefault="3526BF43" w14:paraId="69ABEBD4" w14:textId="3A481434">
      <w:pPr>
        <w:pStyle w:val="Normal"/>
        <w:spacing w:line="276" w:lineRule="auto"/>
      </w:pPr>
      <w:r w:rsidRPr="44FC26BE" w:rsidR="3526BF43">
        <w:rPr>
          <w:rFonts w:ascii="Aptos" w:hAnsi="Aptos" w:eastAsia="Aptos" w:cs="Aptos"/>
          <w:noProof w:val="0"/>
          <w:sz w:val="24"/>
          <w:szCs w:val="24"/>
          <w:lang w:val="en-US"/>
        </w:rPr>
        <w:t>M&amp;M's Current Ratio of 1.60 indicates a strong liquidity position, meaning the company has enough current assets to cover its short-term liabilities. The Quick Ratio of 1.00 is at the ideal benchmark, showing that even without inventory, M&amp;M can meet its short-term obligations. This strong liquidity position suggests that the company is well-prepared to handle financial emergencies or sudden increases in liabilities.</w:t>
      </w:r>
    </w:p>
    <w:p w:rsidR="44FC26BE" w:rsidP="44FC26BE" w:rsidRDefault="44FC26BE" w14:paraId="3CF9EA16" w14:textId="37AC4BE5">
      <w:pPr>
        <w:pStyle w:val="Normal"/>
        <w:spacing w:line="276" w:lineRule="auto"/>
        <w:rPr>
          <w:rFonts w:ascii="Aptos" w:hAnsi="Aptos" w:eastAsia="Aptos" w:cs="Aptos"/>
          <w:noProof w:val="0"/>
          <w:sz w:val="24"/>
          <w:szCs w:val="24"/>
          <w:lang w:val="en-US"/>
        </w:rPr>
      </w:pPr>
    </w:p>
    <w:p w:rsidR="44FC26BE" w:rsidP="44FC26BE" w:rsidRDefault="44FC26BE" w14:paraId="3DEB88D8" w14:textId="6F573352">
      <w:pPr>
        <w:pStyle w:val="Normal"/>
        <w:spacing w:line="276" w:lineRule="auto"/>
        <w:rPr>
          <w:rFonts w:ascii="Aptos" w:hAnsi="Aptos" w:eastAsia="Aptos" w:cs="Aptos"/>
          <w:noProof w:val="0"/>
          <w:sz w:val="24"/>
          <w:szCs w:val="24"/>
          <w:lang w:val="en-US"/>
        </w:rPr>
      </w:pPr>
    </w:p>
    <w:p w:rsidR="44FC26BE" w:rsidP="44FC26BE" w:rsidRDefault="44FC26BE" w14:paraId="3C0A835B" w14:textId="4BB89F9A">
      <w:pPr>
        <w:pStyle w:val="Normal"/>
        <w:spacing w:line="276" w:lineRule="auto"/>
        <w:rPr>
          <w:rFonts w:ascii="Aptos" w:hAnsi="Aptos" w:eastAsia="Aptos" w:cs="Aptos"/>
          <w:noProof w:val="0"/>
          <w:sz w:val="24"/>
          <w:szCs w:val="24"/>
          <w:lang w:val="en-US"/>
        </w:rPr>
      </w:pPr>
    </w:p>
    <w:p w:rsidR="44FC26BE" w:rsidP="44FC26BE" w:rsidRDefault="44FC26BE" w14:paraId="135CDA1A" w14:textId="1B00FBFF">
      <w:pPr>
        <w:pStyle w:val="Normal"/>
        <w:spacing w:line="276" w:lineRule="auto"/>
        <w:rPr>
          <w:rFonts w:ascii="Aptos" w:hAnsi="Aptos" w:eastAsia="Aptos" w:cs="Aptos"/>
          <w:noProof w:val="0"/>
          <w:sz w:val="24"/>
          <w:szCs w:val="24"/>
          <w:lang w:val="en-US"/>
        </w:rPr>
      </w:pPr>
    </w:p>
    <w:p w:rsidR="44FC26BE" w:rsidP="44FC26BE" w:rsidRDefault="44FC26BE" w14:paraId="0F2A85A8" w14:textId="169CD18F">
      <w:pPr>
        <w:pStyle w:val="Normal"/>
        <w:spacing w:line="276" w:lineRule="auto"/>
        <w:rPr>
          <w:rFonts w:ascii="Aptos" w:hAnsi="Aptos" w:eastAsia="Aptos" w:cs="Aptos"/>
          <w:noProof w:val="0"/>
          <w:sz w:val="24"/>
          <w:szCs w:val="24"/>
          <w:lang w:val="en-US"/>
        </w:rPr>
      </w:pPr>
    </w:p>
    <w:p w:rsidR="02F1001C" w:rsidP="4324F67E" w:rsidRDefault="02F1001C" w14:paraId="68665DD6" w14:textId="772AE542">
      <w:pPr>
        <w:pStyle w:val="Normal"/>
        <w:spacing w:line="276" w:lineRule="auto"/>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pPr>
      <w:r w:rsidRPr="4324F67E" w:rsidR="02F1001C">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2"/>
          <w:szCs w:val="32"/>
          <w:lang w:val="en-US" w:eastAsia="ja-JP" w:bidi="ar-SA"/>
        </w:rPr>
        <w:t xml:space="preserve">In Comparison, </w:t>
      </w:r>
    </w:p>
    <w:p w:rsidR="02F1001C" w:rsidP="44FC26BE" w:rsidRDefault="02F1001C" w14:paraId="16B0F764" w14:textId="12EC3ABC">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4FC26BE" w:rsidR="02F100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Mahindra &amp; Mahindra (MM)</w:t>
      </w:r>
      <w:r w:rsidRPr="44FC26BE" w:rsidR="24D7692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4FC26BE" w:rsidR="02F100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was Established in 1945 as Mahindra &amp; Mohammed Mahindra &amp; Mahindra became Mahindra and Mahindra Limited (M&amp;M) </w:t>
      </w:r>
      <w:r w:rsidRPr="44FC26BE" w:rsidR="0B382F8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after</w:t>
      </w:r>
      <w:r w:rsidRPr="44FC26BE" w:rsidR="02F100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bookmarkStart w:name="_Int_MsBP54R0" w:id="1818241646"/>
      <w:r w:rsidRPr="44FC26BE" w:rsidR="02F100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 business first put together Jeep kits from Willys USA that were CKD (completely knocked down).</w:t>
      </w:r>
      <w:bookmarkEnd w:id="1818241646"/>
      <w:r w:rsidRPr="44FC26BE" w:rsidR="02F100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Financial services automotive agricultural and aerospace are just a few of the industries that M&amp;M has expanded into over the years.</w:t>
      </w:r>
    </w:p>
    <w:p w:rsidR="4382C930" w:rsidP="4324F67E" w:rsidRDefault="4382C930" w14:paraId="3845BA1B" w14:textId="775D8B5C">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4382C930">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Company Structure:</w:t>
      </w:r>
      <w:r w:rsidRPr="4324F67E" w:rsidR="4382C93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MandM uses a diversified conglomerate business model putting a lot of emphasis on: Automotive manufacturing includes producing and distributing electric vehicles (EVs), commercial vehicles and utility vehicles (UVs). </w:t>
      </w:r>
    </w:p>
    <w:p w:rsidR="4382C930" w:rsidP="4324F67E" w:rsidRDefault="4382C930" w14:paraId="193662F0" w14:textId="4693E4AC">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4382C930">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Agriculture:</w:t>
      </w:r>
      <w:r w:rsidRPr="4324F67E" w:rsidR="4382C93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Manufacturing farm equipment and tractors. </w:t>
      </w:r>
      <w:r w:rsidRPr="4324F67E" w:rsidR="4382C930">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Increasing presence in various industries including real estate, hospitality, IT banking and aerospace.</w:t>
      </w:r>
    </w:p>
    <w:p w:rsidR="04FFC008" w:rsidP="44FC26BE" w:rsidRDefault="04FFC008" w14:paraId="23AF6DB5" w14:textId="55E2EE27">
      <w:pPr>
        <w:pStyle w:val="Normal"/>
        <w:spacing w:line="276" w:lineRule="auto"/>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4FC26BE" w:rsidR="04FFC00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In the Indian automobile industry MandM holds a leading position especially in the utility vehicle and tractor markets. </w:t>
      </w:r>
      <w:bookmarkStart w:name="_Int_aDtErkKB" w:id="1697546977"/>
      <w:r w:rsidRPr="44FC26BE" w:rsidR="04FFC00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It has become a market leader in rural and semi-urban areas thanks to its reputation for producing sturdy and dependable automobiles.</w:t>
      </w:r>
      <w:bookmarkEnd w:id="1697546977"/>
      <w:r w:rsidRPr="44FC26BE" w:rsidR="04FFC00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4FC26BE" w:rsidR="04FFC00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Additionally,</w:t>
      </w:r>
      <w:r w:rsidRPr="44FC26BE" w:rsidR="04FFC00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 business is well-represented abroad in areas like Europe South Africa and the United States. </w:t>
      </w:r>
    </w:p>
    <w:p w:rsidR="4324F67E" w:rsidP="4324F67E" w:rsidRDefault="4324F67E" w14:paraId="5A723E0E" w14:textId="390EA612">
      <w:pPr>
        <w:pStyle w:val="Normal"/>
        <w:spacing w:line="276" w:lineRule="auto"/>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57BC589" w:rsidP="4324F67E" w:rsidRDefault="257BC589" w14:paraId="284ED901" w14:textId="75C7F052">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257BC589">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A</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 xml:space="preserve">lterations in </w:t>
      </w:r>
      <w:r w:rsidRPr="4324F67E" w:rsidR="12501703">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leadership:</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76A28E28" w:rsidP="4324F67E" w:rsidRDefault="76A28E28" w14:paraId="689FB746" w14:textId="62CF0FDC">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Tata Motors:</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Underwent </w:t>
      </w:r>
      <w:r w:rsidRPr="4324F67E" w:rsidR="6F80018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several</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notable leadership changes concentrating on modernizing operations and the EV market. </w:t>
      </w:r>
    </w:p>
    <w:p w:rsidR="76A28E28" w:rsidP="4324F67E" w:rsidRDefault="76A28E28" w14:paraId="631EDA3F" w14:textId="1B051634">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737A80CE">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&amp;</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Saw changes in leadership with an emphasis on bolstering core business and growing the EV portfolio.</w:t>
      </w:r>
    </w:p>
    <w:p w:rsidR="4324F67E" w:rsidP="4324F67E" w:rsidRDefault="4324F67E" w14:paraId="19520D7A" w14:textId="661D4DED">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6A28E28" w:rsidP="4324F67E" w:rsidRDefault="76A28E28" w14:paraId="66F3ECFC" w14:textId="1392FE3F">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8"/>
          <w:szCs w:val="28"/>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Profit Alert</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 xml:space="preserve">s and Financial </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Results</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w:t>
      </w:r>
    </w:p>
    <w:p w:rsidR="76A28E28" w:rsidP="4324F67E" w:rsidRDefault="76A28E28" w14:paraId="0626FE50" w14:textId="44F66F2E">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Tata Motors:</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 COVID-19 pandemic made already weak demand even </w:t>
      </w:r>
      <w:r w:rsidRPr="4324F67E" w:rsidR="418776A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worse,</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but the company persevered by cost-cutting measures. </w:t>
      </w:r>
    </w:p>
    <w:p w:rsidR="76A28E28" w:rsidP="4324F67E" w:rsidRDefault="76A28E28" w14:paraId="661EF695" w14:textId="57E9C6FC">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2B0EB18D">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&amp;</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Stabilized financially by cutting costs and increasing sales online despite being negatively </w:t>
      </w:r>
      <w:r w:rsidRPr="4324F67E" w:rsidR="2CDB5F9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affected</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by the pandemic and sector slowdown.</w:t>
      </w:r>
    </w:p>
    <w:p w:rsidR="4324F67E" w:rsidP="4324F67E" w:rsidRDefault="4324F67E" w14:paraId="3A81F158" w14:textId="7CA5D7CC">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6A28E28" w:rsidP="4324F67E" w:rsidRDefault="76A28E28" w14:paraId="290A7D48" w14:textId="6D1F0B67">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 xml:space="preserve">Changes in Strategy and Emphasis on </w:t>
      </w:r>
      <w:r w:rsidRPr="4324F67E" w:rsidR="21174B9F">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EVs:</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 xml:space="preserve"> </w:t>
      </w:r>
    </w:p>
    <w:p w:rsidR="76A28E28" w:rsidP="4324F67E" w:rsidRDefault="76A28E28" w14:paraId="6C7ACEBF" w14:textId="587E973E">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Tata Motors:</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Reorganized its passenger vehicle division and gave EVs priority with models like the Nexon EV. </w:t>
      </w:r>
    </w:p>
    <w:p w:rsidR="76A28E28" w:rsidP="4324F67E" w:rsidRDefault="76A28E28" w14:paraId="59094D45" w14:textId="76126366">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628D694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&amp;</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Made investments in electric mobility introduced new EV models and announced plans to split its automobile division into traditional and EV segments.</w:t>
      </w:r>
    </w:p>
    <w:p w:rsidR="4324F67E" w:rsidP="4324F67E" w:rsidRDefault="4324F67E" w14:paraId="571B0531" w14:textId="3893933D">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6A28E28" w:rsidP="4324F67E" w:rsidRDefault="76A28E28" w14:paraId="444CFC0A" w14:textId="1204ACD2">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Acquisitions and Mergers:</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269CE4E9" w:rsidP="4324F67E" w:rsidRDefault="269CE4E9" w14:paraId="55F3EF6F" w14:textId="3D9507CD">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269CE4E9">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T</w:t>
      </w: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ata Motors:</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Main goals were to strengthen JLRs business and </w:t>
      </w:r>
      <w:r w:rsidRPr="4324F67E" w:rsidR="160CCC7F">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investigate</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joint ventures. </w:t>
      </w:r>
    </w:p>
    <w:p w:rsidR="76A28E28" w:rsidP="4324F67E" w:rsidRDefault="76A28E28" w14:paraId="2478A0E9" w14:textId="0ED4D59E">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76A28E28">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M&amp;M:</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Managed acquisitions with varying degrees of success such as </w:t>
      </w:r>
      <w:r w:rsidRPr="4324F67E" w:rsidR="2AE9F92B">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Automobile</w:t>
      </w:r>
      <w:r w:rsidRPr="4324F67E" w:rsidR="76A28E2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Pininfarina and SsangYong Motor.</w:t>
      </w:r>
    </w:p>
    <w:p w:rsidR="4324F67E" w:rsidP="4324F67E" w:rsidRDefault="4324F67E" w14:paraId="7330F810" w14:textId="2EB108F7">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0484DDE1" w:rsidP="4324F67E" w:rsidRDefault="0484DDE1" w14:paraId="41F93ABE" w14:textId="3423DAB2">
      <w:pPr>
        <w:pStyle w:val="Normal"/>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324F67E" w:rsidR="0484DDE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For the previous five years Tata Motors and Mahindra and Mahindra have both had to deal with major obstacles and changes in their strategic plans. Whereas M&amp;M has concentrated on electric mobility and upholding a diverse business model Tata Motors has highlighted its EV strategy and restructuring efforts. Due to their ability to adapt and persevere in the face of financial strain and market uncertainty both companies have positioned themselves for future growth in the changing automotive landscape.</w:t>
      </w:r>
    </w:p>
    <w:p w:rsidR="24E18C4B" w:rsidP="24E18C4B" w:rsidRDefault="24E18C4B" w14:paraId="64E2DBA0" w14:textId="3DB6D066">
      <w:pPr>
        <w:pStyle w:val="Normal"/>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6A0FA6F" w:rsidP="49C42C81" w:rsidRDefault="26A0FA6F" w14:paraId="06417DFF" w14:textId="0282F07F">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9C42C81" w:rsidR="26A0FA6F">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Invesment Appraisal:</w:t>
      </w:r>
    </w:p>
    <w:p w:rsidR="24E18C4B" w:rsidP="24E18C4B" w:rsidRDefault="24E18C4B" w14:paraId="1A59DF67" w14:textId="7775D8B7">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tbl>
      <w:tblPr>
        <w:tblStyle w:val="TableGrid"/>
        <w:bidiVisual w:val="0"/>
        <w:tblW w:w="0" w:type="auto"/>
        <w:tblLayout w:type="fixed"/>
        <w:tblLook w:val="06A0" w:firstRow="1" w:lastRow="0" w:firstColumn="1" w:lastColumn="0" w:noHBand="1" w:noVBand="1"/>
      </w:tblPr>
      <w:tblGrid>
        <w:gridCol w:w="3120"/>
        <w:gridCol w:w="3120"/>
        <w:gridCol w:w="3120"/>
      </w:tblGrid>
      <w:tr w:rsidR="24E18C4B" w:rsidTr="24E18C4B" w14:paraId="31AAE48C">
        <w:trPr>
          <w:trHeight w:val="300"/>
        </w:trPr>
        <w:tc>
          <w:tcPr>
            <w:tcW w:w="3120" w:type="dxa"/>
            <w:tcMar/>
          </w:tcPr>
          <w:p w:rsidR="75E9F42F" w:rsidP="24E18C4B" w:rsidRDefault="75E9F42F" w14:paraId="254894A7" w14:textId="6A3EF4AE">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Year</w:t>
            </w:r>
          </w:p>
        </w:tc>
        <w:tc>
          <w:tcPr>
            <w:tcW w:w="3120" w:type="dxa"/>
            <w:tcMar/>
          </w:tcPr>
          <w:p w:rsidR="75E9F42F" w:rsidP="24E18C4B" w:rsidRDefault="75E9F42F" w14:paraId="030C6ADB" w14:textId="3B86E271">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w:t>
            </w:r>
          </w:p>
        </w:tc>
        <w:tc>
          <w:tcPr>
            <w:tcW w:w="3120" w:type="dxa"/>
            <w:tcMar/>
          </w:tcPr>
          <w:p w:rsidR="75E9F42F" w:rsidP="24E18C4B" w:rsidRDefault="75E9F42F" w14:paraId="5F7838EC" w14:textId="58269270">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B</w:t>
            </w:r>
          </w:p>
        </w:tc>
      </w:tr>
      <w:tr w:rsidR="24E18C4B" w:rsidTr="24E18C4B" w14:paraId="679FCF43">
        <w:trPr>
          <w:trHeight w:val="300"/>
        </w:trPr>
        <w:tc>
          <w:tcPr>
            <w:tcW w:w="3120" w:type="dxa"/>
            <w:tcMar/>
          </w:tcPr>
          <w:p w:rsidR="75E9F42F" w:rsidP="24E18C4B" w:rsidRDefault="75E9F42F" w14:paraId="76680A5F" w14:textId="0A0D8408">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0</w:t>
            </w:r>
          </w:p>
        </w:tc>
        <w:tc>
          <w:tcPr>
            <w:tcW w:w="3120" w:type="dxa"/>
            <w:tcMar/>
          </w:tcPr>
          <w:p w:rsidR="75E9F42F" w:rsidP="24E18C4B" w:rsidRDefault="75E9F42F" w14:paraId="526D9AF7" w14:textId="59D9EC43">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-80</w:t>
            </w:r>
          </w:p>
        </w:tc>
        <w:tc>
          <w:tcPr>
            <w:tcW w:w="3120" w:type="dxa"/>
            <w:tcMar/>
          </w:tcPr>
          <w:p w:rsidR="75E9F42F" w:rsidP="24E18C4B" w:rsidRDefault="75E9F42F" w14:paraId="496907DB" w14:textId="197C773B">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-75</w:t>
            </w:r>
          </w:p>
        </w:tc>
      </w:tr>
      <w:tr w:rsidR="24E18C4B" w:rsidTr="24E18C4B" w14:paraId="1F219492">
        <w:trPr>
          <w:trHeight w:val="300"/>
        </w:trPr>
        <w:tc>
          <w:tcPr>
            <w:tcW w:w="3120" w:type="dxa"/>
            <w:tcMar/>
          </w:tcPr>
          <w:p w:rsidR="75E9F42F" w:rsidP="24E18C4B" w:rsidRDefault="75E9F42F" w14:paraId="67C3C6F9" w14:textId="61124F09">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w:t>
            </w:r>
          </w:p>
        </w:tc>
        <w:tc>
          <w:tcPr>
            <w:tcW w:w="3120" w:type="dxa"/>
            <w:tcMar/>
          </w:tcPr>
          <w:p w:rsidR="75E9F42F" w:rsidP="24E18C4B" w:rsidRDefault="75E9F42F" w14:paraId="1F1A4664" w14:textId="789F4BAF">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25</w:t>
            </w:r>
          </w:p>
        </w:tc>
        <w:tc>
          <w:tcPr>
            <w:tcW w:w="3120" w:type="dxa"/>
            <w:tcMar/>
          </w:tcPr>
          <w:p w:rsidR="75E9F42F" w:rsidP="24E18C4B" w:rsidRDefault="75E9F42F" w14:paraId="7C716E09" w14:textId="0DEB1534">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50</w:t>
            </w:r>
          </w:p>
        </w:tc>
      </w:tr>
      <w:tr w:rsidR="24E18C4B" w:rsidTr="24E18C4B" w14:paraId="29082DA4">
        <w:trPr>
          <w:trHeight w:val="300"/>
        </w:trPr>
        <w:tc>
          <w:tcPr>
            <w:tcW w:w="3120" w:type="dxa"/>
            <w:tcMar/>
          </w:tcPr>
          <w:p w:rsidR="75E9F42F" w:rsidP="24E18C4B" w:rsidRDefault="75E9F42F" w14:paraId="0DAC06DE" w14:textId="0DD003AC">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w:t>
            </w:r>
          </w:p>
        </w:tc>
        <w:tc>
          <w:tcPr>
            <w:tcW w:w="3120" w:type="dxa"/>
            <w:tcMar/>
          </w:tcPr>
          <w:p w:rsidR="75E9F42F" w:rsidP="24E18C4B" w:rsidRDefault="75E9F42F" w14:paraId="51DF5340" w14:textId="3F37C063">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25</w:t>
            </w:r>
          </w:p>
        </w:tc>
        <w:tc>
          <w:tcPr>
            <w:tcW w:w="3120" w:type="dxa"/>
            <w:tcMar/>
          </w:tcPr>
          <w:p w:rsidR="75E9F42F" w:rsidP="24E18C4B" w:rsidRDefault="75E9F42F" w14:paraId="0A4EE1AD" w14:textId="6CBD9F46">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r>
      <w:tr w:rsidR="24E18C4B" w:rsidTr="24E18C4B" w14:paraId="3B4D721B">
        <w:trPr>
          <w:trHeight w:val="300"/>
        </w:trPr>
        <w:tc>
          <w:tcPr>
            <w:tcW w:w="3120" w:type="dxa"/>
            <w:tcMar/>
          </w:tcPr>
          <w:p w:rsidR="75E9F42F" w:rsidP="24E18C4B" w:rsidRDefault="75E9F42F" w14:paraId="24B553FF" w14:textId="199F51B4">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w:t>
            </w:r>
          </w:p>
        </w:tc>
        <w:tc>
          <w:tcPr>
            <w:tcW w:w="3120" w:type="dxa"/>
            <w:tcMar/>
          </w:tcPr>
          <w:p w:rsidR="75E9F42F" w:rsidP="24E18C4B" w:rsidRDefault="75E9F42F" w14:paraId="39FC102E" w14:textId="7C43E8B2">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c>
          <w:tcPr>
            <w:tcW w:w="3120" w:type="dxa"/>
            <w:tcMar/>
          </w:tcPr>
          <w:p w:rsidR="75E9F42F" w:rsidP="24E18C4B" w:rsidRDefault="75E9F42F" w14:paraId="195B0808" w14:textId="493E2BCA">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r>
      <w:tr w:rsidR="24E18C4B" w:rsidTr="24E18C4B" w14:paraId="4D7D87BE">
        <w:trPr>
          <w:trHeight w:val="300"/>
        </w:trPr>
        <w:tc>
          <w:tcPr>
            <w:tcW w:w="3120" w:type="dxa"/>
            <w:tcMar/>
          </w:tcPr>
          <w:p w:rsidR="75E9F42F" w:rsidP="24E18C4B" w:rsidRDefault="75E9F42F" w14:paraId="5BC645F7" w14:textId="40F884BE">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4</w:t>
            </w:r>
          </w:p>
        </w:tc>
        <w:tc>
          <w:tcPr>
            <w:tcW w:w="3120" w:type="dxa"/>
            <w:tcMar/>
          </w:tcPr>
          <w:p w:rsidR="75E9F42F" w:rsidP="24E18C4B" w:rsidRDefault="75E9F42F" w14:paraId="615BE547" w14:textId="4C282F30">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55</w:t>
            </w:r>
          </w:p>
        </w:tc>
        <w:tc>
          <w:tcPr>
            <w:tcW w:w="3120" w:type="dxa"/>
            <w:tcMar/>
          </w:tcPr>
          <w:p w:rsidR="75E9F42F" w:rsidP="24E18C4B" w:rsidRDefault="75E9F42F" w14:paraId="57FD5CDB" w14:textId="3EDB74C4">
            <w:pPr>
              <w:pStyle w:val="Normal"/>
              <w:bidi w:val="0"/>
              <w:jc w:val="center"/>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r>
    </w:tbl>
    <w:p w:rsidR="24E18C4B" w:rsidP="24E18C4B" w:rsidRDefault="24E18C4B" w14:paraId="0004C928" w14:textId="77BB065E">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5E9F42F" w:rsidP="24E18C4B" w:rsidRDefault="75E9F42F" w14:paraId="263324A6" w14:textId="54C44B71">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24E18C4B"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Cost of Capital at 9.75%</w:t>
      </w:r>
    </w:p>
    <w:p w:rsidR="24E18C4B" w:rsidP="24E18C4B" w:rsidRDefault="24E18C4B" w14:paraId="1638AD5F" w14:textId="77EAF254">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5E9F42F" w:rsidP="49C42C81" w:rsidRDefault="75E9F42F" w14:paraId="47742FEA" w14:textId="2AB25CCC">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5E9F4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Cumulative </w:t>
      </w:r>
      <w:r w:rsidRPr="49C42C81" w:rsidR="08E3580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Cash Flow and Discounted Cumulative Cash Flow:</w:t>
      </w:r>
    </w:p>
    <w:p w:rsidR="49C42C81" w:rsidP="49C42C81" w:rsidRDefault="49C42C81" w14:paraId="043AE3B7" w14:textId="585AEF1A">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2EDE51F2" w:rsidP="49C42C81" w:rsidRDefault="2EDE51F2" w14:paraId="1C67E294" w14:textId="6A0B8799">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9C42C81" w:rsidR="2EDE51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Company A:</w:t>
      </w:r>
    </w:p>
    <w:p w:rsidR="49C42C81" w:rsidP="49C42C81" w:rsidRDefault="49C42C81" w14:paraId="247192B3" w14:textId="369CF463">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9C42C81" w:rsidTr="49C42C81" w14:paraId="23E2F045">
        <w:trPr>
          <w:trHeight w:val="300"/>
        </w:trPr>
        <w:tc>
          <w:tcPr>
            <w:tcW w:w="1872" w:type="dxa"/>
            <w:tcMar/>
          </w:tcPr>
          <w:p w:rsidR="2EDE51F2" w:rsidP="49C42C81" w:rsidRDefault="2EDE51F2" w14:paraId="19EC1B47" w14:textId="61C8788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Year</w:t>
            </w:r>
          </w:p>
        </w:tc>
        <w:tc>
          <w:tcPr>
            <w:tcW w:w="1872" w:type="dxa"/>
            <w:tcMar/>
          </w:tcPr>
          <w:p w:rsidR="2EDE51F2" w:rsidP="49C42C81" w:rsidRDefault="2EDE51F2" w14:paraId="6D69C5BF" w14:textId="0C49696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Invesment</w:t>
            </w:r>
          </w:p>
        </w:tc>
        <w:tc>
          <w:tcPr>
            <w:tcW w:w="1872" w:type="dxa"/>
            <w:tcMar/>
          </w:tcPr>
          <w:p w:rsidR="2EDE51F2" w:rsidP="49C42C81" w:rsidRDefault="2EDE51F2" w14:paraId="5CF98585" w14:textId="7CC03F37">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Cumulative Cash Flow</w:t>
            </w:r>
          </w:p>
        </w:tc>
        <w:tc>
          <w:tcPr>
            <w:tcW w:w="1872" w:type="dxa"/>
            <w:tcMar/>
          </w:tcPr>
          <w:p w:rsidR="2EDE51F2" w:rsidP="49C42C81" w:rsidRDefault="2EDE51F2" w14:paraId="62037FEE" w14:textId="022E8B4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Discounted Present Value</w:t>
            </w:r>
          </w:p>
        </w:tc>
        <w:tc>
          <w:tcPr>
            <w:tcW w:w="1872" w:type="dxa"/>
            <w:tcMar/>
          </w:tcPr>
          <w:p w:rsidR="2EDE51F2" w:rsidP="49C42C81" w:rsidRDefault="2EDE51F2" w14:paraId="1279C459" w14:textId="7305953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Cumulative Cash Flow</w:t>
            </w:r>
          </w:p>
        </w:tc>
      </w:tr>
      <w:tr w:rsidR="49C42C81" w:rsidTr="49C42C81" w14:paraId="7B1675F6">
        <w:trPr>
          <w:trHeight w:val="300"/>
        </w:trPr>
        <w:tc>
          <w:tcPr>
            <w:tcW w:w="1872" w:type="dxa"/>
            <w:tcMar/>
          </w:tcPr>
          <w:p w:rsidR="2EDE51F2" w:rsidP="49C42C81" w:rsidRDefault="2EDE51F2" w14:paraId="0F4E41FF" w14:textId="1514953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0</w:t>
            </w:r>
          </w:p>
        </w:tc>
        <w:tc>
          <w:tcPr>
            <w:tcW w:w="1872" w:type="dxa"/>
            <w:tcMar/>
          </w:tcPr>
          <w:p w:rsidR="2EDE51F2" w:rsidP="49C42C81" w:rsidRDefault="2EDE51F2" w14:paraId="61170FF8" w14:textId="0138420C">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-80</w:t>
            </w:r>
          </w:p>
        </w:tc>
        <w:tc>
          <w:tcPr>
            <w:tcW w:w="1872" w:type="dxa"/>
            <w:tcMar/>
          </w:tcPr>
          <w:p w:rsidR="2EDE51F2" w:rsidP="49C42C81" w:rsidRDefault="2EDE51F2" w14:paraId="097692CF" w14:textId="050C9DCA">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-80</w:t>
            </w:r>
          </w:p>
        </w:tc>
        <w:tc>
          <w:tcPr>
            <w:tcW w:w="1872" w:type="dxa"/>
            <w:tcMar/>
          </w:tcPr>
          <w:p w:rsidR="2EDE51F2" w:rsidP="49C42C81" w:rsidRDefault="2EDE51F2" w14:paraId="49EBD543" w14:textId="7F09C4B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-80</w:t>
            </w:r>
          </w:p>
        </w:tc>
        <w:tc>
          <w:tcPr>
            <w:tcW w:w="1872" w:type="dxa"/>
            <w:tcMar/>
          </w:tcPr>
          <w:p w:rsidR="2EDE51F2" w:rsidP="49C42C81" w:rsidRDefault="2EDE51F2" w14:paraId="11ADFEA3" w14:textId="4EC9681C">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-80</w:t>
            </w:r>
          </w:p>
        </w:tc>
      </w:tr>
      <w:tr w:rsidR="49C42C81" w:rsidTr="49C42C81" w14:paraId="263F5DFE">
        <w:trPr>
          <w:trHeight w:val="300"/>
        </w:trPr>
        <w:tc>
          <w:tcPr>
            <w:tcW w:w="1872" w:type="dxa"/>
            <w:tcMar/>
          </w:tcPr>
          <w:p w:rsidR="2EDE51F2" w:rsidP="49C42C81" w:rsidRDefault="2EDE51F2" w14:paraId="08F46CA2" w14:textId="4FB8B220">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w:t>
            </w:r>
          </w:p>
        </w:tc>
        <w:tc>
          <w:tcPr>
            <w:tcW w:w="1872" w:type="dxa"/>
            <w:tcMar/>
          </w:tcPr>
          <w:p w:rsidR="2EDE51F2" w:rsidP="49C42C81" w:rsidRDefault="2EDE51F2" w14:paraId="310C6A51" w14:textId="0D528D0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25</w:t>
            </w:r>
          </w:p>
        </w:tc>
        <w:tc>
          <w:tcPr>
            <w:tcW w:w="1872" w:type="dxa"/>
            <w:tcMar/>
          </w:tcPr>
          <w:p w:rsidR="2EDE51F2" w:rsidP="49C42C81" w:rsidRDefault="2EDE51F2" w14:paraId="610468B2" w14:textId="7B372B2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-55</w:t>
            </w:r>
          </w:p>
        </w:tc>
        <w:tc>
          <w:tcPr>
            <w:tcW w:w="1872" w:type="dxa"/>
            <w:tcMar/>
          </w:tcPr>
          <w:p w:rsidR="2EDE51F2" w:rsidP="49C42C81" w:rsidRDefault="2EDE51F2" w14:paraId="23EBDEE8" w14:textId="079F08D0">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22.92</w:t>
            </w:r>
          </w:p>
        </w:tc>
        <w:tc>
          <w:tcPr>
            <w:tcW w:w="1872" w:type="dxa"/>
            <w:tcMar/>
          </w:tcPr>
          <w:p w:rsidR="2EDE51F2" w:rsidP="49C42C81" w:rsidRDefault="2EDE51F2" w14:paraId="4C85A01D" w14:textId="0BAA32BA">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-57.06</w:t>
            </w:r>
          </w:p>
        </w:tc>
      </w:tr>
      <w:tr w:rsidR="49C42C81" w:rsidTr="49C42C81" w14:paraId="0336DCBD">
        <w:trPr>
          <w:trHeight w:val="300"/>
        </w:trPr>
        <w:tc>
          <w:tcPr>
            <w:tcW w:w="1872" w:type="dxa"/>
            <w:tcMar/>
          </w:tcPr>
          <w:p w:rsidR="2EDE51F2" w:rsidP="49C42C81" w:rsidRDefault="2EDE51F2" w14:paraId="346D49B6" w14:textId="4FCA464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w:t>
            </w:r>
          </w:p>
        </w:tc>
        <w:tc>
          <w:tcPr>
            <w:tcW w:w="1872" w:type="dxa"/>
            <w:tcMar/>
          </w:tcPr>
          <w:p w:rsidR="2EDE51F2" w:rsidP="49C42C81" w:rsidRDefault="2EDE51F2" w14:paraId="1046FFD2" w14:textId="1DB82D2E">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25</w:t>
            </w:r>
          </w:p>
        </w:tc>
        <w:tc>
          <w:tcPr>
            <w:tcW w:w="1872" w:type="dxa"/>
            <w:tcMar/>
          </w:tcPr>
          <w:p w:rsidR="2EDE51F2" w:rsidP="49C42C81" w:rsidRDefault="2EDE51F2" w14:paraId="44BF4CC1" w14:textId="1C578ED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-30</w:t>
            </w:r>
          </w:p>
        </w:tc>
        <w:tc>
          <w:tcPr>
            <w:tcW w:w="1872" w:type="dxa"/>
            <w:tcMar/>
          </w:tcPr>
          <w:p w:rsidR="2EDE51F2" w:rsidP="49C42C81" w:rsidRDefault="2EDE51F2" w14:paraId="4E5AAD35" w14:textId="1A4D41C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21.04</w:t>
            </w:r>
          </w:p>
        </w:tc>
        <w:tc>
          <w:tcPr>
            <w:tcW w:w="1872" w:type="dxa"/>
            <w:tcMar/>
          </w:tcPr>
          <w:p w:rsidR="2EDE51F2" w:rsidP="49C42C81" w:rsidRDefault="2EDE51F2" w14:paraId="4DEF688E" w14:textId="1188AB97">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-36.03</w:t>
            </w:r>
          </w:p>
        </w:tc>
      </w:tr>
      <w:tr w:rsidR="49C42C81" w:rsidTr="49C42C81" w14:paraId="39ED573A">
        <w:trPr>
          <w:trHeight w:val="300"/>
        </w:trPr>
        <w:tc>
          <w:tcPr>
            <w:tcW w:w="1872" w:type="dxa"/>
            <w:tcMar/>
          </w:tcPr>
          <w:p w:rsidR="2EDE51F2" w:rsidP="49C42C81" w:rsidRDefault="2EDE51F2" w14:paraId="4284CD82" w14:textId="2D6361FA">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w:t>
            </w:r>
          </w:p>
        </w:tc>
        <w:tc>
          <w:tcPr>
            <w:tcW w:w="1872" w:type="dxa"/>
            <w:tcMar/>
          </w:tcPr>
          <w:p w:rsidR="2EDE51F2" w:rsidP="49C42C81" w:rsidRDefault="2EDE51F2" w14:paraId="56F8D4B3" w14:textId="34CB445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c>
          <w:tcPr>
            <w:tcW w:w="1872" w:type="dxa"/>
            <w:tcMar/>
          </w:tcPr>
          <w:p w:rsidR="2EDE51F2" w:rsidP="49C42C81" w:rsidRDefault="2EDE51F2" w14:paraId="791BB0DA" w14:textId="4FEB4771">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-10</w:t>
            </w:r>
          </w:p>
        </w:tc>
        <w:tc>
          <w:tcPr>
            <w:tcW w:w="1872" w:type="dxa"/>
            <w:tcMar/>
          </w:tcPr>
          <w:p w:rsidR="2EDE51F2" w:rsidP="49C42C81" w:rsidRDefault="2EDE51F2" w14:paraId="4E9A91C3" w14:textId="15332E52">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15.44</w:t>
            </w:r>
          </w:p>
        </w:tc>
        <w:tc>
          <w:tcPr>
            <w:tcW w:w="1872" w:type="dxa"/>
            <w:tcMar/>
          </w:tcPr>
          <w:p w:rsidR="2EDE51F2" w:rsidP="49C42C81" w:rsidRDefault="2EDE51F2" w14:paraId="6CA95BB6" w14:textId="10C679E1">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-20.59</w:t>
            </w:r>
          </w:p>
        </w:tc>
      </w:tr>
      <w:tr w:rsidR="49C42C81" w:rsidTr="49C42C81" w14:paraId="2220F979">
        <w:trPr>
          <w:trHeight w:val="300"/>
        </w:trPr>
        <w:tc>
          <w:tcPr>
            <w:tcW w:w="1872" w:type="dxa"/>
            <w:tcMar/>
          </w:tcPr>
          <w:p w:rsidR="2EDE51F2" w:rsidP="49C42C81" w:rsidRDefault="2EDE51F2" w14:paraId="5D8176C0" w14:textId="5AE2ABB3">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4</w:t>
            </w:r>
          </w:p>
        </w:tc>
        <w:tc>
          <w:tcPr>
            <w:tcW w:w="1872" w:type="dxa"/>
            <w:tcMar/>
          </w:tcPr>
          <w:p w:rsidR="2EDE51F2" w:rsidP="49C42C81" w:rsidRDefault="2EDE51F2" w14:paraId="02BFD9D1" w14:textId="1C1F2E6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55</w:t>
            </w:r>
          </w:p>
        </w:tc>
        <w:tc>
          <w:tcPr>
            <w:tcW w:w="1872" w:type="dxa"/>
            <w:tcMar/>
          </w:tcPr>
          <w:p w:rsidR="2EDE51F2" w:rsidP="49C42C81" w:rsidRDefault="2EDE51F2" w14:paraId="092E692E" w14:textId="52A4AA3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45</w:t>
            </w:r>
          </w:p>
        </w:tc>
        <w:tc>
          <w:tcPr>
            <w:tcW w:w="1872" w:type="dxa"/>
            <w:tcMar/>
          </w:tcPr>
          <w:p w:rsidR="2EDE51F2" w:rsidP="49C42C81" w:rsidRDefault="2EDE51F2" w14:paraId="3CFBADF4" w14:textId="7A968B5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38.97</w:t>
            </w:r>
          </w:p>
        </w:tc>
        <w:tc>
          <w:tcPr>
            <w:tcW w:w="1872" w:type="dxa"/>
            <w:tcMar/>
          </w:tcPr>
          <w:p w:rsidR="2EDE51F2" w:rsidP="49C42C81" w:rsidRDefault="2EDE51F2" w14:paraId="19F52C85" w14:textId="2749F97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EDE51F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18.38</w:t>
            </w:r>
          </w:p>
        </w:tc>
      </w:tr>
    </w:tbl>
    <w:p w:rsidR="49C42C81" w:rsidP="49C42C81" w:rsidRDefault="49C42C81" w14:paraId="2156961C" w14:textId="11A204F4">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6797F4AB" w:rsidP="49C42C81" w:rsidRDefault="6797F4AB" w14:paraId="2FFA23FB" w14:textId="2F562256">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 Revenue in Total – Investment</w:t>
      </w:r>
    </w:p>
    <w:p w:rsidR="6797F4AB" w:rsidP="49C42C81" w:rsidRDefault="6797F4AB" w14:paraId="04142FF2" w14:textId="5F6C89F1">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 125-80 = 45</w:t>
      </w:r>
    </w:p>
    <w:p w:rsidR="6797F4AB" w:rsidP="49C42C81" w:rsidRDefault="6797F4AB" w14:paraId="1FAD1A0E" w14:textId="0A9CF9DC">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is 45 in Million</w:t>
      </w:r>
    </w:p>
    <w:p w:rsidR="49C42C81" w:rsidP="49C42C81" w:rsidRDefault="49C42C81" w14:paraId="63F2F635" w14:textId="045C114D">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6797F4AB" w:rsidP="49C42C81" w:rsidRDefault="6797F4AB" w14:paraId="16D0B610" w14:textId="2D3D488C">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PBP = Year + Investment / Net Cash Flow</w:t>
      </w:r>
    </w:p>
    <w:p w:rsidR="6797F4AB" w:rsidP="49C42C81" w:rsidRDefault="6797F4AB" w14:paraId="16EFA01A" w14:textId="413684E4">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PBP = 3 + 10/55 = 3.18 </w:t>
      </w:r>
    </w:p>
    <w:p w:rsidR="6797F4AB" w:rsidP="49C42C81" w:rsidRDefault="6797F4AB" w14:paraId="3CCEEB5D" w14:textId="18831359">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PBP is 3.18 year</w:t>
      </w:r>
    </w:p>
    <w:p w:rsidR="49C42C81" w:rsidP="49C42C81" w:rsidRDefault="49C42C81" w14:paraId="4C5DB7CE" w14:textId="165A7520">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6797F4AB" w:rsidP="49C42C81" w:rsidRDefault="6797F4AB" w14:paraId="46C6FF0C" w14:textId="6319014A">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 Accounting Rate / Total Investment</w:t>
      </w:r>
    </w:p>
    <w:p w:rsidR="6797F4AB" w:rsidP="49C42C81" w:rsidRDefault="6797F4AB" w14:paraId="72FFE804" w14:textId="54575328">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 (45/4) / 80 = 0.14%</w:t>
      </w:r>
    </w:p>
    <w:p w:rsidR="6797F4AB" w:rsidP="49C42C81" w:rsidRDefault="6797F4AB" w14:paraId="77AE5C0B" w14:textId="6289CBDB">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is 0.14 %</w:t>
      </w:r>
    </w:p>
    <w:p w:rsidR="6797F4AB" w:rsidP="49C42C81" w:rsidRDefault="6797F4AB" w14:paraId="00E9596E" w14:textId="08CC6BE1">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6797F4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2EDE51F2" w:rsidP="49C42C81" w:rsidRDefault="2EDE51F2" w14:paraId="2B61613A" w14:textId="1E93F7DC">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49C42C81" w:rsidR="2EDE51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Company B</w:t>
      </w:r>
      <w:r w:rsidRPr="49C42C81" w:rsidR="2EDE51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w:t>
      </w:r>
    </w:p>
    <w:p w:rsidR="49C42C81" w:rsidP="49C42C81" w:rsidRDefault="49C42C81" w14:paraId="7E671E76" w14:textId="55B6CAA1">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9C42C81" w:rsidTr="49C42C81" w14:paraId="2335E1DD">
        <w:trPr>
          <w:trHeight w:val="300"/>
        </w:trPr>
        <w:tc>
          <w:tcPr>
            <w:tcW w:w="1872" w:type="dxa"/>
            <w:tcMar/>
          </w:tcPr>
          <w:p w:rsidR="49C42C81" w:rsidP="49C42C81" w:rsidRDefault="49C42C81" w14:paraId="26E2C6EA" w14:textId="61C8788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Year</w:t>
            </w:r>
          </w:p>
        </w:tc>
        <w:tc>
          <w:tcPr>
            <w:tcW w:w="1872" w:type="dxa"/>
            <w:tcMar/>
          </w:tcPr>
          <w:p w:rsidR="49C42C81" w:rsidP="49C42C81" w:rsidRDefault="49C42C81" w14:paraId="49709ED1" w14:textId="0C49696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Invesment</w:t>
            </w:r>
          </w:p>
        </w:tc>
        <w:tc>
          <w:tcPr>
            <w:tcW w:w="1872" w:type="dxa"/>
            <w:tcMar/>
          </w:tcPr>
          <w:p w:rsidR="49C42C81" w:rsidP="49C42C81" w:rsidRDefault="49C42C81" w14:paraId="13E5F63A" w14:textId="7CC03F37">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Cumulative Cash Flow</w:t>
            </w:r>
          </w:p>
        </w:tc>
        <w:tc>
          <w:tcPr>
            <w:tcW w:w="1872" w:type="dxa"/>
            <w:tcMar/>
          </w:tcPr>
          <w:p w:rsidR="49C42C81" w:rsidP="49C42C81" w:rsidRDefault="49C42C81" w14:paraId="742E02B2" w14:textId="022E8B4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Discounted Present Value</w:t>
            </w:r>
          </w:p>
        </w:tc>
        <w:tc>
          <w:tcPr>
            <w:tcW w:w="1872" w:type="dxa"/>
            <w:tcMar/>
          </w:tcPr>
          <w:p w:rsidR="49C42C81" w:rsidP="49C42C81" w:rsidRDefault="49C42C81" w14:paraId="752BFB64" w14:textId="7305953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Cumulative Cash Flow</w:t>
            </w:r>
          </w:p>
        </w:tc>
      </w:tr>
      <w:tr w:rsidR="49C42C81" w:rsidTr="49C42C81" w14:paraId="33C334E7">
        <w:trPr>
          <w:trHeight w:val="300"/>
        </w:trPr>
        <w:tc>
          <w:tcPr>
            <w:tcW w:w="1872" w:type="dxa"/>
            <w:tcMar/>
          </w:tcPr>
          <w:p w:rsidR="49C42C81" w:rsidP="49C42C81" w:rsidRDefault="49C42C81" w14:paraId="30216F13" w14:textId="1514953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0</w:t>
            </w:r>
          </w:p>
        </w:tc>
        <w:tc>
          <w:tcPr>
            <w:tcW w:w="1872" w:type="dxa"/>
            <w:tcMar/>
          </w:tcPr>
          <w:p w:rsidR="49C42C81" w:rsidP="49C42C81" w:rsidRDefault="49C42C81" w14:paraId="09E7158C" w14:textId="6B0D4DD1">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5A978FD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75</w:t>
            </w:r>
          </w:p>
        </w:tc>
        <w:tc>
          <w:tcPr>
            <w:tcW w:w="1872" w:type="dxa"/>
            <w:tcMar/>
          </w:tcPr>
          <w:p w:rsidR="49C42C81" w:rsidP="49C42C81" w:rsidRDefault="49C42C81" w14:paraId="128B4F82" w14:textId="1A2B4D0B">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305A3C9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75</w:t>
            </w:r>
          </w:p>
        </w:tc>
        <w:tc>
          <w:tcPr>
            <w:tcW w:w="1872" w:type="dxa"/>
            <w:tcMar/>
          </w:tcPr>
          <w:p w:rsidR="49C42C81" w:rsidP="49C42C81" w:rsidRDefault="49C42C81" w14:paraId="0382D6D3" w14:textId="2D5BD95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762B1A8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75</w:t>
            </w:r>
          </w:p>
        </w:tc>
        <w:tc>
          <w:tcPr>
            <w:tcW w:w="1872" w:type="dxa"/>
            <w:tcMar/>
          </w:tcPr>
          <w:p w:rsidR="49C42C81" w:rsidP="49C42C81" w:rsidRDefault="49C42C81" w14:paraId="4A6DCF2D" w14:textId="0CF9898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7621606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75</w:t>
            </w:r>
          </w:p>
        </w:tc>
      </w:tr>
      <w:tr w:rsidR="49C42C81" w:rsidTr="49C42C81" w14:paraId="5BA9ABC3">
        <w:trPr>
          <w:trHeight w:val="300"/>
        </w:trPr>
        <w:tc>
          <w:tcPr>
            <w:tcW w:w="1872" w:type="dxa"/>
            <w:tcMar/>
          </w:tcPr>
          <w:p w:rsidR="49C42C81" w:rsidP="49C42C81" w:rsidRDefault="49C42C81" w14:paraId="2C44A366" w14:textId="4FB8B220">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w:t>
            </w:r>
          </w:p>
        </w:tc>
        <w:tc>
          <w:tcPr>
            <w:tcW w:w="1872" w:type="dxa"/>
            <w:tcMar/>
          </w:tcPr>
          <w:p w:rsidR="0D5D8015" w:rsidP="49C42C81" w:rsidRDefault="0D5D8015" w14:paraId="46BFF793" w14:textId="517659E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0D5D801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50</w:t>
            </w:r>
          </w:p>
        </w:tc>
        <w:tc>
          <w:tcPr>
            <w:tcW w:w="1872" w:type="dxa"/>
            <w:tcMar/>
          </w:tcPr>
          <w:p w:rsidR="49C42C81" w:rsidP="49C42C81" w:rsidRDefault="49C42C81" w14:paraId="57AEEA69" w14:textId="2BFA64D6">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39629DE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25</w:t>
            </w:r>
          </w:p>
        </w:tc>
        <w:tc>
          <w:tcPr>
            <w:tcW w:w="1872" w:type="dxa"/>
            <w:tcMar/>
          </w:tcPr>
          <w:p w:rsidR="05F280E0" w:rsidP="49C42C81" w:rsidRDefault="05F280E0" w14:paraId="35F79CB2" w14:textId="2C923524">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05F280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45.88</w:t>
            </w:r>
          </w:p>
        </w:tc>
        <w:tc>
          <w:tcPr>
            <w:tcW w:w="1872" w:type="dxa"/>
            <w:tcMar/>
          </w:tcPr>
          <w:p w:rsidR="49C42C81" w:rsidP="49C42C81" w:rsidRDefault="49C42C81" w14:paraId="4F3678A4" w14:textId="2C33F8E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48C12B4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29.12</w:t>
            </w:r>
          </w:p>
        </w:tc>
      </w:tr>
      <w:tr w:rsidR="49C42C81" w:rsidTr="49C42C81" w14:paraId="633301EF">
        <w:trPr>
          <w:trHeight w:val="300"/>
        </w:trPr>
        <w:tc>
          <w:tcPr>
            <w:tcW w:w="1872" w:type="dxa"/>
            <w:tcMar/>
          </w:tcPr>
          <w:p w:rsidR="49C42C81" w:rsidP="49C42C81" w:rsidRDefault="49C42C81" w14:paraId="1AD7AB6B" w14:textId="4FCA464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w:t>
            </w:r>
          </w:p>
        </w:tc>
        <w:tc>
          <w:tcPr>
            <w:tcW w:w="1872" w:type="dxa"/>
            <w:tcMar/>
          </w:tcPr>
          <w:p w:rsidR="49C42C81" w:rsidP="49C42C81" w:rsidRDefault="49C42C81" w14:paraId="5D23022B" w14:textId="5B97137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w:t>
            </w:r>
            <w:r w:rsidRPr="49C42C81" w:rsidR="1115446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0</w:t>
            </w:r>
          </w:p>
        </w:tc>
        <w:tc>
          <w:tcPr>
            <w:tcW w:w="1872" w:type="dxa"/>
            <w:tcMar/>
          </w:tcPr>
          <w:p w:rsidR="49C42C81" w:rsidP="49C42C81" w:rsidRDefault="49C42C81" w14:paraId="00A9DA05" w14:textId="348CDCE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-0</w:t>
            </w:r>
            <w:r w:rsidRPr="49C42C81" w:rsidR="32AA13C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w:t>
            </w:r>
          </w:p>
        </w:tc>
        <w:tc>
          <w:tcPr>
            <w:tcW w:w="1872" w:type="dxa"/>
            <w:tcMar/>
          </w:tcPr>
          <w:p w:rsidR="373AC06A" w:rsidP="49C42C81" w:rsidRDefault="373AC06A" w14:paraId="755B9D84" w14:textId="4D07CA60">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73AC06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16.83</w:t>
            </w:r>
          </w:p>
        </w:tc>
        <w:tc>
          <w:tcPr>
            <w:tcW w:w="1872" w:type="dxa"/>
            <w:tcMar/>
          </w:tcPr>
          <w:p w:rsidR="49C42C81" w:rsidP="49C42C81" w:rsidRDefault="49C42C81" w14:paraId="2DAE4097" w14:textId="776F2382">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1A5CCEB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12.29</w:t>
            </w:r>
          </w:p>
        </w:tc>
      </w:tr>
      <w:tr w:rsidR="49C42C81" w:rsidTr="49C42C81" w14:paraId="1B7D08BC">
        <w:trPr>
          <w:trHeight w:val="300"/>
        </w:trPr>
        <w:tc>
          <w:tcPr>
            <w:tcW w:w="1872" w:type="dxa"/>
            <w:tcMar/>
          </w:tcPr>
          <w:p w:rsidR="49C42C81" w:rsidP="49C42C81" w:rsidRDefault="49C42C81" w14:paraId="24CD7FFC" w14:textId="2D6361FA">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w:t>
            </w:r>
          </w:p>
        </w:tc>
        <w:tc>
          <w:tcPr>
            <w:tcW w:w="1872" w:type="dxa"/>
            <w:tcMar/>
          </w:tcPr>
          <w:p w:rsidR="49C42C81" w:rsidP="49C42C81" w:rsidRDefault="49C42C81" w14:paraId="78AC70DC" w14:textId="34CB445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c>
          <w:tcPr>
            <w:tcW w:w="1872" w:type="dxa"/>
            <w:tcMar/>
          </w:tcPr>
          <w:p w:rsidR="0E510134" w:rsidP="49C42C81" w:rsidRDefault="0E510134" w14:paraId="3855704E" w14:textId="666DFEA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0E51013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15</w:t>
            </w:r>
          </w:p>
        </w:tc>
        <w:tc>
          <w:tcPr>
            <w:tcW w:w="1872" w:type="dxa"/>
            <w:tcMar/>
          </w:tcPr>
          <w:p w:rsidR="49C42C81" w:rsidP="49C42C81" w:rsidRDefault="49C42C81" w14:paraId="5F35C7E3" w14:textId="15332E52">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15.44</w:t>
            </w:r>
          </w:p>
        </w:tc>
        <w:tc>
          <w:tcPr>
            <w:tcW w:w="1872" w:type="dxa"/>
            <w:tcMar/>
          </w:tcPr>
          <w:p w:rsidR="03409F94" w:rsidP="49C42C81" w:rsidRDefault="03409F94" w14:paraId="6A1F7056" w14:textId="1F426C06">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03409F9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3.15</w:t>
            </w:r>
          </w:p>
        </w:tc>
      </w:tr>
      <w:tr w:rsidR="49C42C81" w:rsidTr="49C42C81" w14:paraId="52423C19">
        <w:trPr>
          <w:trHeight w:val="300"/>
        </w:trPr>
        <w:tc>
          <w:tcPr>
            <w:tcW w:w="1872" w:type="dxa"/>
            <w:tcMar/>
          </w:tcPr>
          <w:p w:rsidR="49C42C81" w:rsidP="49C42C81" w:rsidRDefault="49C42C81" w14:paraId="7D15C3F7" w14:textId="5AE2ABB3">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4</w:t>
            </w:r>
          </w:p>
        </w:tc>
        <w:tc>
          <w:tcPr>
            <w:tcW w:w="1872" w:type="dxa"/>
            <w:tcMar/>
          </w:tcPr>
          <w:p w:rsidR="234C6736" w:rsidP="49C42C81" w:rsidRDefault="234C6736" w14:paraId="0B6EFCEA" w14:textId="7E95F582">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34C673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20</w:t>
            </w:r>
          </w:p>
        </w:tc>
        <w:tc>
          <w:tcPr>
            <w:tcW w:w="1872" w:type="dxa"/>
            <w:tcMar/>
          </w:tcPr>
          <w:p w:rsidR="234C6736" w:rsidP="49C42C81" w:rsidRDefault="234C6736" w14:paraId="2EB6BC6A" w14:textId="4F6FE834">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34C673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3</w:t>
            </w: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5</w:t>
            </w:r>
          </w:p>
        </w:tc>
        <w:tc>
          <w:tcPr>
            <w:tcW w:w="1872" w:type="dxa"/>
            <w:tcMar/>
          </w:tcPr>
          <w:p w:rsidR="4C7341AB" w:rsidP="49C42C81" w:rsidRDefault="4C7341AB" w14:paraId="0FA48086" w14:textId="132DB6D9">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C7341A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14.16</w:t>
            </w:r>
          </w:p>
        </w:tc>
        <w:tc>
          <w:tcPr>
            <w:tcW w:w="1872" w:type="dxa"/>
            <w:tcMar/>
          </w:tcPr>
          <w:p w:rsidR="49C42C81" w:rsidP="49C42C81" w:rsidRDefault="49C42C81" w14:paraId="7019A953" w14:textId="33A102A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9C42C8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1</w:t>
            </w:r>
            <w:r w:rsidRPr="49C42C81" w:rsidR="1D90845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7.32</w:t>
            </w:r>
          </w:p>
        </w:tc>
      </w:tr>
    </w:tbl>
    <w:p w:rsidR="49C42C81" w:rsidP="49C42C81" w:rsidRDefault="49C42C81" w14:paraId="7FF3BB09" w14:textId="76697030">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067ABEF" w:rsidP="49C42C81" w:rsidRDefault="3067ABEF" w14:paraId="131A24B7" w14:textId="2F562256">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 Revenue in Total – Investment</w:t>
      </w:r>
    </w:p>
    <w:p w:rsidR="3067ABEF" w:rsidP="49C42C81" w:rsidRDefault="3067ABEF" w14:paraId="3DCA5D4E" w14:textId="02503DA8">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 110-75 = 35</w:t>
      </w:r>
    </w:p>
    <w:p w:rsidR="3067ABEF" w:rsidP="49C42C81" w:rsidRDefault="3067ABEF" w14:paraId="29C7708B" w14:textId="35B44C34">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NPV is 35 in Million</w:t>
      </w:r>
    </w:p>
    <w:p w:rsidR="49C42C81" w:rsidP="49C42C81" w:rsidRDefault="49C42C81" w14:paraId="34ED18A7" w14:textId="045C114D">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067ABEF" w:rsidP="49C42C81" w:rsidRDefault="3067ABEF" w14:paraId="59A1CEA7" w14:textId="2D3D488C">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PBP = Year + Investment / Net Cash Flow</w:t>
      </w:r>
    </w:p>
    <w:p w:rsidR="3067ABEF" w:rsidP="49C42C81" w:rsidRDefault="3067ABEF" w14:paraId="27A64ADD" w14:textId="04822D1F">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PBP = 2 + 5/20 = 2.25 </w:t>
      </w:r>
    </w:p>
    <w:p w:rsidR="3067ABEF" w:rsidP="49C42C81" w:rsidRDefault="3067ABEF" w14:paraId="254EFD45" w14:textId="4C56D485">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PBP is 2.25 year</w:t>
      </w:r>
    </w:p>
    <w:p w:rsidR="49C42C81" w:rsidP="49C42C81" w:rsidRDefault="49C42C81" w14:paraId="46C7E0CC" w14:textId="165A7520">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067ABEF" w:rsidP="49C42C81" w:rsidRDefault="3067ABEF" w14:paraId="415D1866" w14:textId="6319014A">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 Accounting Rate / Total Investment</w:t>
      </w:r>
    </w:p>
    <w:p w:rsidR="3067ABEF" w:rsidP="49C42C81" w:rsidRDefault="3067ABEF" w14:paraId="52408AA6" w14:textId="7B69BCA0">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 (35/4) / 75 = 0.11%</w:t>
      </w:r>
    </w:p>
    <w:p w:rsidR="3067ABEF" w:rsidP="49C42C81" w:rsidRDefault="3067ABEF" w14:paraId="6CD7ACF3" w14:textId="67B0402E">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67ABE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ARR is 0.11 %</w:t>
      </w:r>
    </w:p>
    <w:p w:rsidR="49C42C81" w:rsidRDefault="49C42C81" w14:paraId="1F9B78D1" w14:textId="2AE47D9E">
      <w:r>
        <w:br w:type="page"/>
      </w:r>
    </w:p>
    <w:p w:rsidR="3C861675" w:rsidP="37AF4E88" w:rsidRDefault="3C861675" w14:paraId="0C8D47F7" w14:textId="5119E578">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pPr>
      <w:r w:rsidRPr="37AF4E88" w:rsidR="3C861675">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Advantages of PBP (Payback Period):</w:t>
      </w:r>
    </w:p>
    <w:p w:rsidR="49C42C81" w:rsidP="49C42C81" w:rsidRDefault="49C42C81" w14:paraId="716FD0B6" w14:textId="0CF81B89">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C861675" w:rsidP="49C42C81" w:rsidRDefault="3C861675" w14:paraId="4A96DB77" w14:textId="73FFCAF8">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Businesses use financial metrics to assess capital projects to assess the viability and profitability of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possible investments</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Three popular techniques are used to evaluate the viability of capital projects: the Payback Period (PBP) Accounting Rate of Return (ARR) and Net Present Value (NPV). Every one of these methods has advantages and disadvantages that can affect choices in certain situations. </w:t>
      </w:r>
    </w:p>
    <w:p w:rsidR="49C42C81" w:rsidP="49C42C81" w:rsidRDefault="49C42C81" w14:paraId="30368432" w14:textId="44133FF5">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C861675" w:rsidP="49C42C81" w:rsidRDefault="3C861675" w14:paraId="04BC8152" w14:textId="0332E48B">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C86167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Simplicity: The PBP is a popular choice for managers and investors who like simple tools for making decisions because it is simple to compute and </w:t>
      </w:r>
      <w:r w:rsidRPr="49C42C81" w:rsidR="3C86167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comprehend</w:t>
      </w:r>
      <w:r w:rsidRPr="49C42C81" w:rsidR="3C86167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Its ease of use also makes it possible to compare projects quickly (Drury 2018). </w:t>
      </w:r>
    </w:p>
    <w:p w:rsidR="3C861675" w:rsidP="49C42C81" w:rsidRDefault="3C861675" w14:paraId="7376E63A" w14:textId="07507B4D">
      <w:pPr>
        <w:pStyle w:val="Normal"/>
        <w:suppressLineNumbers w:val="0"/>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Focus on Liquidity: PBP highlights the amount of time needed to recoup the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initial</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investment which sheds light on the project's potential liquidity risk. Shorter payback periods are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frequently</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associated with lower levels of risk in projects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Attrill</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and McLaney 2020). </w:t>
      </w:r>
    </w:p>
    <w:p w:rsidR="3C861675" w:rsidP="49C42C81" w:rsidRDefault="3C861675" w14:paraId="09D4B8D3" w14:textId="7FBBC22A">
      <w:pPr>
        <w:pStyle w:val="Normal"/>
        <w:suppressLineNumbers w:val="0"/>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Minimization of Risk: PBP is helpful in situations where future cash flows are not guaranteed. According to Ross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Westerfeld</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and Jaffe (2019) shorter payback periods can reduce the likelihood of losses resulting from </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unanticipated</w:t>
      </w:r>
      <w:r w:rsidRPr="49C42C81" w:rsidR="3C861675">
        <w:rPr>
          <w:rFonts w:ascii="Aptos" w:hAnsi="Aptos" w:eastAsia="Aptos" w:cs="Aptos"/>
          <w:b w:val="0"/>
          <w:bCs w:val="0"/>
          <w:i w:val="0"/>
          <w:iCs w:val="0"/>
          <w:caps w:val="0"/>
          <w:smallCaps w:val="0"/>
          <w:noProof w:val="0"/>
          <w:color w:val="000000" w:themeColor="text1" w:themeTint="FF" w:themeShade="FF"/>
          <w:sz w:val="24"/>
          <w:szCs w:val="24"/>
          <w:lang w:val="en-US"/>
        </w:rPr>
        <w:t xml:space="preserve"> events.</w:t>
      </w:r>
    </w:p>
    <w:p w:rsidR="49C42C81" w:rsidP="49C42C81" w:rsidRDefault="49C42C81" w14:paraId="78B6ED73" w14:textId="1D8FC255">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A73B283" w:rsidP="37AF4E88" w:rsidRDefault="7A73B283" w14:paraId="5ED1736F" w14:textId="537E38CE">
      <w:pPr>
        <w:pStyle w:val="Normal"/>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24"/>
          <w:szCs w:val="24"/>
          <w:lang w:val="en-US"/>
        </w:rPr>
      </w:pPr>
      <w:r w:rsidRPr="37AF4E88" w:rsidR="7A73B283">
        <w:rPr>
          <w:rFonts w:ascii="Aptos" w:hAnsi="Aptos" w:eastAsia="Aptos" w:cs="Aptos"/>
          <w:b w:val="1"/>
          <w:bCs w:val="1"/>
          <w:i w:val="0"/>
          <w:iCs w:val="0"/>
          <w:caps w:val="0"/>
          <w:smallCaps w:val="0"/>
          <w:noProof w:val="0"/>
          <w:color w:val="000000" w:themeColor="text1" w:themeTint="FF" w:themeShade="FF"/>
          <w:sz w:val="24"/>
          <w:szCs w:val="24"/>
          <w:lang w:val="en-US"/>
        </w:rPr>
        <w:t>Advantages of ARR (Accounting Rate of Return):</w:t>
      </w:r>
    </w:p>
    <w:p w:rsidR="49C42C81" w:rsidP="49C42C81" w:rsidRDefault="49C42C81" w14:paraId="20F6B6A5" w14:textId="40138238">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A73B283" w:rsidP="49C42C81" w:rsidRDefault="7A73B283" w14:paraId="674D0394" w14:textId="7C91BA82">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Easy to Understand: ARR is a popular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option</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for non-financial managers because like PBP it is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reasonably easy</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to compute and interpret (Drury 2018). </w:t>
      </w:r>
    </w:p>
    <w:p w:rsidR="7A73B283" w:rsidP="49C42C81" w:rsidRDefault="7A73B283" w14:paraId="6BFC80FB" w14:textId="492596DF">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 line with Financial Statements: ARR employs accounting profit, not cash flows, which is in line with businesses' income statements.</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Integration with more comprehensive financial analysis is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facilitated</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by this consistency (Attrill and McLaney 2020). </w:t>
      </w:r>
    </w:p>
    <w:p w:rsidR="7A73B283" w:rsidP="49C42C81" w:rsidRDefault="7A73B283" w14:paraId="73D85387" w14:textId="4D19BC37">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Direct Profitability Measure: By contrasting the ARR with a company's cost of capital or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required</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rate of return Ross Westerfeld and Jaffe (2019) offer a clear indicator of the profitability of the project.</w:t>
      </w:r>
    </w:p>
    <w:p w:rsidR="49C42C81" w:rsidP="49C42C81" w:rsidRDefault="49C42C81" w14:paraId="08334F75" w14:textId="22289BE2">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A73B283" w:rsidP="37AF4E88" w:rsidRDefault="7A73B283" w14:paraId="2FD305C6" w14:textId="355C12F7">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pPr>
      <w:r w:rsidRPr="37AF4E88" w:rsidR="7A73B283">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Advantages of NPV (Net Present Value):</w:t>
      </w:r>
    </w:p>
    <w:p w:rsidR="49C42C81" w:rsidP="49C42C81" w:rsidRDefault="49C42C81" w14:paraId="23E3E327" w14:textId="7B8E76AD">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A73B283" w:rsidP="49C42C81" w:rsidRDefault="7A73B283" w14:paraId="5AEFBF43" w14:textId="4803A3FD">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Time Value of Money is Considered: According to Ross </w:t>
      </w:r>
      <w:r w:rsidRPr="49C42C81" w:rsidR="35F7A24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Westerfeld</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Jaffe (2019) net present value (NPV) provides a more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accurate</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measure of a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project's</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profitability and risk by accounting for the time value of money. </w:t>
      </w:r>
    </w:p>
    <w:p w:rsidR="7A73B283" w:rsidP="49C42C81" w:rsidRDefault="7A73B283" w14:paraId="7C1DC9AE" w14:textId="6B1029B8">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Comprehensive Assessment: According to Brealey Myers and Allen (2020) net present value (NPV) provides a full assessment of a project's economic value by considering all cash flows over the project's entire life.</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7A73B283" w:rsidP="49C42C81" w:rsidRDefault="7A73B283" w14:paraId="04D3D267" w14:textId="5F4E5955">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NPV decision rule is simple to understand: a positive NPV implies that the project is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anticipated</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to increase the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firm's</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value </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whereas</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 negative NPV suggests the opposite (Hillier </w:t>
      </w:r>
      <w:r w:rsidRPr="49C42C81" w:rsidR="68302FAB">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Grinblat</w:t>
      </w:r>
      <w:r w:rsidRPr="49C42C81" w:rsidR="7A73B28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&amp; Titman 2017).</w:t>
      </w:r>
    </w:p>
    <w:p w:rsidR="49C42C81" w:rsidP="49C42C81" w:rsidRDefault="49C42C81" w14:paraId="0FAAB0E2" w14:textId="42D0833E">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9C42C81" w:rsidP="49C42C81" w:rsidRDefault="49C42C81" w14:paraId="1CFC05C1" w14:textId="4C9DC818">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0CB463D" w:rsidP="37AF4E88" w:rsidRDefault="40CB463D" w14:paraId="5E30CECE" w14:textId="6B175692">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pPr>
      <w:r w:rsidRPr="37AF4E88" w:rsidR="40CB463D">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Shortcoming of PBP:</w:t>
      </w:r>
    </w:p>
    <w:p w:rsidR="49C42C81" w:rsidP="49C42C81" w:rsidRDefault="49C42C81" w14:paraId="44F33114" w14:textId="6D554C71">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522E481E" w:rsidP="49C42C81" w:rsidRDefault="522E481E" w14:paraId="61646AF1" w14:textId="74F22B76">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Ignores Time Value of Money (TVM): PBP </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fails to</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consider that the value of money varies over time. According to Brealey Myers and Allen (2020) </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an erroneous</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evaluation of the </w:t>
      </w:r>
      <w:r w:rsidRPr="49C42C81" w:rsidR="781D10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project's</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value may result </w:t>
      </w:r>
      <w:r w:rsidRPr="49C42C81" w:rsidR="5D86D0C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from</w:t>
      </w:r>
      <w:r w:rsidRPr="49C42C81" w:rsidR="5D86D0C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for </w:t>
      </w:r>
      <w:r w:rsidRPr="49C42C81" w:rsidR="0E683B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instance,</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future cash flows not being discounted to their present value. </w:t>
      </w:r>
    </w:p>
    <w:p w:rsidR="2BD75B12" w:rsidP="49C42C81" w:rsidRDefault="2BD75B12" w14:paraId="55AAB3DE" w14:textId="0318E56E">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2BD75B1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Except</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Cash Flows After Payback: The PBP approach ignores any further cash inflows after the </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initial</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investment is recouped. If a project has a lengthy payback </w:t>
      </w:r>
      <w:r w:rsidRPr="49C42C81" w:rsidR="6C1927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period,</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this may lead to its rejection (Drury 2018). </w:t>
      </w:r>
    </w:p>
    <w:p w:rsidR="522E481E" w:rsidP="49C42C81" w:rsidRDefault="522E481E" w14:paraId="487FAEED" w14:textId="73B205D4">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Put Liquidity Above Profitability: PBP places a premium on the speed at which an investment can be recouped which may cause investors to favor shorter-term projects over longer-term more lucrative ones (Ross </w:t>
      </w:r>
      <w:r w:rsidRPr="49C42C81" w:rsidR="6DEDEC1A">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Westerfeld</w:t>
      </w:r>
      <w:r w:rsidRPr="49C42C81" w:rsidR="522E481E">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&amp; Jaffe 2019).</w:t>
      </w:r>
    </w:p>
    <w:p w:rsidR="49C42C81" w:rsidP="49C42C81" w:rsidRDefault="49C42C81" w14:paraId="45965866" w14:textId="1E5C13B3">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E9082F2" w:rsidP="37AF4E88" w:rsidRDefault="1E9082F2" w14:paraId="36F72008" w14:textId="150EF6E7">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pPr>
      <w:r w:rsidRPr="37AF4E88" w:rsidR="1E9082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S</w:t>
      </w:r>
      <w:r w:rsidRPr="37AF4E88" w:rsidR="1E9082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hortcoming of ARR:</w:t>
      </w:r>
    </w:p>
    <w:p w:rsidR="49C42C81" w:rsidP="49C42C81" w:rsidRDefault="49C42C81" w14:paraId="15FE3921" w14:textId="67D13595">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E9082F2" w:rsidP="49C42C81" w:rsidRDefault="1E9082F2" w14:paraId="3B3C582C" w14:textId="18B2D13B">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Ignores TVM: ARR like PBP does not take time value of money into account. </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 treatment of profits as though they happen gradually over the project can skew assessments of a project's true profitability particularly for projects with irregular cash flows (Hillier Grinblat and Titman 2017).</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1E9082F2" w:rsidP="49C42C81" w:rsidRDefault="1E9082F2" w14:paraId="7B2F0F48" w14:textId="1918A18E">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Dependency on Accounting Profits: Since the rate of return (ARR) is based on accounting profit rather than cash flows, non-cash items such as depreciation may have an impact. The outcome of this reliance may be deceptive and not accurately represent the project's economic reality (</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Attrill</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&amp; McLaney 2020). </w:t>
      </w:r>
    </w:p>
    <w:p w:rsidR="1E9082F2" w:rsidP="49C42C81" w:rsidRDefault="1E9082F2" w14:paraId="55D06A11" w14:textId="253561AD">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Lack of Consideration for Project Size: Because ARR does not distinguish between projects of </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various sizes</w:t>
      </w:r>
      <w:r w:rsidRPr="49C42C81" w:rsidR="1E9082F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it may result in the selection of less impactful smaller projects even if they have a higher ARR (Brealey Myers &amp; Allen 2020).</w:t>
      </w:r>
    </w:p>
    <w:p w:rsidR="49C42C81" w:rsidP="49C42C81" w:rsidRDefault="49C42C81" w14:paraId="650DEEAF" w14:textId="3C7062EC">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E9082F2" w:rsidP="37AF4E88" w:rsidRDefault="1E9082F2" w14:paraId="299FB40F" w14:textId="5978DAC9">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pPr>
      <w:r w:rsidRPr="37AF4E88" w:rsidR="1E9082F2">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4"/>
          <w:szCs w:val="24"/>
          <w:lang w:val="en-US" w:eastAsia="ja-JP" w:bidi="ar-SA"/>
        </w:rPr>
        <w:t>Shortcoming of NPV:</w:t>
      </w:r>
    </w:p>
    <w:p w:rsidR="49C42C81" w:rsidP="49C42C81" w:rsidRDefault="49C42C81" w14:paraId="2B7B2AA4" w14:textId="3D7772A2">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1E9082F2" w:rsidP="49C42C81" w:rsidRDefault="1E9082F2" w14:paraId="38CD4DD7" w14:textId="4FD7D604">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1E9082F2">
        <w:rPr>
          <w:rFonts w:ascii="Aptos" w:hAnsi="Aptos" w:eastAsia="Aptos" w:cs="Aptos"/>
          <w:b w:val="0"/>
          <w:bCs w:val="0"/>
          <w:i w:val="0"/>
          <w:iCs w:val="0"/>
          <w:caps w:val="0"/>
          <w:smallCaps w:val="0"/>
          <w:noProof w:val="0"/>
          <w:color w:val="000000" w:themeColor="text1" w:themeTint="FF" w:themeShade="FF"/>
          <w:sz w:val="24"/>
          <w:szCs w:val="24"/>
          <w:lang w:val="en-US"/>
        </w:rPr>
        <w:t xml:space="preserve">Complexity: The computation of NPV is more involved than that of PBP or ARR. According to Ross Westerfeld and Jaffe (2019) it </w:t>
      </w:r>
      <w:r w:rsidRPr="49C42C81" w:rsidR="1E9082F2">
        <w:rPr>
          <w:rFonts w:ascii="Aptos" w:hAnsi="Aptos" w:eastAsia="Aptos" w:cs="Aptos"/>
          <w:b w:val="0"/>
          <w:bCs w:val="0"/>
          <w:i w:val="0"/>
          <w:iCs w:val="0"/>
          <w:caps w:val="0"/>
          <w:smallCaps w:val="0"/>
          <w:noProof w:val="0"/>
          <w:color w:val="000000" w:themeColor="text1" w:themeTint="FF" w:themeShade="FF"/>
          <w:sz w:val="24"/>
          <w:szCs w:val="24"/>
          <w:lang w:val="en-US"/>
        </w:rPr>
        <w:t>necessitates</w:t>
      </w:r>
      <w:r w:rsidRPr="49C42C81" w:rsidR="1E9082F2">
        <w:rPr>
          <w:rFonts w:ascii="Aptos" w:hAnsi="Aptos" w:eastAsia="Aptos" w:cs="Aptos"/>
          <w:b w:val="0"/>
          <w:bCs w:val="0"/>
          <w:i w:val="0"/>
          <w:iCs w:val="0"/>
          <w:caps w:val="0"/>
          <w:smallCaps w:val="0"/>
          <w:noProof w:val="0"/>
          <w:color w:val="000000" w:themeColor="text1" w:themeTint="FF" w:themeShade="FF"/>
          <w:sz w:val="24"/>
          <w:szCs w:val="24"/>
          <w:lang w:val="en-US"/>
        </w:rPr>
        <w:t xml:space="preserve"> precise projection of future cash flows and the application of a suitable discount rate both of which can be difficult and arbitrary.</w:t>
      </w:r>
    </w:p>
    <w:p w:rsidR="1E9082F2" w:rsidP="49C42C81" w:rsidRDefault="1E9082F2" w14:paraId="636E16A1" w14:textId="6E925888">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1E9082F2">
        <w:rPr>
          <w:rFonts w:ascii="Aptos" w:hAnsi="Aptos" w:eastAsia="Aptos" w:cs="Aptos"/>
          <w:b w:val="0"/>
          <w:bCs w:val="0"/>
          <w:i w:val="0"/>
          <w:iCs w:val="0"/>
          <w:caps w:val="0"/>
          <w:smallCaps w:val="0"/>
          <w:noProof w:val="0"/>
          <w:color w:val="000000" w:themeColor="text1" w:themeTint="FF" w:themeShade="FF"/>
          <w:sz w:val="24"/>
          <w:szCs w:val="24"/>
          <w:lang w:val="en-US"/>
        </w:rPr>
        <w:t xml:space="preserve">Sensitivity to Discount Rate: The selected discount rate has a significant impact on the NPV calculations result. According to Brealey Myers and Allen (2020) even a slight variation in the rate can have a substantial impact on the net present value (NPV) which could result in poor decisions. </w:t>
      </w:r>
    </w:p>
    <w:p w:rsidR="1E9082F2" w:rsidP="49C42C81" w:rsidRDefault="1E9082F2" w14:paraId="2739989C" w14:textId="49D72BC8">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7AF4E88" w:rsidR="1E9082F2">
        <w:rPr>
          <w:rFonts w:ascii="Aptos" w:hAnsi="Aptos" w:eastAsia="Aptos" w:cs="Aptos"/>
          <w:b w:val="0"/>
          <w:bCs w:val="0"/>
          <w:i w:val="0"/>
          <w:iCs w:val="0"/>
          <w:caps w:val="0"/>
          <w:smallCaps w:val="0"/>
          <w:noProof w:val="0"/>
          <w:color w:val="000000" w:themeColor="text1" w:themeTint="FF" w:themeShade="FF"/>
          <w:sz w:val="24"/>
          <w:szCs w:val="24"/>
          <w:lang w:val="en-US"/>
        </w:rPr>
        <w:t xml:space="preserve">Possibility of Uncertain Forecasts: The NPV depends on how </w:t>
      </w:r>
      <w:r w:rsidRPr="37AF4E88" w:rsidR="1E9082F2">
        <w:rPr>
          <w:rFonts w:ascii="Aptos" w:hAnsi="Aptos" w:eastAsia="Aptos" w:cs="Aptos"/>
          <w:b w:val="0"/>
          <w:bCs w:val="0"/>
          <w:i w:val="0"/>
          <w:iCs w:val="0"/>
          <w:caps w:val="0"/>
          <w:smallCaps w:val="0"/>
          <w:noProof w:val="0"/>
          <w:color w:val="000000" w:themeColor="text1" w:themeTint="FF" w:themeShade="FF"/>
          <w:sz w:val="24"/>
          <w:szCs w:val="24"/>
          <w:lang w:val="en-US"/>
        </w:rPr>
        <w:t>accurate</w:t>
      </w:r>
      <w:r w:rsidRPr="37AF4E88" w:rsidR="1E9082F2">
        <w:rPr>
          <w:rFonts w:ascii="Aptos" w:hAnsi="Aptos" w:eastAsia="Aptos" w:cs="Aptos"/>
          <w:b w:val="0"/>
          <w:bCs w:val="0"/>
          <w:i w:val="0"/>
          <w:iCs w:val="0"/>
          <w:caps w:val="0"/>
          <w:smallCaps w:val="0"/>
          <w:noProof w:val="0"/>
          <w:color w:val="000000" w:themeColor="text1" w:themeTint="FF" w:themeShade="FF"/>
          <w:sz w:val="24"/>
          <w:szCs w:val="24"/>
          <w:lang w:val="en-US"/>
        </w:rPr>
        <w:t xml:space="preserve"> future cash flow projections are. These projections may prove to be erratic or challenging to forecast especially for extended undertakings potentially leading to inaccurate project assessments (Hillier Grinblat &amp; Titman 2017).</w:t>
      </w:r>
    </w:p>
    <w:p w:rsidR="49C42C81" w:rsidP="37AF4E88" w:rsidRDefault="49C42C81" w14:paraId="6FE7F4F6" w14:textId="6598C370">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9C42C81" w:rsidP="37AF4E88" w:rsidRDefault="49C42C81" w14:paraId="08D5ABAA" w14:textId="088E730B">
      <w:pPr>
        <w:pStyle w:val="Normal"/>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32"/>
          <w:szCs w:val="32"/>
          <w:lang w:val="en-US"/>
        </w:rPr>
      </w:pPr>
      <w:r w:rsidRPr="37AF4E88" w:rsidR="7C50AC44">
        <w:rPr>
          <w:rFonts w:ascii="Aptos" w:hAnsi="Aptos" w:eastAsia="Aptos" w:cs="Aptos"/>
          <w:b w:val="1"/>
          <w:bCs w:val="1"/>
          <w:i w:val="0"/>
          <w:iCs w:val="0"/>
          <w:caps w:val="0"/>
          <w:smallCaps w:val="0"/>
          <w:noProof w:val="0"/>
          <w:color w:val="000000" w:themeColor="text1" w:themeTint="FF" w:themeShade="FF"/>
          <w:sz w:val="32"/>
          <w:szCs w:val="32"/>
          <w:lang w:val="en-US"/>
        </w:rPr>
        <w:t xml:space="preserve">Non-Financial </w:t>
      </w:r>
      <w:r w:rsidRPr="37AF4E88" w:rsidR="7C50AC44">
        <w:rPr>
          <w:rFonts w:ascii="Aptos" w:hAnsi="Aptos" w:eastAsia="Aptos" w:cs="Aptos"/>
          <w:b w:val="1"/>
          <w:bCs w:val="1"/>
          <w:i w:val="0"/>
          <w:iCs w:val="0"/>
          <w:caps w:val="0"/>
          <w:smallCaps w:val="0"/>
          <w:noProof w:val="0"/>
          <w:color w:val="000000" w:themeColor="text1" w:themeTint="FF" w:themeShade="FF"/>
          <w:sz w:val="32"/>
          <w:szCs w:val="32"/>
          <w:lang w:val="en-US"/>
        </w:rPr>
        <w:t>Factors</w:t>
      </w:r>
      <w:r w:rsidRPr="37AF4E88" w:rsidR="7C50AC44">
        <w:rPr>
          <w:rFonts w:ascii="Aptos" w:hAnsi="Aptos" w:eastAsia="Aptos" w:cs="Aptos"/>
          <w:b w:val="1"/>
          <w:bCs w:val="1"/>
          <w:i w:val="0"/>
          <w:iCs w:val="0"/>
          <w:caps w:val="0"/>
          <w:smallCaps w:val="0"/>
          <w:noProof w:val="0"/>
          <w:color w:val="000000" w:themeColor="text1" w:themeTint="FF" w:themeShade="FF"/>
          <w:sz w:val="32"/>
          <w:szCs w:val="32"/>
          <w:lang w:val="en-US"/>
        </w:rPr>
        <w:t>:</w:t>
      </w:r>
    </w:p>
    <w:p w:rsidR="49C42C81" w:rsidP="37AF4E88" w:rsidRDefault="49C42C81" w14:paraId="4793D8AE" w14:textId="4EBA2BEC">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9C42C81" w:rsidP="37AF4E88" w:rsidRDefault="49C42C81" w14:paraId="756ADC99" w14:textId="1EAECABC">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Alongside conventional financial measures like the Payback Period (PBP), Accounting Rate of Return (ARR) and Net Present Value (NPV) non-financial considerations must be considered when assessing capital projects. Even though they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don't</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directly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impact</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the short-term financial returns, non-financial factors can have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a big impact</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on a project's long-term viability and sustainability. These variables may be operational strategic social environmental or connected to the overarching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objectives</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and core values of the business.</w:t>
      </w:r>
    </w:p>
    <w:p w:rsidR="37AF4E88" w:rsidP="37AF4E88" w:rsidRDefault="37AF4E88" w14:paraId="39109F96" w14:textId="1D5663C2">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C50AC44" w:rsidP="37AF4E88" w:rsidRDefault="7C50AC44" w14:paraId="10727F45" w14:textId="30DE73DD">
      <w:pPr>
        <w:pStyle w:val="Normal"/>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28"/>
          <w:szCs w:val="28"/>
          <w:lang w:val="en-US"/>
        </w:rPr>
      </w:pPr>
      <w:r w:rsidRPr="37AF4E88" w:rsidR="7C50AC44">
        <w:rPr>
          <w:rFonts w:ascii="Aptos" w:hAnsi="Aptos" w:eastAsia="Aptos" w:cs="Aptos"/>
          <w:b w:val="1"/>
          <w:bCs w:val="1"/>
          <w:i w:val="0"/>
          <w:iCs w:val="0"/>
          <w:caps w:val="0"/>
          <w:smallCaps w:val="0"/>
          <w:noProof w:val="0"/>
          <w:color w:val="000000" w:themeColor="text1" w:themeTint="FF" w:themeShade="FF"/>
          <w:sz w:val="28"/>
          <w:szCs w:val="28"/>
          <w:lang w:val="en-US"/>
        </w:rPr>
        <w:t>Strategic Alignment:</w:t>
      </w:r>
    </w:p>
    <w:p w:rsidR="7C50AC44" w:rsidP="37AF4E88" w:rsidRDefault="7C50AC44" w14:paraId="2ECF38D0" w14:textId="24658A51">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The strategic alignment of a project with the long-term goals and vision of the company is one of the most important non-financial factors. Even when their short-term financial metrics are not as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good,</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projects that help a company achieve its strategic goals—like breaking into new markets, improving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innovation</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xml:space="preserve"> or forging a stronger brand—can have a major positive impact </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in the long run</w:t>
      </w:r>
      <w:r w:rsidRPr="37AF4E88" w:rsidR="7C50AC44">
        <w:rPr>
          <w:rFonts w:ascii="Aptos" w:hAnsi="Aptos" w:eastAsia="Aptos" w:cs="Aptos"/>
          <w:b w:val="0"/>
          <w:bCs w:val="0"/>
          <w:i w:val="0"/>
          <w:iCs w:val="0"/>
          <w:caps w:val="0"/>
          <w:smallCaps w:val="0"/>
          <w:noProof w:val="0"/>
          <w:color w:val="000000" w:themeColor="text1" w:themeTint="FF" w:themeShade="FF"/>
          <w:sz w:val="24"/>
          <w:szCs w:val="24"/>
          <w:lang w:val="en-US"/>
        </w:rPr>
        <w:t>. Ignoring strategic alignment may lead to short-term profitable projects that are harmful to the company's long-term standing in the industry (Kaplan and Norton 2004).</w:t>
      </w:r>
    </w:p>
    <w:p w:rsidR="37AF4E88" w:rsidP="37AF4E88" w:rsidRDefault="37AF4E88" w14:paraId="3FCE3088" w14:textId="745F8CAA">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C50AC44" w:rsidP="37AF4E88" w:rsidRDefault="7C50AC44" w14:paraId="7320AB33" w14:textId="1BE35BEC">
      <w:pPr>
        <w:pStyle w:val="Normal"/>
        <w:suppressLineNumbers w:val="0"/>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28"/>
          <w:szCs w:val="28"/>
          <w:lang w:val="en-US"/>
        </w:rPr>
      </w:pPr>
      <w:r w:rsidRPr="37AF4E88" w:rsidR="7C50AC44">
        <w:rPr>
          <w:rFonts w:ascii="Aptos" w:hAnsi="Aptos" w:eastAsia="Aptos" w:cs="Aptos"/>
          <w:b w:val="1"/>
          <w:bCs w:val="1"/>
          <w:i w:val="0"/>
          <w:iCs w:val="0"/>
          <w:caps w:val="0"/>
          <w:smallCaps w:val="0"/>
          <w:noProof w:val="0"/>
          <w:color w:val="000000" w:themeColor="text1" w:themeTint="FF" w:themeShade="FF"/>
          <w:sz w:val="28"/>
          <w:szCs w:val="28"/>
          <w:lang w:val="en-US"/>
        </w:rPr>
        <w:t>Regulatory Compliance and Environmental Impact:</w:t>
      </w:r>
    </w:p>
    <w:p w:rsidR="7C50AC44" w:rsidP="37AF4E88" w:rsidRDefault="7C50AC44" w14:paraId="1AED6456" w14:textId="32D5F4FD">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Another crucial </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component</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is regulatory compliance since noncompliant projects put the business at risk of penalties, legal </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troubles</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and reputational harm. In a similar vein when stakeholders—such as clients staff members and investors—become more concerned with sustainability the environmental impact of a project assumes greater significance. Initiatives that lessen environmental damage or advance sustainability </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objectives</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can improve a business standing and lower the risk of regulatory changes (Hoffman 2007 Epstein and Bukovac 2014)</w:t>
      </w:r>
    </w:p>
    <w:p w:rsidR="37AF4E88" w:rsidP="37AF4E88" w:rsidRDefault="37AF4E88" w14:paraId="5D7CB010" w14:textId="34AB2C67">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C50AC44" w:rsidP="37AF4E88" w:rsidRDefault="7C50AC44" w14:paraId="481D92EE" w14:textId="72C584D0">
      <w:pPr>
        <w:pStyle w:val="Normal"/>
        <w:suppressLineNumbers w:val="0"/>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28"/>
          <w:szCs w:val="28"/>
          <w:lang w:val="en-US"/>
        </w:rPr>
      </w:pPr>
      <w:r w:rsidRPr="37AF4E88" w:rsidR="7C50AC44">
        <w:rPr>
          <w:rFonts w:ascii="Aptos" w:hAnsi="Aptos" w:eastAsia="Aptos" w:cs="Aptos"/>
          <w:b w:val="1"/>
          <w:bCs w:val="1"/>
          <w:i w:val="0"/>
          <w:iCs w:val="0"/>
          <w:caps w:val="0"/>
          <w:smallCaps w:val="0"/>
          <w:noProof w:val="0"/>
          <w:color w:val="000000" w:themeColor="text1" w:themeTint="FF" w:themeShade="FF"/>
          <w:sz w:val="28"/>
          <w:szCs w:val="28"/>
          <w:lang w:val="en-US"/>
        </w:rPr>
        <w:t>Reputation and Brand Value:</w:t>
      </w:r>
    </w:p>
    <w:p w:rsidR="7C50AC44" w:rsidP="37AF4E88" w:rsidRDefault="7C50AC44" w14:paraId="47E06C64" w14:textId="59AD3297">
      <w:pPr>
        <w:pStyle w:val="Normal"/>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 potential impact of a project on the company’s reputation and brand value is a significant consideration. Projects that enhance the brand by improving customer satisfaction, corporate social responsibility (CSR), or innovation can have long-term benefits that go beyond immediate financial returns. Conversely, projects that damage the brand—such as those associated with ethical issues or poor customer experiences—can lead to long-term financial losses. (Aaker, 1996; Porter &amp; Kramer, 2006)</w:t>
      </w:r>
    </w:p>
    <w:p w:rsidR="37AF4E88" w:rsidP="37AF4E88" w:rsidRDefault="37AF4E88" w14:paraId="57E82E61" w14:textId="0870C70B">
      <w:pPr>
        <w:pStyle w:val="Normal"/>
        <w:bidi w:val="0"/>
        <w:spacing w:before="0" w:beforeAutospacing="off" w:after="160" w:afterAutospacing="off" w:line="276" w:lineRule="auto"/>
        <w:ind w:left="0" w:right="0"/>
        <w:jc w:val="left"/>
        <w:rPr>
          <w:rFonts w:ascii="Aptos" w:hAnsi="Aptos" w:eastAsia="Aptos" w:cs="Aptos"/>
          <w:noProof w:val="0"/>
          <w:sz w:val="24"/>
          <w:szCs w:val="24"/>
          <w:lang w:val="en-US"/>
        </w:rPr>
      </w:pPr>
    </w:p>
    <w:p w:rsidR="7C50AC44" w:rsidP="37AF4E88" w:rsidRDefault="7C50AC44" w14:paraId="19588D8A" w14:textId="4AE2FAEB">
      <w:pPr>
        <w:pStyle w:val="Normal"/>
        <w:bidi w:val="0"/>
        <w:spacing w:before="0" w:beforeAutospacing="off" w:after="160" w:afterAutospacing="off" w:line="276" w:lineRule="auto"/>
        <w:ind w:left="0" w:right="0"/>
        <w:jc w:val="left"/>
        <w:rPr>
          <w:rFonts w:ascii="Aptos" w:hAnsi="Aptos" w:eastAsia="Aptos" w:cs="Aptos"/>
          <w:b w:val="1"/>
          <w:bCs w:val="1"/>
          <w:i w:val="0"/>
          <w:iCs w:val="0"/>
          <w:caps w:val="0"/>
          <w:smallCaps w:val="0"/>
          <w:noProof w:val="0"/>
          <w:color w:val="000000" w:themeColor="text1" w:themeTint="FF" w:themeShade="FF"/>
          <w:sz w:val="28"/>
          <w:szCs w:val="28"/>
          <w:lang w:val="en-US"/>
        </w:rPr>
      </w:pPr>
      <w:r w:rsidRPr="37AF4E88" w:rsidR="7C50AC44">
        <w:rPr>
          <w:rFonts w:ascii="Aptos" w:hAnsi="Aptos" w:eastAsia="Aptos" w:cs="Apto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Employee and Stakeholder Impact:</w:t>
      </w:r>
    </w:p>
    <w:p w:rsidR="7C50AC44" w:rsidP="37AF4E88" w:rsidRDefault="7C50AC44" w14:paraId="1A2A790D" w14:textId="1BB448BD">
      <w:pPr>
        <w:pStyle w:val="Normal"/>
        <w:bidi w:val="0"/>
        <w:spacing w:before="0" w:beforeAutospacing="off" w:after="160" w:afterAutospacing="off" w:line="276" w:lineRule="auto"/>
        <w:ind w:left="0" w:right="0"/>
        <w:jc w:val="left"/>
      </w:pPr>
      <w:r w:rsidRPr="37AF4E88" w:rsidR="7C50AC44">
        <w:rPr>
          <w:rFonts w:ascii="Aptos" w:hAnsi="Aptos" w:eastAsia="Aptos" w:cs="Aptos"/>
          <w:noProof w:val="0"/>
          <w:sz w:val="24"/>
          <w:szCs w:val="24"/>
          <w:lang w:val="en-US"/>
        </w:rPr>
        <w:t>The impact of a project on employees and other stakeholders is crucial, as projects that lead to improved employee satisfaction, better working conditions, or stronger stakeholder relationships can increase productivity and loyalty. For example, investing in a project that improves workplace safety or employee development may not show immediate financial returns but can reduce turnover, increase employee engagement, and improve overall performance (Freeman, 1984; Pfeffer, 1998).</w:t>
      </w:r>
    </w:p>
    <w:p w:rsidR="37AF4E88" w:rsidP="37AF4E88" w:rsidRDefault="37AF4E88" w14:paraId="319B6911" w14:textId="414AE8D4">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C50AC44" w:rsidP="37AF4E88" w:rsidRDefault="7C50AC44" w14:paraId="5295B4D3" w14:textId="48C6BB13">
      <w:pPr>
        <w:pStyle w:val="Normal"/>
        <w:suppressLineNumbers w:val="0"/>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37AF4E88" w:rsidR="7C50AC44">
        <w:rPr>
          <w:rFonts w:ascii="Aptos" w:hAnsi="Aptos" w:eastAsia="Aptos" w:cs="Apto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Market and Competitive Positioning:</w:t>
      </w:r>
    </w:p>
    <w:p w:rsidR="7C50AC44" w:rsidP="37AF4E88" w:rsidRDefault="7C50AC44" w14:paraId="60942CB4" w14:textId="6A8E74FA">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Projects that enhance a company’s competitive positioning in the market, such as those that build barriers to entry or strengthen relationships with key customers and suppliers, are essential for long-term success. While these projects may not always have the highest NPV or ARR, they can secure market share and create sustainable competitive advantages (Porter, 1980).</w:t>
      </w:r>
    </w:p>
    <w:p w:rsidR="37AF4E88" w:rsidP="37AF4E88" w:rsidRDefault="37AF4E88" w14:paraId="7658A738" w14:textId="64CB1551">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C50AC44" w:rsidP="37AF4E88" w:rsidRDefault="7C50AC44" w14:paraId="140B1F6A" w14:textId="65E971B7">
      <w:pPr>
        <w:pStyle w:val="Normal"/>
        <w:suppressLineNumbers w:val="0"/>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pPr>
      <w:r w:rsidRPr="37AF4E88" w:rsidR="7C50AC44">
        <w:rPr>
          <w:rFonts w:ascii="Aptos" w:hAnsi="Aptos" w:eastAsia="Aptos" w:cs="Aptos" w:asciiTheme="minorAscii" w:hAnsiTheme="minorAscii" w:eastAsiaTheme="minorEastAsia" w:cstheme="minorBidi"/>
          <w:b w:val="1"/>
          <w:bCs w:val="1"/>
          <w:i w:val="0"/>
          <w:iCs w:val="0"/>
          <w:caps w:val="0"/>
          <w:smallCaps w:val="0"/>
          <w:noProof w:val="0"/>
          <w:color w:val="000000" w:themeColor="text1" w:themeTint="FF" w:themeShade="FF"/>
          <w:sz w:val="28"/>
          <w:szCs w:val="28"/>
          <w:lang w:val="en-US" w:eastAsia="ja-JP" w:bidi="ar-SA"/>
        </w:rPr>
        <w:t>Social and Ethical Considerations:</w:t>
      </w:r>
    </w:p>
    <w:p w:rsidR="7C50AC44" w:rsidP="37AF4E88" w:rsidRDefault="7C50AC44" w14:paraId="064DD078" w14:textId="22BBE2C1">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 social and ethical implications of a project are increasingly important in today’s business environment. Projects that contribute positively to society, whether through job creation, community engagement, or ethical sourcing, can enhance a company’s repu</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tation and lead to long-term sustainability. Conversely, projects that neglect social and ethical considerations may face backlash from consumers, activists, and investors, leading to reputational damage and </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financial loss</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(Elkington, 1997).</w:t>
      </w:r>
    </w:p>
    <w:p w:rsidR="37AF4E88" w:rsidP="37AF4E88" w:rsidRDefault="37AF4E88" w14:paraId="12A039CB" w14:textId="00876BF7">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7C50AC44" w:rsidP="37AF4E88" w:rsidRDefault="7C50AC44" w14:paraId="76D8476F" w14:textId="09CB18C9">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While financial metrics like PBP, ARR, and NPV are essential for evaluating capital projects, non-financial factors play a critical role in </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determining</w:t>
      </w:r>
      <w:r w:rsidRPr="37AF4E88" w:rsidR="7C50AC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 overall value and success of a project. Strategic alignment, regulatory compliance, reputation, stakeholder impact, market positioning, technological advancement, and social considerations are all crucial in making informed, holistic decisions. By considering these non-financial factors, companies can ensure that their projects not only deliver financial returns but also support long-term growth and sustainability.</w:t>
      </w:r>
    </w:p>
    <w:p w:rsidR="37AF4E88" w:rsidP="37AF4E88" w:rsidRDefault="37AF4E88" w14:paraId="4EC3D3AB" w14:textId="1C1A8182">
      <w:pPr>
        <w:pStyle w:val="Normal"/>
        <w:suppressLineNumbers w:val="0"/>
        <w:bidi w:val="0"/>
        <w:spacing w:before="0" w:beforeAutospacing="off" w:after="160" w:afterAutospacing="off" w:line="276"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7AF4E88" w:rsidP="37AF4E88" w:rsidRDefault="37AF4E88" w14:paraId="4A134805" w14:textId="459E6CCE">
      <w:pPr>
        <w:pStyle w:val="Normal"/>
        <w:bidi w:val="0"/>
        <w:spacing w:before="0" w:beforeAutospacing="off" w:after="160" w:afterAutospacing="off" w:line="276" w:lineRule="auto"/>
        <w:ind w:left="0" w:right="0"/>
        <w:jc w:val="left"/>
        <w:rPr>
          <w:rFonts w:ascii="Aptos" w:hAnsi="Aptos" w:eastAsia="Aptos" w:cs="Aptos"/>
          <w:noProof w:val="0"/>
          <w:sz w:val="24"/>
          <w:szCs w:val="24"/>
          <w:lang w:val="en-US"/>
        </w:rPr>
      </w:pPr>
    </w:p>
    <w:p w:rsidR="37AF4E88" w:rsidP="37AF4E88" w:rsidRDefault="37AF4E88" w14:paraId="124F3340" w14:textId="7AB9A8C3">
      <w:pPr>
        <w:pStyle w:val="Normal"/>
        <w:bidi w:val="0"/>
        <w:spacing w:before="0" w:beforeAutospacing="off" w:after="160" w:afterAutospacing="off" w:line="276" w:lineRule="auto"/>
        <w:ind w:left="0" w:right="0"/>
        <w:jc w:val="left"/>
        <w:rPr>
          <w:rFonts w:ascii="Libre Baskerville" w:hAnsi="Libre Baskerville" w:eastAsia="Libre Baskerville" w:cs="Libre Baskerville"/>
          <w:b w:val="0"/>
          <w:bCs w:val="0"/>
          <w:i w:val="0"/>
          <w:iCs w:val="0"/>
          <w:caps w:val="0"/>
          <w:smallCaps w:val="0"/>
          <w:noProof w:val="0"/>
          <w:color w:val="7A7C7F"/>
          <w:sz w:val="34"/>
          <w:szCs w:val="34"/>
          <w:lang w:val="en-US"/>
        </w:rPr>
      </w:pPr>
    </w:p>
    <w:p w:rsidR="37AF4E88" w:rsidP="37AF4E88" w:rsidRDefault="37AF4E88" w14:paraId="510CE7A0" w14:textId="1EA3AFE1">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9C42C81" w:rsidP="49C42C81" w:rsidRDefault="49C42C81" w14:paraId="1066B26D" w14:textId="7E82EF35">
      <w:pPr>
        <w:pStyle w:val="Normal"/>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49C42C81" w:rsidP="49C42C81" w:rsidRDefault="49C42C81" w14:paraId="79D28DD7" w14:textId="37798F22">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9C42C81" w:rsidP="49C42C81" w:rsidRDefault="49C42C81" w14:paraId="4BC72536" w14:textId="596992AD">
      <w:pPr>
        <w:pStyle w:val="Normal"/>
        <w:bidi w:val="0"/>
        <w:spacing w:before="0" w:beforeAutospacing="off" w:after="160" w:afterAutospacing="off" w:line="276"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9C42C81" w:rsidRDefault="49C42C81" w14:paraId="64E7F992" w14:textId="5D64943A">
      <w:r>
        <w:br w:type="page"/>
      </w:r>
    </w:p>
    <w:p w:rsidR="4DEAEF21" w:rsidP="49C42C81" w:rsidRDefault="4DEAEF21" w14:paraId="4953EF82" w14:textId="08D4D2B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References:</w:t>
      </w:r>
    </w:p>
    <w:p w:rsidR="49C42C81" w:rsidP="49C42C81" w:rsidRDefault="49C42C81" w14:paraId="13AD95EE" w14:textId="62599D1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9C42C81" w:rsidP="49C42C81" w:rsidRDefault="49C42C81" w14:paraId="196A15AB" w14:textId="0E0A593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DEAEF21" w:rsidP="49C42C81" w:rsidRDefault="4DEAEF21" w14:paraId="35DCF4EB" w14:textId="554E2FC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Tata Motors. (n.d.). About Tata Motors. Retrieved from Tata Motors </w:t>
      </w:r>
    </w:p>
    <w:p w:rsidR="4DEAEF21" w:rsidP="49C42C81" w:rsidRDefault="4DEAEF21" w14:paraId="62B1E60B" w14:textId="4262C86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4DEAEF21" w:rsidP="49C42C81" w:rsidRDefault="4DEAEF21" w14:paraId="3B04B7A8" w14:textId="29DB457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Mahindra &amp; Mahindra. (n.d.). About Mahindra. Retrieved from Mahindra </w:t>
      </w:r>
    </w:p>
    <w:p w:rsidR="4DEAEF21" w:rsidP="49C42C81" w:rsidRDefault="4DEAEF21" w14:paraId="1E58067E" w14:textId="23255C4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4DEAEF21" w:rsidP="49C42C81" w:rsidRDefault="4DEAEF21" w14:paraId="53A1C976" w14:textId="3333255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Business Standard. "Mahindra &amp; Mahindra appoints Anish Shah as MD &amp; CEO from April 2021." Retrieved from Business Standard </w:t>
      </w:r>
    </w:p>
    <w:p w:rsidR="4DEAEF21" w:rsidP="49C42C81" w:rsidRDefault="4DEAEF21" w14:paraId="1F2DF4B7" w14:textId="7D471B6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4DEAEF21" w:rsidP="49C42C81" w:rsidRDefault="4DEAEF21" w14:paraId="25A96AB2" w14:textId="0EDB69E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Economic Times. "Tata Motors posts Q4 loss of Rs 9,864 crore; JLR drives in profits." Retrieved from Economic Times </w:t>
      </w:r>
    </w:p>
    <w:p w:rsidR="4DEAEF21" w:rsidP="49C42C81" w:rsidRDefault="4DEAEF21" w14:paraId="158A4403" w14:textId="713580A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4DEAEF21" w:rsidP="49C42C81" w:rsidRDefault="4DEAEF21" w14:paraId="04402CD0" w14:textId="28F3E3C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4DEAEF21">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Financial Express. "Mahindra &amp; Mahindra to separate EV business into a new entity." Retrieved from Financial Express</w:t>
      </w:r>
    </w:p>
    <w:p w:rsidR="49C42C81" w:rsidP="49C42C81" w:rsidRDefault="49C42C81" w14:paraId="7984BDF1" w14:textId="25E185B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9C42C81" w:rsidP="49C42C81" w:rsidRDefault="49C42C81" w14:paraId="0AF8F8A6" w14:textId="776908F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0EAD029" w:rsidP="49C42C81" w:rsidRDefault="30EAD029" w14:paraId="73CD9AF0" w14:textId="145F65F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Tata Motors. (n.d.). About Tata Motors. Retrieved from Tata Motors </w:t>
      </w:r>
    </w:p>
    <w:p w:rsidR="30EAD029" w:rsidP="49C42C81" w:rsidRDefault="30EAD029" w14:paraId="1EED0C6E" w14:textId="4E44C00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30EAD029" w:rsidP="49C42C81" w:rsidRDefault="30EAD029" w14:paraId="094839A6" w14:textId="05EE2D4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Health Careers. "Roles for Doctors." Available at: Health Careers </w:t>
      </w:r>
    </w:p>
    <w:p w:rsidR="30EAD029" w:rsidP="49C42C81" w:rsidRDefault="30EAD029" w14:paraId="340BDA1C" w14:textId="378541A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30EAD029" w:rsidP="49C42C81" w:rsidRDefault="30EAD029" w14:paraId="4206460B" w14:textId="722DBD0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NHS England. "Consultant Job Planning Best Practice Guidance." Available at: NHS England </w:t>
      </w:r>
    </w:p>
    <w:p w:rsidR="30EAD029" w:rsidP="49C42C81" w:rsidRDefault="30EAD029" w14:paraId="460FBA82" w14:textId="0A1372D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30EAD029" w:rsidP="49C42C81" w:rsidRDefault="30EAD029" w14:paraId="5014D084" w14:textId="5577840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0EAD02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Health Careers. "Career Opportunities for Doctors." Available at: Health Careers</w:t>
      </w:r>
    </w:p>
    <w:p w:rsidR="49C42C81" w:rsidP="49C42C81" w:rsidRDefault="49C42C81" w14:paraId="6179A09A" w14:textId="61CC011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589C5EDC" w14:textId="32FDB6B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Aaker, D. A. (1996). Building Strong Brands. Free Press.</w:t>
      </w:r>
    </w:p>
    <w:p w:rsidR="49C42C81" w:rsidP="49C42C81" w:rsidRDefault="49C42C81" w14:paraId="1F7C02DE" w14:textId="18487E9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462101F9" w:rsidP="49C42C81" w:rsidRDefault="462101F9" w14:paraId="32305976" w14:textId="7F92F8FC">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462101F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Attrill</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P., &amp; McLaney, E. (2020). Accounting and Finance for Non-Specialists (11th ed.). Pearson Education.</w:t>
      </w:r>
    </w:p>
    <w:p w:rsidR="49C42C81" w:rsidP="49C42C81" w:rsidRDefault="49C42C81" w14:paraId="6AFC2B43" w14:textId="7C8272FC">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7E6EA4B5" w14:textId="55D15A6F">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Brealey, R. A., Myers, S. C., &amp; Allen, F. (2020).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Principles of Corporate Finance</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(13th ed.). McGraw-Hill Education.</w:t>
      </w:r>
    </w:p>
    <w:p w:rsidR="49C42C81" w:rsidP="49C42C81" w:rsidRDefault="49C42C81" w14:paraId="184092FE" w14:textId="21716CAC">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48FC8125" w14:textId="6AC1E4D0">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Drury, C. (2018).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Management and Cost Accounting</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(10th ed.). Cengage Learning.</w:t>
      </w:r>
    </w:p>
    <w:p w:rsidR="3B657FE4" w:rsidP="49C42C81" w:rsidRDefault="3B657FE4" w14:paraId="4453B09B" w14:textId="79FDABE6">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Freeman, R. E. (1984).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Strategic Management: A Stakeholder Approach</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Pitman Publishing.</w:t>
      </w:r>
    </w:p>
    <w:p w:rsidR="49C42C81" w:rsidP="49C42C81" w:rsidRDefault="49C42C81" w14:paraId="10A14F9E" w14:textId="320B5121">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3001954E" w14:textId="065100AB">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Hillier, D.,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Grinblatt</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M., &amp; Titman, S. (2017).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Financial Markets and Corporate Strategy</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(3rd ed.). McGraw-Hill Education.</w:t>
      </w:r>
    </w:p>
    <w:p w:rsidR="49C42C81" w:rsidP="49C42C81" w:rsidRDefault="49C42C81" w14:paraId="2C820FDD" w14:textId="08EDA06B">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145C7870" w14:textId="6E690C63">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Hoffman, A. J. (2007).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Carbon Strategies: How Leading Companies Are Reducing Their Climate Change Footprint</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University of Michigan Press.</w:t>
      </w:r>
    </w:p>
    <w:p w:rsidR="49C42C81" w:rsidP="49C42C81" w:rsidRDefault="49C42C81" w14:paraId="5C7F1F97" w14:textId="72F60324">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2D858636" w14:textId="0B71B349">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Kaplan, R. S., &amp; Norton, D. P. (2004).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Strategy Maps: Converting Intangible Assets into Tangible Outcomes</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Harvard Business Review Press.</w:t>
      </w:r>
    </w:p>
    <w:p w:rsidR="49C42C81" w:rsidP="49C42C81" w:rsidRDefault="49C42C81" w14:paraId="7A720625" w14:textId="484E55E2">
      <w:pPr>
        <w:pStyle w:val="Normal"/>
        <w:bidi w:val="0"/>
        <w:spacing w:before="0" w:beforeAutospacing="off" w:after="0" w:afterAutospacing="off"/>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3B657FE4" w:rsidP="49C42C81" w:rsidRDefault="3B657FE4" w14:paraId="74A0FED4" w14:textId="1AEE939E">
      <w:pPr>
        <w:pStyle w:val="Normal"/>
        <w:bidi w:val="0"/>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Ross, S. A.,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Westerfield</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R. W., &amp; Jaffe, J. (2019). </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Corporate Finance</w:t>
      </w:r>
      <w:r w:rsidRPr="49C42C81" w:rsidR="3B657FE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(12th ed.). McGraw-Hill Education.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DtErkKB" int2:invalidationBookmarkName="" int2:hashCode="HQCgstOd9l+t7N" int2:id="Z6XGeOvC">
      <int2:state int2:type="WordDesignerPullQuotesAnnotation" int2:value="Reviewed"/>
    </int2:bookmark>
    <int2:bookmark int2:bookmarkName="_Int_MsBP54R0" int2:invalidationBookmarkName="" int2:hashCode="wktW868PbEdTVc" int2:id="cNuUuLyk">
      <int2:state int2:type="WordDesignerPullQuotesAnnotation" int2:value="Reviewed"/>
    </int2:bookmark>
    <int2:bookmark int2:bookmarkName="_Int_SOLHQwgw" int2:invalidationBookmarkName="" int2:hashCode="xaFgF/8icc6E82" int2:id="1JBSsmV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bdc5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59d6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1be0f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1a0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c86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1092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77B09"/>
    <w:rsid w:val="002A9A6F"/>
    <w:rsid w:val="0039A7D3"/>
    <w:rsid w:val="0055896E"/>
    <w:rsid w:val="006FD5D8"/>
    <w:rsid w:val="01181973"/>
    <w:rsid w:val="016A08D1"/>
    <w:rsid w:val="028EDCAB"/>
    <w:rsid w:val="02F1001C"/>
    <w:rsid w:val="030E8FE8"/>
    <w:rsid w:val="0324DCE3"/>
    <w:rsid w:val="03409F94"/>
    <w:rsid w:val="039E046F"/>
    <w:rsid w:val="03B785E1"/>
    <w:rsid w:val="04231CDF"/>
    <w:rsid w:val="04555352"/>
    <w:rsid w:val="04555352"/>
    <w:rsid w:val="0484DDE1"/>
    <w:rsid w:val="04C9E818"/>
    <w:rsid w:val="04DA381D"/>
    <w:rsid w:val="04FFC008"/>
    <w:rsid w:val="05C5F020"/>
    <w:rsid w:val="05F280E0"/>
    <w:rsid w:val="07C27AA3"/>
    <w:rsid w:val="07C27AA3"/>
    <w:rsid w:val="08117090"/>
    <w:rsid w:val="089B8F6F"/>
    <w:rsid w:val="08CD6850"/>
    <w:rsid w:val="08CFA830"/>
    <w:rsid w:val="08E35801"/>
    <w:rsid w:val="0A1A21A9"/>
    <w:rsid w:val="0A570A6E"/>
    <w:rsid w:val="0A570A6E"/>
    <w:rsid w:val="0B382F8E"/>
    <w:rsid w:val="0CB2EDF6"/>
    <w:rsid w:val="0D5D8015"/>
    <w:rsid w:val="0E1EA92D"/>
    <w:rsid w:val="0E510134"/>
    <w:rsid w:val="0E683B21"/>
    <w:rsid w:val="0EB7C0E5"/>
    <w:rsid w:val="100F7976"/>
    <w:rsid w:val="10266BD5"/>
    <w:rsid w:val="1050916B"/>
    <w:rsid w:val="105FE641"/>
    <w:rsid w:val="10F2D659"/>
    <w:rsid w:val="11154466"/>
    <w:rsid w:val="11481496"/>
    <w:rsid w:val="11A59DA9"/>
    <w:rsid w:val="12501703"/>
    <w:rsid w:val="142CA6C4"/>
    <w:rsid w:val="15C290F5"/>
    <w:rsid w:val="160CCC7F"/>
    <w:rsid w:val="16732E44"/>
    <w:rsid w:val="1715BE9F"/>
    <w:rsid w:val="179BEB53"/>
    <w:rsid w:val="17EC14C9"/>
    <w:rsid w:val="1854F9E3"/>
    <w:rsid w:val="18A45B21"/>
    <w:rsid w:val="18BB62C7"/>
    <w:rsid w:val="18C09D76"/>
    <w:rsid w:val="18CEF081"/>
    <w:rsid w:val="19F64259"/>
    <w:rsid w:val="1A45C45B"/>
    <w:rsid w:val="1A5CCEBC"/>
    <w:rsid w:val="1B064EC3"/>
    <w:rsid w:val="1CC6D556"/>
    <w:rsid w:val="1D908453"/>
    <w:rsid w:val="1DE370E0"/>
    <w:rsid w:val="1E768D8F"/>
    <w:rsid w:val="1E9082F2"/>
    <w:rsid w:val="1F2F493E"/>
    <w:rsid w:val="1FB65EFE"/>
    <w:rsid w:val="21174B9F"/>
    <w:rsid w:val="2215C1D4"/>
    <w:rsid w:val="22BD0001"/>
    <w:rsid w:val="234C6736"/>
    <w:rsid w:val="2386DFB8"/>
    <w:rsid w:val="23A94FE1"/>
    <w:rsid w:val="23DDF96A"/>
    <w:rsid w:val="24890ED0"/>
    <w:rsid w:val="24D7692C"/>
    <w:rsid w:val="24E18C4B"/>
    <w:rsid w:val="2551CF20"/>
    <w:rsid w:val="257BC589"/>
    <w:rsid w:val="25BDBE07"/>
    <w:rsid w:val="26336CB4"/>
    <w:rsid w:val="2636FC32"/>
    <w:rsid w:val="26871C03"/>
    <w:rsid w:val="269CE4E9"/>
    <w:rsid w:val="26A0FA6F"/>
    <w:rsid w:val="283FE24B"/>
    <w:rsid w:val="28D74B7E"/>
    <w:rsid w:val="29342154"/>
    <w:rsid w:val="2A06FA2C"/>
    <w:rsid w:val="2AE9F92B"/>
    <w:rsid w:val="2B04107D"/>
    <w:rsid w:val="2B0EB18D"/>
    <w:rsid w:val="2B15C803"/>
    <w:rsid w:val="2B7EB9CD"/>
    <w:rsid w:val="2B8A4247"/>
    <w:rsid w:val="2BD75B12"/>
    <w:rsid w:val="2CDB5F99"/>
    <w:rsid w:val="2CE72E2F"/>
    <w:rsid w:val="2D184939"/>
    <w:rsid w:val="2D9FF6C0"/>
    <w:rsid w:val="2E29760D"/>
    <w:rsid w:val="2E5AF698"/>
    <w:rsid w:val="2EDE51F2"/>
    <w:rsid w:val="2F019E47"/>
    <w:rsid w:val="2FF5DC37"/>
    <w:rsid w:val="305A3C98"/>
    <w:rsid w:val="3064F5F1"/>
    <w:rsid w:val="3067ABEF"/>
    <w:rsid w:val="30C7B2E0"/>
    <w:rsid w:val="30EAD029"/>
    <w:rsid w:val="31E77B09"/>
    <w:rsid w:val="32025F57"/>
    <w:rsid w:val="32AA13C1"/>
    <w:rsid w:val="32C3D429"/>
    <w:rsid w:val="33AB9786"/>
    <w:rsid w:val="3526BF43"/>
    <w:rsid w:val="357CF31B"/>
    <w:rsid w:val="35AB9D4B"/>
    <w:rsid w:val="35AB9D4B"/>
    <w:rsid w:val="35F7A24E"/>
    <w:rsid w:val="373AC06A"/>
    <w:rsid w:val="37AF4E88"/>
    <w:rsid w:val="39629DE2"/>
    <w:rsid w:val="3B17B03D"/>
    <w:rsid w:val="3B657FE4"/>
    <w:rsid w:val="3B8680A2"/>
    <w:rsid w:val="3C33A27A"/>
    <w:rsid w:val="3C797C80"/>
    <w:rsid w:val="3C861675"/>
    <w:rsid w:val="3CDE2835"/>
    <w:rsid w:val="3D54EC8F"/>
    <w:rsid w:val="3DC4104C"/>
    <w:rsid w:val="3DF02D50"/>
    <w:rsid w:val="3E1EDB4E"/>
    <w:rsid w:val="3E93E716"/>
    <w:rsid w:val="3F0CDE64"/>
    <w:rsid w:val="3F3723B9"/>
    <w:rsid w:val="400F5C79"/>
    <w:rsid w:val="406A2026"/>
    <w:rsid w:val="40CB463D"/>
    <w:rsid w:val="418776A7"/>
    <w:rsid w:val="4324F67E"/>
    <w:rsid w:val="43382A7A"/>
    <w:rsid w:val="4341C880"/>
    <w:rsid w:val="4382C930"/>
    <w:rsid w:val="43CDA875"/>
    <w:rsid w:val="43F64CC8"/>
    <w:rsid w:val="443554F5"/>
    <w:rsid w:val="443554F5"/>
    <w:rsid w:val="44EF38D6"/>
    <w:rsid w:val="44F23ED5"/>
    <w:rsid w:val="44FC26BE"/>
    <w:rsid w:val="45381F01"/>
    <w:rsid w:val="457A8D1A"/>
    <w:rsid w:val="462101F9"/>
    <w:rsid w:val="471773DB"/>
    <w:rsid w:val="47C3B61C"/>
    <w:rsid w:val="47DB90B9"/>
    <w:rsid w:val="484ADBA1"/>
    <w:rsid w:val="48826BB5"/>
    <w:rsid w:val="4896D35C"/>
    <w:rsid w:val="48C12B43"/>
    <w:rsid w:val="48F8433D"/>
    <w:rsid w:val="4926569A"/>
    <w:rsid w:val="4926569A"/>
    <w:rsid w:val="49A5EAA0"/>
    <w:rsid w:val="49C42C81"/>
    <w:rsid w:val="4A691074"/>
    <w:rsid w:val="4A982567"/>
    <w:rsid w:val="4B8EC7A0"/>
    <w:rsid w:val="4BC55B2D"/>
    <w:rsid w:val="4C7341AB"/>
    <w:rsid w:val="4CC9A0DF"/>
    <w:rsid w:val="4CDD6A79"/>
    <w:rsid w:val="4D0AC26A"/>
    <w:rsid w:val="4DABF430"/>
    <w:rsid w:val="4DEAEF21"/>
    <w:rsid w:val="4E48101D"/>
    <w:rsid w:val="4F5D1B8B"/>
    <w:rsid w:val="5103A296"/>
    <w:rsid w:val="5160022D"/>
    <w:rsid w:val="5192CADD"/>
    <w:rsid w:val="519AB6C1"/>
    <w:rsid w:val="5229ECFF"/>
    <w:rsid w:val="522E481E"/>
    <w:rsid w:val="5248CF58"/>
    <w:rsid w:val="53448556"/>
    <w:rsid w:val="547F56B0"/>
    <w:rsid w:val="54C9B9F2"/>
    <w:rsid w:val="55536908"/>
    <w:rsid w:val="556E2973"/>
    <w:rsid w:val="5588F2C5"/>
    <w:rsid w:val="56068AB8"/>
    <w:rsid w:val="563E1A13"/>
    <w:rsid w:val="5682F972"/>
    <w:rsid w:val="57BEDDBE"/>
    <w:rsid w:val="57EDF174"/>
    <w:rsid w:val="5811ED41"/>
    <w:rsid w:val="58C77BDD"/>
    <w:rsid w:val="597AB70B"/>
    <w:rsid w:val="59D570F9"/>
    <w:rsid w:val="5A978FD0"/>
    <w:rsid w:val="5AC1C139"/>
    <w:rsid w:val="5B107389"/>
    <w:rsid w:val="5B77466C"/>
    <w:rsid w:val="5BD3DAC6"/>
    <w:rsid w:val="5CACCFE8"/>
    <w:rsid w:val="5CACCFE8"/>
    <w:rsid w:val="5CEFBA14"/>
    <w:rsid w:val="5D040EB9"/>
    <w:rsid w:val="5D86D0C3"/>
    <w:rsid w:val="5E2F039C"/>
    <w:rsid w:val="60589942"/>
    <w:rsid w:val="60A9437D"/>
    <w:rsid w:val="6208DF74"/>
    <w:rsid w:val="62821D1B"/>
    <w:rsid w:val="628D6948"/>
    <w:rsid w:val="63E8D86E"/>
    <w:rsid w:val="641998AB"/>
    <w:rsid w:val="64762EB1"/>
    <w:rsid w:val="651D050F"/>
    <w:rsid w:val="65CEA1E7"/>
    <w:rsid w:val="65F887CD"/>
    <w:rsid w:val="6737C19B"/>
    <w:rsid w:val="6797F4AB"/>
    <w:rsid w:val="67E47581"/>
    <w:rsid w:val="68302FAB"/>
    <w:rsid w:val="688A1219"/>
    <w:rsid w:val="690CB58B"/>
    <w:rsid w:val="6A7FD19B"/>
    <w:rsid w:val="6A7FD19B"/>
    <w:rsid w:val="6B6D80EA"/>
    <w:rsid w:val="6BA0E5A6"/>
    <w:rsid w:val="6BAB5A3F"/>
    <w:rsid w:val="6BB35C3A"/>
    <w:rsid w:val="6C192721"/>
    <w:rsid w:val="6D2815BA"/>
    <w:rsid w:val="6D491596"/>
    <w:rsid w:val="6D6662CA"/>
    <w:rsid w:val="6DEDEC1A"/>
    <w:rsid w:val="6E164804"/>
    <w:rsid w:val="6EA72972"/>
    <w:rsid w:val="6ED9321F"/>
    <w:rsid w:val="6F800189"/>
    <w:rsid w:val="6FA92849"/>
    <w:rsid w:val="6FEF4596"/>
    <w:rsid w:val="70494947"/>
    <w:rsid w:val="70B61DFD"/>
    <w:rsid w:val="72DA55F9"/>
    <w:rsid w:val="737444C0"/>
    <w:rsid w:val="737A80CE"/>
    <w:rsid w:val="742B9B24"/>
    <w:rsid w:val="7446FE70"/>
    <w:rsid w:val="744EB69D"/>
    <w:rsid w:val="75947D07"/>
    <w:rsid w:val="75ADDA2E"/>
    <w:rsid w:val="75E9F42F"/>
    <w:rsid w:val="76216068"/>
    <w:rsid w:val="762B1A8F"/>
    <w:rsid w:val="76A28E28"/>
    <w:rsid w:val="7730DB91"/>
    <w:rsid w:val="7780DB78"/>
    <w:rsid w:val="781D1021"/>
    <w:rsid w:val="782069A6"/>
    <w:rsid w:val="79155FFB"/>
    <w:rsid w:val="7A63688D"/>
    <w:rsid w:val="7A73B283"/>
    <w:rsid w:val="7AD095A3"/>
    <w:rsid w:val="7B6150C2"/>
    <w:rsid w:val="7BBC9B8B"/>
    <w:rsid w:val="7BC7D355"/>
    <w:rsid w:val="7C50AC44"/>
    <w:rsid w:val="7CC1351D"/>
    <w:rsid w:val="7E54AF66"/>
    <w:rsid w:val="7F8BA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77B09"/>
  <w15:chartTrackingRefBased/>
  <w15:docId w15:val="{4776D126-B317-4021-A89B-3820F31022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d71a5d36c0d47ef" /><Relationship Type="http://schemas.microsoft.com/office/2020/10/relationships/intelligence" Target="intelligence2.xml" Id="R525cbdbc101b408b" /><Relationship Type="http://schemas.openxmlformats.org/officeDocument/2006/relationships/numbering" Target="numbering.xml" Id="Ra778604e7eaf4d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2024-08-05T20:06:10.3214021Z</dcterms:created>
  <dcterms:modified xsi:type="dcterms:W3CDTF">2024-08-21T11:20:00.0635693Z</dcterms:modified>
  <dc:creator>Helly Shah (2332807)</dc:creator>
  <lastModifiedBy>Helly Shah (2332807)</lastModifiedBy>
</coreProperties>
</file>