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81BFC" w14:textId="77777777" w:rsidR="00105C97" w:rsidRDefault="00105C97" w:rsidP="00105C97">
      <w:pPr>
        <w:jc w:val="center"/>
        <w:rPr>
          <w:rFonts w:ascii="Arial" w:hAnsi="Arial" w:cs="Arial"/>
          <w:b/>
          <w:bCs/>
          <w:sz w:val="32"/>
          <w:szCs w:val="32"/>
        </w:rPr>
      </w:pPr>
      <w:r>
        <w:rPr>
          <w:rFonts w:ascii="Arial" w:hAnsi="Arial" w:cs="Arial"/>
          <w:b/>
          <w:bCs/>
          <w:sz w:val="32"/>
          <w:szCs w:val="32"/>
        </w:rPr>
        <w:t>Name: Kamran Khan</w:t>
      </w:r>
    </w:p>
    <w:p w14:paraId="25E58FD3" w14:textId="4B4E9330" w:rsidR="000B743B" w:rsidRPr="00105C97" w:rsidRDefault="00105C97" w:rsidP="00105C97">
      <w:pPr>
        <w:jc w:val="center"/>
        <w:rPr>
          <w:rFonts w:ascii="Arial" w:hAnsi="Arial" w:cs="Arial"/>
          <w:b/>
          <w:bCs/>
          <w:sz w:val="32"/>
          <w:szCs w:val="32"/>
        </w:rPr>
      </w:pPr>
      <w:r>
        <w:rPr>
          <w:rFonts w:ascii="Arial" w:hAnsi="Arial" w:cs="Arial"/>
          <w:b/>
          <w:bCs/>
          <w:sz w:val="32"/>
          <w:szCs w:val="32"/>
        </w:rPr>
        <w:t xml:space="preserve">Student Number: 2246128 </w:t>
      </w:r>
    </w:p>
    <w:p w14:paraId="28D74116" w14:textId="77777777" w:rsidR="00105C97" w:rsidRPr="00105C97" w:rsidRDefault="00105C97" w:rsidP="00105C97">
      <w:pPr>
        <w:spacing w:line="278" w:lineRule="auto"/>
        <w:jc w:val="center"/>
        <w:rPr>
          <w:b/>
          <w:bCs/>
          <w:sz w:val="32"/>
          <w:szCs w:val="32"/>
        </w:rPr>
      </w:pPr>
      <w:r w:rsidRPr="00105C97">
        <w:rPr>
          <w:b/>
          <w:bCs/>
          <w:sz w:val="32"/>
          <w:szCs w:val="32"/>
        </w:rPr>
        <w:t>Course: BSc (Hons) Health and Social Care</w:t>
      </w:r>
    </w:p>
    <w:p w14:paraId="28A4F8EF" w14:textId="64E89FFD" w:rsidR="00105C97" w:rsidRDefault="00105C97" w:rsidP="00105C97">
      <w:pPr>
        <w:spacing w:line="278" w:lineRule="auto"/>
        <w:jc w:val="center"/>
        <w:rPr>
          <w:b/>
          <w:bCs/>
          <w:sz w:val="32"/>
          <w:szCs w:val="32"/>
        </w:rPr>
      </w:pPr>
      <w:r w:rsidRPr="00105C97">
        <w:rPr>
          <w:b/>
          <w:bCs/>
          <w:sz w:val="32"/>
          <w:szCs w:val="32"/>
        </w:rPr>
        <w:t>Module: Independent Project (BMHP6020_BIRM)</w:t>
      </w:r>
    </w:p>
    <w:p w14:paraId="18E75375" w14:textId="34DCC899" w:rsidR="00AF4477" w:rsidRDefault="00AF4477" w:rsidP="00AF4477">
      <w:pPr>
        <w:spacing w:line="278" w:lineRule="auto"/>
        <w:jc w:val="center"/>
        <w:rPr>
          <w:b/>
          <w:bCs/>
          <w:sz w:val="32"/>
          <w:szCs w:val="32"/>
        </w:rPr>
      </w:pPr>
      <w:r w:rsidRPr="00AF4477">
        <w:rPr>
          <w:b/>
          <w:bCs/>
          <w:sz w:val="32"/>
          <w:szCs w:val="32"/>
        </w:rPr>
        <w:t>Assignment Title:</w:t>
      </w:r>
      <w:r>
        <w:rPr>
          <w:b/>
          <w:bCs/>
          <w:sz w:val="32"/>
          <w:szCs w:val="32"/>
        </w:rPr>
        <w:t xml:space="preserve"> </w:t>
      </w:r>
      <w:r w:rsidRPr="00AF4477">
        <w:rPr>
          <w:b/>
          <w:bCs/>
          <w:sz w:val="32"/>
          <w:szCs w:val="32"/>
        </w:rPr>
        <w:t>Component 1: Portfolio (including 3 elements)</w:t>
      </w:r>
    </w:p>
    <w:p w14:paraId="42570FD7" w14:textId="77777777" w:rsidR="00420362" w:rsidRDefault="00420362" w:rsidP="00AF4477">
      <w:pPr>
        <w:spacing w:line="278" w:lineRule="auto"/>
        <w:jc w:val="center"/>
        <w:rPr>
          <w:b/>
          <w:bCs/>
          <w:sz w:val="32"/>
          <w:szCs w:val="32"/>
        </w:rPr>
      </w:pPr>
    </w:p>
    <w:p w14:paraId="3581AC3F" w14:textId="77777777" w:rsidR="00420362" w:rsidRPr="00AF4477" w:rsidRDefault="00420362" w:rsidP="00AF4477">
      <w:pPr>
        <w:spacing w:line="278" w:lineRule="auto"/>
        <w:jc w:val="center"/>
        <w:rPr>
          <w:b/>
          <w:bCs/>
          <w:sz w:val="32"/>
          <w:szCs w:val="32"/>
        </w:rPr>
      </w:pPr>
    </w:p>
    <w:p w14:paraId="11947AA3" w14:textId="7E64E9B9" w:rsidR="00420362" w:rsidRDefault="00420362" w:rsidP="00420362">
      <w:pPr>
        <w:pStyle w:val="Heading1"/>
        <w:jc w:val="center"/>
      </w:pPr>
      <w:r w:rsidRPr="00420362">
        <w:t>Project Title: Comparing Mental Health Outcomes and Academic Success Among Foster Care and Non-Foster Care Graduates</w:t>
      </w:r>
    </w:p>
    <w:p w14:paraId="17DFFC6E" w14:textId="77777777" w:rsidR="00420362" w:rsidRPr="00420362" w:rsidRDefault="00420362" w:rsidP="00420362"/>
    <w:p w14:paraId="6D62B273" w14:textId="77777777" w:rsidR="00420362" w:rsidRPr="00420362" w:rsidRDefault="00420362" w:rsidP="00420362"/>
    <w:p w14:paraId="52310A30" w14:textId="77777777" w:rsidR="00105C97" w:rsidRDefault="00105C97" w:rsidP="00105C97">
      <w:pPr>
        <w:spacing w:line="278" w:lineRule="auto"/>
        <w:rPr>
          <w:szCs w:val="22"/>
        </w:rPr>
      </w:pPr>
    </w:p>
    <w:p w14:paraId="1C8B5DFD" w14:textId="77777777" w:rsidR="00105C97" w:rsidRDefault="00105C97" w:rsidP="00105C97">
      <w:pPr>
        <w:spacing w:line="278" w:lineRule="auto"/>
        <w:rPr>
          <w:szCs w:val="22"/>
        </w:rPr>
      </w:pPr>
    </w:p>
    <w:p w14:paraId="2F2F7DA8" w14:textId="77777777" w:rsidR="00105C97" w:rsidRDefault="00105C97" w:rsidP="00105C97">
      <w:pPr>
        <w:spacing w:line="278" w:lineRule="auto"/>
        <w:rPr>
          <w:szCs w:val="22"/>
        </w:rPr>
      </w:pPr>
    </w:p>
    <w:p w14:paraId="796F26F6" w14:textId="77777777" w:rsidR="00105C97" w:rsidRDefault="00105C97" w:rsidP="00105C97">
      <w:pPr>
        <w:spacing w:line="278" w:lineRule="auto"/>
        <w:rPr>
          <w:szCs w:val="22"/>
        </w:rPr>
      </w:pPr>
    </w:p>
    <w:p w14:paraId="207E3E89" w14:textId="77777777" w:rsidR="00105C97" w:rsidRDefault="00105C97" w:rsidP="00105C97">
      <w:pPr>
        <w:spacing w:line="278" w:lineRule="auto"/>
        <w:rPr>
          <w:szCs w:val="22"/>
        </w:rPr>
      </w:pPr>
    </w:p>
    <w:p w14:paraId="5FC0A92F" w14:textId="77777777" w:rsidR="00105C97" w:rsidRDefault="00105C97" w:rsidP="00105C97">
      <w:pPr>
        <w:spacing w:line="278" w:lineRule="auto"/>
        <w:rPr>
          <w:szCs w:val="22"/>
        </w:rPr>
      </w:pPr>
    </w:p>
    <w:p w14:paraId="699E6CE8" w14:textId="77777777" w:rsidR="00105C97" w:rsidRDefault="00105C97" w:rsidP="00105C97">
      <w:pPr>
        <w:spacing w:line="278" w:lineRule="auto"/>
        <w:rPr>
          <w:szCs w:val="22"/>
        </w:rPr>
      </w:pPr>
    </w:p>
    <w:p w14:paraId="08463704" w14:textId="77777777" w:rsidR="00105C97" w:rsidRDefault="00105C97" w:rsidP="00105C97">
      <w:pPr>
        <w:spacing w:line="278" w:lineRule="auto"/>
        <w:rPr>
          <w:szCs w:val="22"/>
        </w:rPr>
      </w:pPr>
    </w:p>
    <w:p w14:paraId="4A0BA479" w14:textId="77777777" w:rsidR="00105C97" w:rsidRDefault="00105C97" w:rsidP="00105C97">
      <w:pPr>
        <w:spacing w:line="278" w:lineRule="auto"/>
        <w:rPr>
          <w:szCs w:val="22"/>
        </w:rPr>
      </w:pPr>
    </w:p>
    <w:p w14:paraId="270B8998" w14:textId="77777777" w:rsidR="00105C97" w:rsidRDefault="00105C97" w:rsidP="00105C97">
      <w:pPr>
        <w:spacing w:line="278" w:lineRule="auto"/>
        <w:rPr>
          <w:szCs w:val="22"/>
        </w:rPr>
      </w:pPr>
    </w:p>
    <w:p w14:paraId="3E0E951D" w14:textId="77777777" w:rsidR="00105C97" w:rsidRDefault="00105C97" w:rsidP="00105C97">
      <w:pPr>
        <w:spacing w:line="278" w:lineRule="auto"/>
        <w:rPr>
          <w:szCs w:val="22"/>
        </w:rPr>
      </w:pPr>
    </w:p>
    <w:p w14:paraId="52C1EDFC" w14:textId="77777777" w:rsidR="00420362" w:rsidRPr="00E14F5D" w:rsidRDefault="00420362" w:rsidP="00105C97">
      <w:pPr>
        <w:spacing w:line="278" w:lineRule="auto"/>
        <w:rPr>
          <w:szCs w:val="22"/>
        </w:rPr>
      </w:pPr>
    </w:p>
    <w:p w14:paraId="78015EB7" w14:textId="3964BDB0" w:rsidR="00944EFC" w:rsidRPr="007272F1" w:rsidRDefault="00944EFC" w:rsidP="007272F1">
      <w:pPr>
        <w:pStyle w:val="Heading1"/>
      </w:pPr>
      <w:r w:rsidRPr="007272F1">
        <w:t>CHAPTER 1: Introduction</w:t>
      </w:r>
    </w:p>
    <w:p w14:paraId="0548D486" w14:textId="77777777" w:rsidR="00F57E51" w:rsidRPr="00E14F5D" w:rsidRDefault="00F57E51" w:rsidP="00210CD1">
      <w:pPr>
        <w:jc w:val="both"/>
        <w:rPr>
          <w:szCs w:val="22"/>
        </w:rPr>
      </w:pPr>
    </w:p>
    <w:p w14:paraId="5AAA2BFB" w14:textId="7FFD0403" w:rsidR="005C310D" w:rsidRPr="007272F1" w:rsidRDefault="005C310D" w:rsidP="007272F1">
      <w:pPr>
        <w:pStyle w:val="Heading2"/>
        <w:numPr>
          <w:ilvl w:val="1"/>
          <w:numId w:val="4"/>
        </w:numPr>
      </w:pPr>
      <w:r w:rsidRPr="007272F1">
        <w:t xml:space="preserve">Introduction </w:t>
      </w:r>
    </w:p>
    <w:p w14:paraId="2D53E173" w14:textId="635DE9D0" w:rsidR="00081D45" w:rsidRPr="007272F1" w:rsidRDefault="00081D45" w:rsidP="007272F1">
      <w:pPr>
        <w:pStyle w:val="Heading3"/>
        <w:numPr>
          <w:ilvl w:val="2"/>
          <w:numId w:val="4"/>
        </w:numPr>
      </w:pPr>
      <w:r w:rsidRPr="007272F1">
        <w:t>Overview of Topic</w:t>
      </w:r>
    </w:p>
    <w:p w14:paraId="4D6627B5" w14:textId="69084CED"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This dissertation examines differences in mental health and academic success between graduates with foster-care histories and those without. The topic matters for higher education, public health, and social policy because widening participation has increased access for care-experienced students, yet inequities after graduation are still reported. Early adversity, placement instability, and financial precarity are linked to higher risks of depression, anxiety, and trauma-related symptoms. Mental health, in turn, is associated with degree attainment, employment quality, and early-career stability. Universities therefore need evidence that is specific, comparative, and actionable</w:t>
      </w:r>
      <w:r w:rsidR="004A766C" w:rsidRPr="00E14F5D">
        <w:rPr>
          <w:rFonts w:asciiTheme="minorBidi" w:hAnsiTheme="minorBidi" w:cstheme="minorBidi"/>
          <w:sz w:val="22"/>
          <w:szCs w:val="22"/>
        </w:rPr>
        <w:t xml:space="preserve"> </w:t>
      </w:r>
      <w:r w:rsidR="009D41D7" w:rsidRPr="00E14F5D">
        <w:rPr>
          <w:rFonts w:asciiTheme="minorBidi" w:hAnsiTheme="minorBidi" w:cstheme="minorBidi"/>
          <w:sz w:val="22"/>
          <w:szCs w:val="22"/>
        </w:rPr>
        <w:t>(Wade, Wright and Finegold, 2022)</w:t>
      </w:r>
      <w:r w:rsidRPr="00E14F5D">
        <w:rPr>
          <w:rFonts w:asciiTheme="minorBidi" w:hAnsiTheme="minorBidi" w:cstheme="minorBidi"/>
          <w:sz w:val="22"/>
          <w:szCs w:val="22"/>
        </w:rPr>
        <w:t>.</w:t>
      </w:r>
    </w:p>
    <w:p w14:paraId="630E1754" w14:textId="017E27BE"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Three developments shape the context. First, accountability for graduate outcomes has intensified; institutions are expected to demonstrate equity across student groups, not only overall averages</w:t>
      </w:r>
      <w:r w:rsidR="00515373" w:rsidRPr="00E14F5D">
        <w:rPr>
          <w:rFonts w:asciiTheme="minorBidi" w:hAnsiTheme="minorBidi" w:cstheme="minorBidi"/>
          <w:sz w:val="22"/>
          <w:szCs w:val="22"/>
        </w:rPr>
        <w:t xml:space="preserve"> (Jackson, Dean and Eady, 2023)</w:t>
      </w:r>
      <w:r w:rsidRPr="00E14F5D">
        <w:rPr>
          <w:rFonts w:asciiTheme="minorBidi" w:hAnsiTheme="minorBidi" w:cstheme="minorBidi"/>
          <w:sz w:val="22"/>
          <w:szCs w:val="22"/>
        </w:rPr>
        <w:t>. Second, trauma-aware and inclusive practice is now common language in universities, but guidance remains fragmented and rarely tailored to foster-care graduates as a distinct population. Third, volatile labour markets and rising living costs magnify the practical impact of poor mental health on transitions to work or further study</w:t>
      </w:r>
      <w:r w:rsidR="00515373" w:rsidRPr="00E14F5D">
        <w:rPr>
          <w:rFonts w:asciiTheme="minorBidi" w:hAnsiTheme="minorBidi" w:cstheme="minorBidi"/>
          <w:sz w:val="22"/>
          <w:szCs w:val="22"/>
        </w:rPr>
        <w:t xml:space="preserve"> </w:t>
      </w:r>
      <w:r w:rsidR="00C01094" w:rsidRPr="00E14F5D">
        <w:rPr>
          <w:rFonts w:asciiTheme="minorBidi" w:hAnsiTheme="minorBidi" w:cstheme="minorBidi"/>
          <w:sz w:val="22"/>
          <w:szCs w:val="22"/>
        </w:rPr>
        <w:t xml:space="preserve">(Bogliacino </w:t>
      </w:r>
      <w:r w:rsidR="00C01094" w:rsidRPr="00E14F5D">
        <w:rPr>
          <w:rFonts w:asciiTheme="minorBidi" w:hAnsiTheme="minorBidi" w:cstheme="minorBidi"/>
          <w:i/>
          <w:iCs/>
          <w:sz w:val="22"/>
          <w:szCs w:val="22"/>
        </w:rPr>
        <w:t>et al.</w:t>
      </w:r>
      <w:r w:rsidR="00C01094" w:rsidRPr="00E14F5D">
        <w:rPr>
          <w:rFonts w:asciiTheme="minorBidi" w:hAnsiTheme="minorBidi" w:cstheme="minorBidi"/>
          <w:sz w:val="22"/>
          <w:szCs w:val="22"/>
        </w:rPr>
        <w:t>, 2023)</w:t>
      </w:r>
      <w:r w:rsidRPr="00E14F5D">
        <w:rPr>
          <w:rFonts w:asciiTheme="minorBidi" w:hAnsiTheme="minorBidi" w:cstheme="minorBidi"/>
          <w:sz w:val="22"/>
          <w:szCs w:val="22"/>
        </w:rPr>
        <w:t>. These factors justify a systematic review that integrates mental-health and academic endpoints and that compares foster-care graduates with a non-foster group.</w:t>
      </w:r>
    </w:p>
    <w:p w14:paraId="72B9EB7A" w14:textId="08456D82" w:rsidR="00944EFC" w:rsidRPr="007272F1" w:rsidRDefault="00944EFC" w:rsidP="007272F1">
      <w:pPr>
        <w:pStyle w:val="Heading3"/>
        <w:numPr>
          <w:ilvl w:val="2"/>
          <w:numId w:val="4"/>
        </w:numPr>
      </w:pPr>
      <w:r w:rsidRPr="007272F1">
        <w:t>Aim</w:t>
      </w:r>
    </w:p>
    <w:p w14:paraId="13AC4993" w14:textId="225066B3"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The study aims to synthesise evidence on mental health and academic success among graduates with and without foster-care histories, identify disparities and protective factors, and convert findings into recommendations for universities, services, and policymakers.</w:t>
      </w:r>
    </w:p>
    <w:p w14:paraId="538F3EAE" w14:textId="7DD76EF3" w:rsidR="005C310D" w:rsidRPr="007272F1" w:rsidRDefault="005C310D" w:rsidP="00210CD1">
      <w:pPr>
        <w:pStyle w:val="Heading2"/>
        <w:jc w:val="both"/>
        <w:rPr>
          <w:rFonts w:cstheme="minorBidi"/>
          <w:szCs w:val="28"/>
        </w:rPr>
      </w:pPr>
      <w:r w:rsidRPr="007272F1">
        <w:rPr>
          <w:rFonts w:cstheme="minorBidi"/>
          <w:szCs w:val="28"/>
        </w:rPr>
        <w:t xml:space="preserve">1.2 Definitions and Terminology </w:t>
      </w:r>
    </w:p>
    <w:p w14:paraId="39646E7B" w14:textId="77777777"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Clear terms are necessary to avoid confusion and to support consistent appraisal.</w:t>
      </w:r>
    </w:p>
    <w:p w14:paraId="5CEF3348" w14:textId="444BDC43" w:rsidR="005C310D" w:rsidRPr="00E14F5D" w:rsidRDefault="0075004B" w:rsidP="00210CD1">
      <w:pPr>
        <w:pStyle w:val="Heading3"/>
        <w:jc w:val="both"/>
        <w:rPr>
          <w:rFonts w:cstheme="minorBidi"/>
          <w:szCs w:val="22"/>
        </w:rPr>
      </w:pPr>
      <w:r w:rsidRPr="00E14F5D">
        <w:rPr>
          <w:rStyle w:val="Strong"/>
          <w:rFonts w:cstheme="minorBidi"/>
          <w:b/>
          <w:bCs w:val="0"/>
          <w:szCs w:val="22"/>
        </w:rPr>
        <w:t xml:space="preserve">1.2.1. </w:t>
      </w:r>
      <w:r w:rsidR="005C310D" w:rsidRPr="00E14F5D">
        <w:rPr>
          <w:rStyle w:val="Strong"/>
          <w:rFonts w:cstheme="minorBidi"/>
          <w:b/>
          <w:bCs w:val="0"/>
          <w:szCs w:val="22"/>
        </w:rPr>
        <w:t>Key definitions</w:t>
      </w:r>
    </w:p>
    <w:p w14:paraId="5F8F3FC0" w14:textId="7A2E15A4" w:rsidR="005C310D" w:rsidRPr="00E14F5D" w:rsidRDefault="005C310D" w:rsidP="00210CD1">
      <w:pPr>
        <w:pStyle w:val="NormalWeb"/>
        <w:numPr>
          <w:ilvl w:val="0"/>
          <w:numId w:val="1"/>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Care-experienced / foster-care graduate:</w:t>
      </w:r>
      <w:r w:rsidRPr="00E14F5D">
        <w:rPr>
          <w:rFonts w:asciiTheme="minorBidi" w:hAnsiTheme="minorBidi" w:cstheme="minorBidi"/>
          <w:sz w:val="22"/>
          <w:szCs w:val="22"/>
        </w:rPr>
        <w:t xml:space="preserve"> A person who completed a higher-education degree and spent time, before age 18, in state-arranged foster care or comparable out-of-home placement. The term emphasises placement experience rather than general childhood adversity</w:t>
      </w:r>
      <w:r w:rsidR="00B43083" w:rsidRPr="00E14F5D">
        <w:rPr>
          <w:rFonts w:asciiTheme="minorBidi" w:hAnsiTheme="minorBidi" w:cstheme="minorBidi"/>
          <w:sz w:val="22"/>
          <w:szCs w:val="22"/>
        </w:rPr>
        <w:t xml:space="preserve"> (Gilligan, Brady and Arnau-Sabatés, 2025)</w:t>
      </w:r>
      <w:r w:rsidRPr="00E14F5D">
        <w:rPr>
          <w:rFonts w:asciiTheme="minorBidi" w:hAnsiTheme="minorBidi" w:cstheme="minorBidi"/>
          <w:sz w:val="22"/>
          <w:szCs w:val="22"/>
        </w:rPr>
        <w:t>.</w:t>
      </w:r>
    </w:p>
    <w:p w14:paraId="158D867D" w14:textId="38FBC230" w:rsidR="005C310D" w:rsidRPr="00E14F5D" w:rsidRDefault="005C310D" w:rsidP="00210CD1">
      <w:pPr>
        <w:pStyle w:val="NormalWeb"/>
        <w:numPr>
          <w:ilvl w:val="0"/>
          <w:numId w:val="1"/>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Non-foster-care graduate:</w:t>
      </w:r>
      <w:r w:rsidRPr="00E14F5D">
        <w:rPr>
          <w:rFonts w:asciiTheme="minorBidi" w:hAnsiTheme="minorBidi" w:cstheme="minorBidi"/>
          <w:sz w:val="22"/>
          <w:szCs w:val="22"/>
        </w:rPr>
        <w:t xml:space="preserve"> A degree completer without a documented foster-care history</w:t>
      </w:r>
      <w:r w:rsidR="00A930EA" w:rsidRPr="00E14F5D">
        <w:rPr>
          <w:rFonts w:asciiTheme="minorBidi" w:hAnsiTheme="minorBidi" w:cstheme="minorBidi"/>
          <w:sz w:val="22"/>
          <w:szCs w:val="22"/>
        </w:rPr>
        <w:t xml:space="preserve"> (Somers </w:t>
      </w:r>
      <w:r w:rsidR="00A930EA" w:rsidRPr="00E14F5D">
        <w:rPr>
          <w:rFonts w:asciiTheme="minorBidi" w:hAnsiTheme="minorBidi" w:cstheme="minorBidi"/>
          <w:i/>
          <w:iCs/>
          <w:sz w:val="22"/>
          <w:szCs w:val="22"/>
        </w:rPr>
        <w:t>et al.</w:t>
      </w:r>
      <w:r w:rsidR="00A930EA" w:rsidRPr="00E14F5D">
        <w:rPr>
          <w:rFonts w:asciiTheme="minorBidi" w:hAnsiTheme="minorBidi" w:cstheme="minorBidi"/>
          <w:sz w:val="22"/>
          <w:szCs w:val="22"/>
        </w:rPr>
        <w:t>, 2020)</w:t>
      </w:r>
      <w:r w:rsidRPr="00E14F5D">
        <w:rPr>
          <w:rFonts w:asciiTheme="minorBidi" w:hAnsiTheme="minorBidi" w:cstheme="minorBidi"/>
          <w:sz w:val="22"/>
          <w:szCs w:val="22"/>
        </w:rPr>
        <w:t>.</w:t>
      </w:r>
    </w:p>
    <w:p w14:paraId="716D25CD" w14:textId="5B09479B" w:rsidR="005C310D" w:rsidRPr="00E14F5D" w:rsidRDefault="005C310D" w:rsidP="00210CD1">
      <w:pPr>
        <w:pStyle w:val="NormalWeb"/>
        <w:numPr>
          <w:ilvl w:val="0"/>
          <w:numId w:val="1"/>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Mental health outcomes:</w:t>
      </w:r>
      <w:r w:rsidRPr="00E14F5D">
        <w:rPr>
          <w:rFonts w:asciiTheme="minorBidi" w:hAnsiTheme="minorBidi" w:cstheme="minorBidi"/>
          <w:sz w:val="22"/>
          <w:szCs w:val="22"/>
        </w:rPr>
        <w:t xml:space="preserve"> Indicators such as symptoms (depression, anxiety, post-traumatic stress), diagnoses, service use, wellbeing scales, suicidality, substance use, or functional impairment. Both adverse and positive indicators are included</w:t>
      </w:r>
      <w:r w:rsidR="00FC7AF2" w:rsidRPr="00E14F5D">
        <w:rPr>
          <w:rFonts w:asciiTheme="minorBidi" w:hAnsiTheme="minorBidi" w:cstheme="minorBidi"/>
          <w:sz w:val="22"/>
          <w:szCs w:val="22"/>
        </w:rPr>
        <w:t xml:space="preserve"> (Bhatta </w:t>
      </w:r>
      <w:r w:rsidR="00FC7AF2" w:rsidRPr="00E14F5D">
        <w:rPr>
          <w:rFonts w:asciiTheme="minorBidi" w:hAnsiTheme="minorBidi" w:cstheme="minorBidi"/>
          <w:i/>
          <w:iCs/>
          <w:sz w:val="22"/>
          <w:szCs w:val="22"/>
        </w:rPr>
        <w:t>et al.</w:t>
      </w:r>
      <w:r w:rsidR="00FC7AF2" w:rsidRPr="00E14F5D">
        <w:rPr>
          <w:rFonts w:asciiTheme="minorBidi" w:hAnsiTheme="minorBidi" w:cstheme="minorBidi"/>
          <w:sz w:val="22"/>
          <w:szCs w:val="22"/>
        </w:rPr>
        <w:t>, 2025)</w:t>
      </w:r>
      <w:r w:rsidRPr="00E14F5D">
        <w:rPr>
          <w:rFonts w:asciiTheme="minorBidi" w:hAnsiTheme="minorBidi" w:cstheme="minorBidi"/>
          <w:sz w:val="22"/>
          <w:szCs w:val="22"/>
        </w:rPr>
        <w:t>.</w:t>
      </w:r>
    </w:p>
    <w:p w14:paraId="035012C0" w14:textId="0DF44C3F" w:rsidR="005C310D" w:rsidRPr="00E14F5D" w:rsidRDefault="005C310D" w:rsidP="00210CD1">
      <w:pPr>
        <w:pStyle w:val="NormalWeb"/>
        <w:numPr>
          <w:ilvl w:val="0"/>
          <w:numId w:val="1"/>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Academic success:</w:t>
      </w:r>
      <w:r w:rsidRPr="00E14F5D">
        <w:rPr>
          <w:rFonts w:asciiTheme="minorBidi" w:hAnsiTheme="minorBidi" w:cstheme="minorBidi"/>
          <w:sz w:val="22"/>
          <w:szCs w:val="22"/>
        </w:rPr>
        <w:t xml:space="preserve"> Outcomes beyond graduation, including degree classification, time to completion, postgraduate enrolment, employment quality, professional registration, and early-career stability</w:t>
      </w:r>
      <w:r w:rsidR="0003394B" w:rsidRPr="00E14F5D">
        <w:rPr>
          <w:rFonts w:asciiTheme="minorBidi" w:hAnsiTheme="minorBidi" w:cstheme="minorBidi"/>
          <w:sz w:val="22"/>
          <w:szCs w:val="22"/>
        </w:rPr>
        <w:t xml:space="preserve"> (Lin-Stephens et al., 2024)</w:t>
      </w:r>
      <w:r w:rsidRPr="00E14F5D">
        <w:rPr>
          <w:rFonts w:asciiTheme="minorBidi" w:hAnsiTheme="minorBidi" w:cstheme="minorBidi"/>
          <w:sz w:val="22"/>
          <w:szCs w:val="22"/>
        </w:rPr>
        <w:t>.</w:t>
      </w:r>
    </w:p>
    <w:p w14:paraId="31EC0B2B" w14:textId="1C64DE72" w:rsidR="005C310D" w:rsidRPr="00E14F5D" w:rsidRDefault="005C310D" w:rsidP="00210CD1">
      <w:pPr>
        <w:pStyle w:val="NormalWeb"/>
        <w:numPr>
          <w:ilvl w:val="0"/>
          <w:numId w:val="1"/>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Protective factors:</w:t>
      </w:r>
      <w:r w:rsidRPr="00E14F5D">
        <w:rPr>
          <w:rFonts w:asciiTheme="minorBidi" w:hAnsiTheme="minorBidi" w:cstheme="minorBidi"/>
          <w:sz w:val="22"/>
          <w:szCs w:val="22"/>
        </w:rPr>
        <w:t xml:space="preserve"> Characteristics or supports that reduce risk or enhance outcomes (e.g., placement stability, mentoring, financial aid, timely counselling, sense of belonging)</w:t>
      </w:r>
      <w:r w:rsidR="00C57922" w:rsidRPr="00E14F5D">
        <w:rPr>
          <w:rFonts w:asciiTheme="minorBidi" w:hAnsiTheme="minorBidi" w:cstheme="minorBidi"/>
          <w:sz w:val="22"/>
          <w:szCs w:val="22"/>
        </w:rPr>
        <w:t xml:space="preserve"> (Somers </w:t>
      </w:r>
      <w:r w:rsidR="00C57922" w:rsidRPr="00E14F5D">
        <w:rPr>
          <w:rFonts w:asciiTheme="minorBidi" w:hAnsiTheme="minorBidi" w:cstheme="minorBidi"/>
          <w:i/>
          <w:iCs/>
          <w:sz w:val="22"/>
          <w:szCs w:val="22"/>
        </w:rPr>
        <w:t>et al.</w:t>
      </w:r>
      <w:r w:rsidR="00C57922" w:rsidRPr="00E14F5D">
        <w:rPr>
          <w:rFonts w:asciiTheme="minorBidi" w:hAnsiTheme="minorBidi" w:cstheme="minorBidi"/>
          <w:sz w:val="22"/>
          <w:szCs w:val="22"/>
        </w:rPr>
        <w:t>, 2020)</w:t>
      </w:r>
      <w:r w:rsidRPr="00E14F5D">
        <w:rPr>
          <w:rFonts w:asciiTheme="minorBidi" w:hAnsiTheme="minorBidi" w:cstheme="minorBidi"/>
          <w:sz w:val="22"/>
          <w:szCs w:val="22"/>
        </w:rPr>
        <w:t>.</w:t>
      </w:r>
    </w:p>
    <w:p w14:paraId="79F2D6D3" w14:textId="2F3D7322" w:rsidR="005C310D" w:rsidRPr="00E14F5D" w:rsidRDefault="00324B7F" w:rsidP="00210CD1">
      <w:pPr>
        <w:pStyle w:val="Heading3"/>
        <w:jc w:val="both"/>
        <w:rPr>
          <w:rFonts w:cstheme="minorBidi"/>
          <w:szCs w:val="22"/>
        </w:rPr>
      </w:pPr>
      <w:r w:rsidRPr="00E14F5D">
        <w:rPr>
          <w:rStyle w:val="Strong"/>
          <w:rFonts w:cstheme="minorBidi"/>
          <w:b/>
          <w:bCs w:val="0"/>
          <w:szCs w:val="22"/>
        </w:rPr>
        <w:t xml:space="preserve">1.2.2. </w:t>
      </w:r>
      <w:r w:rsidR="005C310D" w:rsidRPr="00E14F5D">
        <w:rPr>
          <w:rStyle w:val="Strong"/>
          <w:rFonts w:cstheme="minorBidi"/>
          <w:b/>
          <w:bCs w:val="0"/>
          <w:szCs w:val="22"/>
        </w:rPr>
        <w:t>Acronyms and abbreviations</w:t>
      </w:r>
    </w:p>
    <w:p w14:paraId="74284985" w14:textId="77777777" w:rsidR="005C310D" w:rsidRPr="00E14F5D" w:rsidRDefault="005C310D" w:rsidP="00210CD1">
      <w:pPr>
        <w:pStyle w:val="NormalWeb"/>
        <w:numPr>
          <w:ilvl w:val="0"/>
          <w:numId w:val="2"/>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HE:</w:t>
      </w:r>
      <w:r w:rsidRPr="00E14F5D">
        <w:rPr>
          <w:rFonts w:asciiTheme="minorBidi" w:hAnsiTheme="minorBidi" w:cstheme="minorBidi"/>
          <w:sz w:val="22"/>
          <w:szCs w:val="22"/>
        </w:rPr>
        <w:t xml:space="preserve"> Higher Education</w:t>
      </w:r>
    </w:p>
    <w:p w14:paraId="489970AC" w14:textId="77777777" w:rsidR="005C310D" w:rsidRPr="00E14F5D" w:rsidRDefault="005C310D" w:rsidP="00210CD1">
      <w:pPr>
        <w:pStyle w:val="NormalWeb"/>
        <w:numPr>
          <w:ilvl w:val="0"/>
          <w:numId w:val="2"/>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WP:</w:t>
      </w:r>
      <w:r w:rsidRPr="00E14F5D">
        <w:rPr>
          <w:rFonts w:asciiTheme="minorBidi" w:hAnsiTheme="minorBidi" w:cstheme="minorBidi"/>
          <w:sz w:val="22"/>
          <w:szCs w:val="22"/>
        </w:rPr>
        <w:t xml:space="preserve"> Widening Participation</w:t>
      </w:r>
    </w:p>
    <w:p w14:paraId="41844BFA" w14:textId="77777777" w:rsidR="005C310D" w:rsidRPr="00E14F5D" w:rsidRDefault="005C310D" w:rsidP="00210CD1">
      <w:pPr>
        <w:pStyle w:val="NormalWeb"/>
        <w:numPr>
          <w:ilvl w:val="0"/>
          <w:numId w:val="2"/>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PTSD:</w:t>
      </w:r>
      <w:r w:rsidRPr="00E14F5D">
        <w:rPr>
          <w:rFonts w:asciiTheme="minorBidi" w:hAnsiTheme="minorBidi" w:cstheme="minorBidi"/>
          <w:sz w:val="22"/>
          <w:szCs w:val="22"/>
        </w:rPr>
        <w:t xml:space="preserve"> Post-Traumatic Stress Disorder</w:t>
      </w:r>
    </w:p>
    <w:p w14:paraId="0B639954" w14:textId="77777777" w:rsidR="005C310D" w:rsidRPr="00E14F5D" w:rsidRDefault="005C310D" w:rsidP="00210CD1">
      <w:pPr>
        <w:pStyle w:val="NormalWeb"/>
        <w:numPr>
          <w:ilvl w:val="0"/>
          <w:numId w:val="2"/>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SMI:</w:t>
      </w:r>
      <w:r w:rsidRPr="00E14F5D">
        <w:rPr>
          <w:rFonts w:asciiTheme="minorBidi" w:hAnsiTheme="minorBidi" w:cstheme="minorBidi"/>
          <w:sz w:val="22"/>
          <w:szCs w:val="22"/>
        </w:rPr>
        <w:t xml:space="preserve"> Serious Mental Illness</w:t>
      </w:r>
    </w:p>
    <w:p w14:paraId="06FDE763" w14:textId="77777777" w:rsidR="005C310D" w:rsidRPr="00E14F5D" w:rsidRDefault="005C310D" w:rsidP="00210CD1">
      <w:pPr>
        <w:pStyle w:val="NormalWeb"/>
        <w:numPr>
          <w:ilvl w:val="0"/>
          <w:numId w:val="2"/>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CASP:</w:t>
      </w:r>
      <w:r w:rsidRPr="00E14F5D">
        <w:rPr>
          <w:rFonts w:asciiTheme="minorBidi" w:hAnsiTheme="minorBidi" w:cstheme="minorBidi"/>
          <w:sz w:val="22"/>
          <w:szCs w:val="22"/>
        </w:rPr>
        <w:t xml:space="preserve"> Critical Appraisal Skills Programme</w:t>
      </w:r>
    </w:p>
    <w:p w14:paraId="551A7C0F" w14:textId="61BF6270" w:rsidR="005C310D" w:rsidRPr="00E14F5D" w:rsidRDefault="005C310D" w:rsidP="00210CD1">
      <w:pPr>
        <w:pStyle w:val="NormalWeb"/>
        <w:numPr>
          <w:ilvl w:val="0"/>
          <w:numId w:val="2"/>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PRISMA:</w:t>
      </w:r>
      <w:r w:rsidRPr="00E14F5D">
        <w:rPr>
          <w:rFonts w:asciiTheme="minorBidi" w:hAnsiTheme="minorBidi" w:cstheme="minorBidi"/>
          <w:sz w:val="22"/>
          <w:szCs w:val="22"/>
        </w:rPr>
        <w:t xml:space="preserve"> Preferred Reporting Items for Systematic Reviews and Meta-Analyses</w:t>
      </w:r>
    </w:p>
    <w:p w14:paraId="74161D45" w14:textId="09872535" w:rsidR="005C310D" w:rsidRPr="007272F1" w:rsidRDefault="005C310D" w:rsidP="00210CD1">
      <w:pPr>
        <w:pStyle w:val="Heading2"/>
        <w:jc w:val="both"/>
        <w:rPr>
          <w:rFonts w:cstheme="minorBidi"/>
          <w:szCs w:val="28"/>
        </w:rPr>
      </w:pPr>
      <w:r w:rsidRPr="007272F1">
        <w:rPr>
          <w:rFonts w:cstheme="minorBidi"/>
          <w:szCs w:val="28"/>
        </w:rPr>
        <w:t xml:space="preserve">1.3 Rationale for Research </w:t>
      </w:r>
    </w:p>
    <w:p w14:paraId="0F6DC765" w14:textId="5CD8B5DF"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The purpose is to consolidate scattered evidence at the graduate stage and to test claims that are often asserted but rarely compared directly by foster-care status. The current literature is fragmented across health, education, and social-care domains, uses inconsistent measures of wellbeing, and applies varied follow-up windows</w:t>
      </w:r>
      <w:r w:rsidR="006076B9" w:rsidRPr="00E14F5D">
        <w:rPr>
          <w:rFonts w:asciiTheme="minorBidi" w:hAnsiTheme="minorBidi" w:cstheme="minorBidi"/>
          <w:sz w:val="22"/>
          <w:szCs w:val="22"/>
        </w:rPr>
        <w:t xml:space="preserve"> (Zhang </w:t>
      </w:r>
      <w:r w:rsidR="006076B9" w:rsidRPr="00E14F5D">
        <w:rPr>
          <w:rFonts w:asciiTheme="minorBidi" w:hAnsiTheme="minorBidi" w:cstheme="minorBidi"/>
          <w:i/>
          <w:iCs/>
          <w:sz w:val="22"/>
          <w:szCs w:val="22"/>
        </w:rPr>
        <w:t>et al.</w:t>
      </w:r>
      <w:r w:rsidR="006076B9" w:rsidRPr="00E14F5D">
        <w:rPr>
          <w:rFonts w:asciiTheme="minorBidi" w:hAnsiTheme="minorBidi" w:cstheme="minorBidi"/>
          <w:sz w:val="22"/>
          <w:szCs w:val="22"/>
        </w:rPr>
        <w:t>, 2024)</w:t>
      </w:r>
      <w:r w:rsidRPr="00E14F5D">
        <w:rPr>
          <w:rFonts w:asciiTheme="minorBidi" w:hAnsiTheme="minorBidi" w:cstheme="minorBidi"/>
          <w:sz w:val="22"/>
          <w:szCs w:val="22"/>
        </w:rPr>
        <w:t xml:space="preserve">. Some studies </w:t>
      </w:r>
      <w:r w:rsidR="00A7220E" w:rsidRPr="00E14F5D">
        <w:rPr>
          <w:rFonts w:asciiTheme="minorBidi" w:hAnsiTheme="minorBidi" w:cstheme="minorBidi"/>
          <w:sz w:val="22"/>
          <w:szCs w:val="22"/>
        </w:rPr>
        <w:t>integrate</w:t>
      </w:r>
      <w:r w:rsidRPr="00E14F5D">
        <w:rPr>
          <w:rFonts w:asciiTheme="minorBidi" w:hAnsiTheme="minorBidi" w:cstheme="minorBidi"/>
          <w:sz w:val="22"/>
          <w:szCs w:val="22"/>
        </w:rPr>
        <w:t xml:space="preserve"> care leavers with other disadvantaged groups, masking foster-care-specific effects</w:t>
      </w:r>
      <w:r w:rsidR="00A7220E" w:rsidRPr="00E14F5D">
        <w:rPr>
          <w:rFonts w:asciiTheme="minorBidi" w:hAnsiTheme="minorBidi" w:cstheme="minorBidi"/>
          <w:sz w:val="22"/>
          <w:szCs w:val="22"/>
        </w:rPr>
        <w:t xml:space="preserve"> (Kaasinen, Terkamo-Moisio and Häggman-Laitila, 2024; Sting </w:t>
      </w:r>
      <w:r w:rsidR="00A7220E" w:rsidRPr="00E14F5D">
        <w:rPr>
          <w:rFonts w:asciiTheme="minorBidi" w:hAnsiTheme="minorBidi" w:cstheme="minorBidi"/>
          <w:i/>
          <w:iCs/>
          <w:sz w:val="22"/>
          <w:szCs w:val="22"/>
        </w:rPr>
        <w:t>et al.</w:t>
      </w:r>
      <w:r w:rsidR="00A7220E" w:rsidRPr="00E14F5D">
        <w:rPr>
          <w:rFonts w:asciiTheme="minorBidi" w:hAnsiTheme="minorBidi" w:cstheme="minorBidi"/>
          <w:sz w:val="22"/>
          <w:szCs w:val="22"/>
        </w:rPr>
        <w:t>, 2025)</w:t>
      </w:r>
      <w:r w:rsidRPr="00E14F5D">
        <w:rPr>
          <w:rFonts w:asciiTheme="minorBidi" w:hAnsiTheme="minorBidi" w:cstheme="minorBidi"/>
          <w:sz w:val="22"/>
          <w:szCs w:val="22"/>
        </w:rPr>
        <w:t>. Others report academic attainment at graduation but do not link these results to mental-health status during transition to work or further study</w:t>
      </w:r>
      <w:r w:rsidR="004C3AD4" w:rsidRPr="00E14F5D">
        <w:rPr>
          <w:rFonts w:asciiTheme="minorBidi" w:hAnsiTheme="minorBidi" w:cstheme="minorBidi"/>
          <w:sz w:val="22"/>
          <w:szCs w:val="22"/>
        </w:rPr>
        <w:t xml:space="preserve"> (Gilligan, Brady and Arnau-Sabatés, 2025; Somers </w:t>
      </w:r>
      <w:r w:rsidR="004C3AD4" w:rsidRPr="00E14F5D">
        <w:rPr>
          <w:rFonts w:asciiTheme="minorBidi" w:hAnsiTheme="minorBidi" w:cstheme="minorBidi"/>
          <w:i/>
          <w:iCs/>
          <w:sz w:val="22"/>
          <w:szCs w:val="22"/>
        </w:rPr>
        <w:t>et al.</w:t>
      </w:r>
      <w:r w:rsidR="004C3AD4" w:rsidRPr="00E14F5D">
        <w:rPr>
          <w:rFonts w:asciiTheme="minorBidi" w:hAnsiTheme="minorBidi" w:cstheme="minorBidi"/>
          <w:sz w:val="22"/>
          <w:szCs w:val="22"/>
        </w:rPr>
        <w:t>, 2020)</w:t>
      </w:r>
      <w:r w:rsidRPr="00E14F5D">
        <w:rPr>
          <w:rFonts w:asciiTheme="minorBidi" w:hAnsiTheme="minorBidi" w:cstheme="minorBidi"/>
          <w:sz w:val="22"/>
          <w:szCs w:val="22"/>
        </w:rPr>
        <w:t>. These features limit causal interpretation and weaken policy relevance.</w:t>
      </w:r>
    </w:p>
    <w:p w14:paraId="3AD92039" w14:textId="2C8AB31D"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This review responds to three gaps. </w:t>
      </w:r>
      <w:r w:rsidRPr="00E14F5D">
        <w:rPr>
          <w:rStyle w:val="Strong"/>
          <w:rFonts w:asciiTheme="minorBidi" w:eastAsiaTheme="majorEastAsia" w:hAnsiTheme="minorBidi" w:cstheme="minorBidi"/>
          <w:b w:val="0"/>
          <w:bCs w:val="0"/>
          <w:sz w:val="22"/>
          <w:szCs w:val="22"/>
        </w:rPr>
        <w:t>First</w:t>
      </w:r>
      <w:r w:rsidRPr="00E14F5D">
        <w:rPr>
          <w:rStyle w:val="Strong"/>
          <w:rFonts w:asciiTheme="minorBidi" w:eastAsiaTheme="majorEastAsia" w:hAnsiTheme="minorBidi" w:cstheme="minorBidi"/>
          <w:sz w:val="22"/>
          <w:szCs w:val="22"/>
        </w:rPr>
        <w:t>,</w:t>
      </w:r>
      <w:r w:rsidRPr="00E14F5D">
        <w:rPr>
          <w:rFonts w:asciiTheme="minorBidi" w:hAnsiTheme="minorBidi" w:cstheme="minorBidi"/>
          <w:sz w:val="22"/>
          <w:szCs w:val="22"/>
        </w:rPr>
        <w:t xml:space="preserve"> it focuses on graduates, not only enrolled students, aligning with outcome metrics used by funders and regulators. </w:t>
      </w:r>
      <w:r w:rsidRPr="00E14F5D">
        <w:rPr>
          <w:rStyle w:val="Strong"/>
          <w:rFonts w:asciiTheme="minorBidi" w:eastAsiaTheme="majorEastAsia" w:hAnsiTheme="minorBidi" w:cstheme="minorBidi"/>
          <w:b w:val="0"/>
          <w:bCs w:val="0"/>
          <w:sz w:val="22"/>
          <w:szCs w:val="22"/>
        </w:rPr>
        <w:t>Second</w:t>
      </w:r>
      <w:r w:rsidRPr="00E14F5D">
        <w:rPr>
          <w:rStyle w:val="Strong"/>
          <w:rFonts w:asciiTheme="minorBidi" w:eastAsiaTheme="majorEastAsia" w:hAnsiTheme="minorBidi" w:cstheme="minorBidi"/>
          <w:sz w:val="22"/>
          <w:szCs w:val="22"/>
        </w:rPr>
        <w:t>,</w:t>
      </w:r>
      <w:r w:rsidRPr="00E14F5D">
        <w:rPr>
          <w:rFonts w:asciiTheme="minorBidi" w:hAnsiTheme="minorBidi" w:cstheme="minorBidi"/>
          <w:sz w:val="22"/>
          <w:szCs w:val="22"/>
        </w:rPr>
        <w:t xml:space="preserve"> it analyses the relationship between mental health and academic success, allowing consideration of bidirectional influences and mediators such as financial stress, stigma, and access to support. </w:t>
      </w:r>
      <w:r w:rsidRPr="00E14F5D">
        <w:rPr>
          <w:rStyle w:val="Strong"/>
          <w:rFonts w:asciiTheme="minorBidi" w:eastAsiaTheme="majorEastAsia" w:hAnsiTheme="minorBidi" w:cstheme="minorBidi"/>
          <w:b w:val="0"/>
          <w:bCs w:val="0"/>
          <w:sz w:val="22"/>
          <w:szCs w:val="22"/>
        </w:rPr>
        <w:t>Third</w:t>
      </w:r>
      <w:r w:rsidRPr="00E14F5D">
        <w:rPr>
          <w:rStyle w:val="Strong"/>
          <w:rFonts w:asciiTheme="minorBidi" w:eastAsiaTheme="majorEastAsia" w:hAnsiTheme="minorBidi" w:cstheme="minorBidi"/>
          <w:sz w:val="22"/>
          <w:szCs w:val="22"/>
        </w:rPr>
        <w:t>,</w:t>
      </w:r>
      <w:r w:rsidRPr="00E14F5D">
        <w:rPr>
          <w:rFonts w:asciiTheme="minorBidi" w:hAnsiTheme="minorBidi" w:cstheme="minorBidi"/>
          <w:sz w:val="22"/>
          <w:szCs w:val="22"/>
        </w:rPr>
        <w:t xml:space="preserve"> it identifies protective factors linked to better outcomes, moving beyond deficit narratives toward improvement levers. The approach is explicitly critical: it examines study quality, context, heterogeneity, and equity implications; it avoids over-generalisation when evidence is weak; and it highlights where stronger designs or better measures are needed. By emphasising both disparities and protective mechanisms, the review aims to inform targeted, trauma-aware practice rather than generic support.</w:t>
      </w:r>
    </w:p>
    <w:p w14:paraId="36B5EB86" w14:textId="14AD64F9" w:rsidR="005C310D" w:rsidRPr="007272F1" w:rsidRDefault="005C310D" w:rsidP="00210CD1">
      <w:pPr>
        <w:pStyle w:val="Heading2"/>
        <w:jc w:val="both"/>
        <w:rPr>
          <w:rFonts w:cstheme="minorBidi"/>
          <w:szCs w:val="28"/>
        </w:rPr>
      </w:pPr>
      <w:r w:rsidRPr="007272F1">
        <w:rPr>
          <w:rFonts w:cstheme="minorBidi"/>
          <w:szCs w:val="28"/>
        </w:rPr>
        <w:t xml:space="preserve">1.4 Aim and Objectives </w:t>
      </w:r>
    </w:p>
    <w:p w14:paraId="46715EB7" w14:textId="6C9C7BA3" w:rsidR="009149FE" w:rsidRPr="00E14F5D" w:rsidRDefault="005C310D" w:rsidP="00210CD1">
      <w:pPr>
        <w:pStyle w:val="NormalWeb"/>
        <w:spacing w:line="360" w:lineRule="auto"/>
        <w:jc w:val="both"/>
        <w:rPr>
          <w:rStyle w:val="Strong"/>
          <w:rFonts w:asciiTheme="minorBidi" w:eastAsiaTheme="majorEastAsia" w:hAnsiTheme="minorBidi" w:cstheme="minorBidi"/>
          <w:sz w:val="22"/>
          <w:szCs w:val="22"/>
        </w:rPr>
      </w:pPr>
      <w:r w:rsidRPr="00E14F5D">
        <w:rPr>
          <w:rStyle w:val="Strong"/>
          <w:rFonts w:asciiTheme="minorBidi" w:eastAsiaTheme="majorEastAsia" w:hAnsiTheme="minorBidi" w:cstheme="minorBidi"/>
          <w:sz w:val="22"/>
          <w:szCs w:val="22"/>
        </w:rPr>
        <w:t xml:space="preserve">Research </w:t>
      </w:r>
      <w:r w:rsidR="009149FE" w:rsidRPr="00E14F5D">
        <w:rPr>
          <w:rStyle w:val="Strong"/>
          <w:rFonts w:asciiTheme="minorBidi" w:eastAsiaTheme="majorEastAsia" w:hAnsiTheme="minorBidi" w:cstheme="minorBidi"/>
          <w:sz w:val="22"/>
          <w:szCs w:val="22"/>
        </w:rPr>
        <w:t>A</w:t>
      </w:r>
      <w:r w:rsidRPr="00E14F5D">
        <w:rPr>
          <w:rStyle w:val="Strong"/>
          <w:rFonts w:asciiTheme="minorBidi" w:eastAsiaTheme="majorEastAsia" w:hAnsiTheme="minorBidi" w:cstheme="minorBidi"/>
          <w:sz w:val="22"/>
          <w:szCs w:val="22"/>
        </w:rPr>
        <w:t>im</w:t>
      </w:r>
    </w:p>
    <w:p w14:paraId="7C193730" w14:textId="064B7C82"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To conduct a systematic literature review comparing mental health outcomes and academic success between graduates with and without foster-care histories, identify key disparities and protective factors, and generate actionable recommendations for universities, services, and policymakers.</w:t>
      </w:r>
    </w:p>
    <w:p w14:paraId="6E671F86" w14:textId="17727359" w:rsidR="005C310D" w:rsidRPr="00E14F5D" w:rsidRDefault="005C310D" w:rsidP="00210CD1">
      <w:pPr>
        <w:pStyle w:val="NormalWeb"/>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 xml:space="preserve">Research </w:t>
      </w:r>
      <w:r w:rsidR="009149FE" w:rsidRPr="00E14F5D">
        <w:rPr>
          <w:rStyle w:val="Strong"/>
          <w:rFonts w:asciiTheme="minorBidi" w:eastAsiaTheme="majorEastAsia" w:hAnsiTheme="minorBidi" w:cstheme="minorBidi"/>
          <w:sz w:val="22"/>
          <w:szCs w:val="22"/>
        </w:rPr>
        <w:t>O</w:t>
      </w:r>
      <w:r w:rsidRPr="00E14F5D">
        <w:rPr>
          <w:rStyle w:val="Strong"/>
          <w:rFonts w:asciiTheme="minorBidi" w:eastAsiaTheme="majorEastAsia" w:hAnsiTheme="minorBidi" w:cstheme="minorBidi"/>
          <w:sz w:val="22"/>
          <w:szCs w:val="22"/>
        </w:rPr>
        <w:t>bjectives</w:t>
      </w:r>
    </w:p>
    <w:p w14:paraId="053157E3" w14:textId="77777777" w:rsidR="005C310D" w:rsidRPr="00E14F5D" w:rsidRDefault="005C310D" w:rsidP="00210CD1">
      <w:pPr>
        <w:pStyle w:val="NormalWeb"/>
        <w:numPr>
          <w:ilvl w:val="0"/>
          <w:numId w:val="3"/>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Objective 1:</w:t>
      </w:r>
      <w:r w:rsidRPr="00E14F5D">
        <w:rPr>
          <w:rFonts w:asciiTheme="minorBidi" w:hAnsiTheme="minorBidi" w:cstheme="minorBidi"/>
          <w:sz w:val="22"/>
          <w:szCs w:val="22"/>
        </w:rPr>
        <w:t xml:space="preserve"> Define and examine the key mental-health challenges experienced by foster-care graduates compared with non-foster peers, drawing on academic and policy literature.</w:t>
      </w:r>
    </w:p>
    <w:p w14:paraId="51054AD9" w14:textId="77777777" w:rsidR="005C310D" w:rsidRPr="00E14F5D" w:rsidRDefault="005C310D" w:rsidP="00210CD1">
      <w:pPr>
        <w:pStyle w:val="NormalWeb"/>
        <w:numPr>
          <w:ilvl w:val="0"/>
          <w:numId w:val="3"/>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Objective 2:</w:t>
      </w:r>
      <w:r w:rsidRPr="00E14F5D">
        <w:rPr>
          <w:rFonts w:asciiTheme="minorBidi" w:hAnsiTheme="minorBidi" w:cstheme="minorBidi"/>
          <w:sz w:val="22"/>
          <w:szCs w:val="22"/>
        </w:rPr>
        <w:t xml:space="preserve"> Analyse the relationship between mental-health outcomes and academic performance, with attention to resilience patterns and barriers to success in both groups.</w:t>
      </w:r>
    </w:p>
    <w:p w14:paraId="53154730" w14:textId="77777777" w:rsidR="005C310D" w:rsidRPr="00E14F5D" w:rsidRDefault="005C310D" w:rsidP="00210CD1">
      <w:pPr>
        <w:pStyle w:val="NormalWeb"/>
        <w:numPr>
          <w:ilvl w:val="0"/>
          <w:numId w:val="3"/>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Objective 3:</w:t>
      </w:r>
      <w:r w:rsidRPr="00E14F5D">
        <w:rPr>
          <w:rFonts w:asciiTheme="minorBidi" w:hAnsiTheme="minorBidi" w:cstheme="minorBidi"/>
          <w:sz w:val="22"/>
          <w:szCs w:val="22"/>
        </w:rPr>
        <w:t xml:space="preserve"> Evaluate the extent to which existing educational and support interventions address the specific needs of foster-care graduates in higher-education contexts.</w:t>
      </w:r>
    </w:p>
    <w:p w14:paraId="0CD1209B" w14:textId="4250B2BF" w:rsidR="005C310D" w:rsidRPr="00E14F5D" w:rsidRDefault="005C310D" w:rsidP="00210CD1">
      <w:pPr>
        <w:pStyle w:val="NormalWeb"/>
        <w:numPr>
          <w:ilvl w:val="0"/>
          <w:numId w:val="3"/>
        </w:numPr>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Objective 4:</w:t>
      </w:r>
      <w:r w:rsidRPr="00E14F5D">
        <w:rPr>
          <w:rFonts w:asciiTheme="minorBidi" w:hAnsiTheme="minorBidi" w:cstheme="minorBidi"/>
          <w:sz w:val="22"/>
          <w:szCs w:val="22"/>
        </w:rPr>
        <w:t xml:space="preserve"> Provide recommendations for policymakers, educators, and mental-health professionals on strategies to enhance academic achievement and psychological wellbeing among foster-care graduates.</w:t>
      </w:r>
    </w:p>
    <w:p w14:paraId="4DDC8039" w14:textId="1C7A5791" w:rsidR="005C310D" w:rsidRPr="007272F1" w:rsidRDefault="005C310D" w:rsidP="00210CD1">
      <w:pPr>
        <w:pStyle w:val="Heading2"/>
        <w:jc w:val="both"/>
        <w:rPr>
          <w:rFonts w:cstheme="minorBidi"/>
          <w:szCs w:val="28"/>
        </w:rPr>
      </w:pPr>
      <w:r w:rsidRPr="007272F1">
        <w:rPr>
          <w:rFonts w:cstheme="minorBidi"/>
          <w:szCs w:val="28"/>
        </w:rPr>
        <w:t xml:space="preserve">1.5 Conclusion </w:t>
      </w:r>
    </w:p>
    <w:p w14:paraId="1F2FE11A" w14:textId="77777777"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This chapter set out the problem, clarified core terms, and explained why a graduate-focused, comparative review is required. It presented one aim and four objectives that locate mental health and academic success within the same analytical frame, with attention to disparities and protective factors. The stance is critical, evidence-led, and practice-oriented, aiming to improve outcomes rather than merely describe gaps.</w:t>
      </w:r>
    </w:p>
    <w:p w14:paraId="0ADB667C" w14:textId="1C7E179D" w:rsidR="005C310D" w:rsidRPr="00E14F5D" w:rsidRDefault="005C310D"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Chapter 2 will detail the methodology: eligibility criteria; databases and search strings; screening and extraction processes; quality appraisal using CASP; and the synthesis approach aligned to PRISMA. It will also address reflexivity and limitations. Subsequent chapters will report results, analyse mechanisms and equity implications, and develop targeted recommendations for universities, services, and policymakers.</w:t>
      </w:r>
    </w:p>
    <w:p w14:paraId="68E27D46" w14:textId="77777777" w:rsidR="00F57E51" w:rsidRPr="00E14F5D" w:rsidRDefault="00F57E51" w:rsidP="00210CD1">
      <w:pPr>
        <w:jc w:val="both"/>
        <w:rPr>
          <w:szCs w:val="22"/>
        </w:rPr>
      </w:pPr>
    </w:p>
    <w:p w14:paraId="5683BD4E" w14:textId="77777777" w:rsidR="00D85B2B" w:rsidRPr="00E14F5D" w:rsidRDefault="00D85B2B" w:rsidP="00210CD1">
      <w:pPr>
        <w:jc w:val="both"/>
        <w:rPr>
          <w:szCs w:val="22"/>
        </w:rPr>
      </w:pPr>
    </w:p>
    <w:p w14:paraId="4BC827A1" w14:textId="786F20A8" w:rsidR="00D85B2B" w:rsidRPr="007272F1" w:rsidRDefault="00D85B2B" w:rsidP="007272F1">
      <w:pPr>
        <w:pStyle w:val="Heading1"/>
      </w:pPr>
      <w:r w:rsidRPr="007272F1">
        <w:t>CHAPTER 2 – Background Information and Analysis</w:t>
      </w:r>
    </w:p>
    <w:p w14:paraId="450DDC76" w14:textId="6A796E63" w:rsidR="00317F5B" w:rsidRPr="007272F1" w:rsidRDefault="00317F5B" w:rsidP="007272F1">
      <w:pPr>
        <w:pStyle w:val="Heading2"/>
      </w:pPr>
      <w:r w:rsidRPr="007272F1">
        <w:t>2.1</w:t>
      </w:r>
      <w:r w:rsidR="00D85B2B" w:rsidRPr="007272F1">
        <w:t>.</w:t>
      </w:r>
      <w:r w:rsidRPr="007272F1">
        <w:t xml:space="preserve"> Introduction</w:t>
      </w:r>
    </w:p>
    <w:p w14:paraId="12DFEAE6" w14:textId="46321AF8" w:rsidR="00317F5B"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This chapter provides the necessary background for a critical comparison of mental health and academic success among graduates with and without foster-care histories. It sets the foundation by outlining how the topic developed, which frameworks guide interpretation, and which contexts shape measurement and practice. The objective here is preparatory: to locate the review within its wider historical and policy landscape and to clarify assumptions, boundaries, and terminology before evidence is appraised. This chapter does not present analytic themes or results; those appear in later chapters. Rather, it explains why a graduate-focused, comparative lens is required, how ideas about trauma, inclusion, and equity influence interpretation, and where universities and services fit in. By the end of the chapter, readers will understand the lineage of the problem, the main theoretical anchors, and the international and UK contexts that condition outcomes and interventions. This groundwork supports transparent, replicable methods later.</w:t>
      </w:r>
    </w:p>
    <w:p w14:paraId="33432623" w14:textId="685EEE9E" w:rsidR="00317F5B" w:rsidRPr="007272F1" w:rsidRDefault="00317F5B" w:rsidP="007272F1">
      <w:pPr>
        <w:pStyle w:val="Heading2"/>
      </w:pPr>
      <w:r w:rsidRPr="007272F1">
        <w:t xml:space="preserve">2.2 Historical Background </w:t>
      </w:r>
    </w:p>
    <w:p w14:paraId="321AE97A" w14:textId="1FDA15F8" w:rsidR="00317F5B"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Interest in the life chances of people with care experience grew from child-welfare reforms that sought to replace institutional care with foster placements. Early work focused on child protection and schooling disruption, with little follow-up into higher education or adulthood. As mass participation in higher education expanded, policy attention shifted toward access for under-represented groups, including care-experienced young people</w:t>
      </w:r>
      <w:r w:rsidR="00A9047B" w:rsidRPr="00E14F5D">
        <w:rPr>
          <w:rFonts w:asciiTheme="minorBidi" w:hAnsiTheme="minorBidi" w:cstheme="minorBidi"/>
          <w:sz w:val="22"/>
          <w:szCs w:val="22"/>
        </w:rPr>
        <w:t xml:space="preserve"> </w:t>
      </w:r>
      <w:r w:rsidR="007D3387" w:rsidRPr="00E14F5D">
        <w:rPr>
          <w:rFonts w:asciiTheme="minorBidi" w:hAnsiTheme="minorBidi" w:cstheme="minorBidi"/>
          <w:sz w:val="22"/>
          <w:szCs w:val="22"/>
        </w:rPr>
        <w:t xml:space="preserve">(Leve </w:t>
      </w:r>
      <w:r w:rsidR="007D3387" w:rsidRPr="00E14F5D">
        <w:rPr>
          <w:rFonts w:asciiTheme="minorBidi" w:hAnsiTheme="minorBidi" w:cstheme="minorBidi"/>
          <w:i/>
          <w:iCs/>
          <w:sz w:val="22"/>
          <w:szCs w:val="22"/>
        </w:rPr>
        <w:t>et al.</w:t>
      </w:r>
      <w:r w:rsidR="007D3387" w:rsidRPr="00E14F5D">
        <w:rPr>
          <w:rFonts w:asciiTheme="minorBidi" w:hAnsiTheme="minorBidi" w:cstheme="minorBidi"/>
          <w:sz w:val="22"/>
          <w:szCs w:val="22"/>
        </w:rPr>
        <w:t>, 2012)</w:t>
      </w:r>
      <w:r w:rsidRPr="00E14F5D">
        <w:rPr>
          <w:rFonts w:asciiTheme="minorBidi" w:hAnsiTheme="minorBidi" w:cstheme="minorBidi"/>
          <w:sz w:val="22"/>
          <w:szCs w:val="22"/>
        </w:rPr>
        <w:t>. However, monitoring emphasised entry and retention, not graduate outcomes or mental health after graduation. Two developments changed the agenda. First, evidence about the long-term effects of adversity and instability drew attention to mental health and functioning into adulthood</w:t>
      </w:r>
      <w:r w:rsidR="007D3387" w:rsidRPr="00E14F5D">
        <w:rPr>
          <w:rFonts w:asciiTheme="minorBidi" w:hAnsiTheme="minorBidi" w:cstheme="minorBidi"/>
          <w:sz w:val="22"/>
          <w:szCs w:val="22"/>
        </w:rPr>
        <w:t xml:space="preserve"> (Kirkbride </w:t>
      </w:r>
      <w:r w:rsidR="007D3387" w:rsidRPr="00E14F5D">
        <w:rPr>
          <w:rFonts w:asciiTheme="minorBidi" w:hAnsiTheme="minorBidi" w:cstheme="minorBidi"/>
          <w:i/>
          <w:iCs/>
          <w:sz w:val="22"/>
          <w:szCs w:val="22"/>
        </w:rPr>
        <w:t>et al.</w:t>
      </w:r>
      <w:r w:rsidR="007D3387" w:rsidRPr="00E14F5D">
        <w:rPr>
          <w:rFonts w:asciiTheme="minorBidi" w:hAnsiTheme="minorBidi" w:cstheme="minorBidi"/>
          <w:sz w:val="22"/>
          <w:szCs w:val="22"/>
        </w:rPr>
        <w:t>, 2024)</w:t>
      </w:r>
      <w:r w:rsidRPr="00E14F5D">
        <w:rPr>
          <w:rFonts w:asciiTheme="minorBidi" w:hAnsiTheme="minorBidi" w:cstheme="minorBidi"/>
          <w:sz w:val="22"/>
          <w:szCs w:val="22"/>
        </w:rPr>
        <w:t>. Second, performance frameworks in higher education began to report employment and further-study indicators, exposing unequal outcomes that headline access gains concealed</w:t>
      </w:r>
      <w:r w:rsidR="00711740" w:rsidRPr="00E14F5D">
        <w:rPr>
          <w:rFonts w:asciiTheme="minorBidi" w:hAnsiTheme="minorBidi" w:cstheme="minorBidi"/>
          <w:sz w:val="22"/>
          <w:szCs w:val="22"/>
        </w:rPr>
        <w:t xml:space="preserve"> (Moreira and Oliveira, 2022)</w:t>
      </w:r>
      <w:r w:rsidRPr="00E14F5D">
        <w:rPr>
          <w:rFonts w:asciiTheme="minorBidi" w:hAnsiTheme="minorBidi" w:cstheme="minorBidi"/>
          <w:sz w:val="22"/>
          <w:szCs w:val="22"/>
        </w:rPr>
        <w:t>.</w:t>
      </w:r>
    </w:p>
    <w:p w14:paraId="6346B627" w14:textId="7257A9E7" w:rsidR="00D16362" w:rsidRPr="00E14F5D" w:rsidRDefault="00D16362"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From the late twentieth century, many countries </w:t>
      </w:r>
      <w:r w:rsidR="00211208" w:rsidRPr="00E14F5D">
        <w:rPr>
          <w:rFonts w:asciiTheme="minorBidi" w:hAnsiTheme="minorBidi" w:cstheme="minorBidi"/>
          <w:sz w:val="22"/>
          <w:szCs w:val="22"/>
        </w:rPr>
        <w:t xml:space="preserve">notbaly UK and USA </w:t>
      </w:r>
      <w:r w:rsidRPr="00E14F5D">
        <w:rPr>
          <w:rFonts w:asciiTheme="minorBidi" w:hAnsiTheme="minorBidi" w:cstheme="minorBidi"/>
          <w:sz w:val="22"/>
          <w:szCs w:val="22"/>
        </w:rPr>
        <w:t>moved away from large residential institutions toward family-based foster care, prompting formal standards for assessment, placement, and review</w:t>
      </w:r>
      <w:r w:rsidR="001D1A56" w:rsidRPr="00E14F5D">
        <w:rPr>
          <w:rFonts w:asciiTheme="minorBidi" w:hAnsiTheme="minorBidi" w:cstheme="minorBidi"/>
          <w:sz w:val="22"/>
          <w:szCs w:val="22"/>
        </w:rPr>
        <w:t xml:space="preserve"> (Vallejo-Slocker </w:t>
      </w:r>
      <w:r w:rsidR="001D1A56" w:rsidRPr="00E14F5D">
        <w:rPr>
          <w:rFonts w:asciiTheme="minorBidi" w:hAnsiTheme="minorBidi" w:cstheme="minorBidi"/>
          <w:i/>
          <w:iCs/>
          <w:sz w:val="22"/>
          <w:szCs w:val="22"/>
        </w:rPr>
        <w:t>et al.</w:t>
      </w:r>
      <w:r w:rsidR="001D1A56" w:rsidRPr="00E14F5D">
        <w:rPr>
          <w:rFonts w:asciiTheme="minorBidi" w:hAnsiTheme="minorBidi" w:cstheme="minorBidi"/>
          <w:sz w:val="22"/>
          <w:szCs w:val="22"/>
        </w:rPr>
        <w:t>, 2024)</w:t>
      </w:r>
      <w:r w:rsidRPr="00E14F5D">
        <w:rPr>
          <w:rFonts w:asciiTheme="minorBidi" w:hAnsiTheme="minorBidi" w:cstheme="minorBidi"/>
          <w:sz w:val="22"/>
          <w:szCs w:val="22"/>
        </w:rPr>
        <w:t>. In the early 2000s, new leaving-care laws and guidance professionalised support into adulthood, creating personal advisers, pathway plans, and duties on local authorities. As mass higher education expanded, governments introduced widening-participation targets and encouraged universities to name care-experienced students as a priority group, shifting attention from access alone to progression and outcomes</w:t>
      </w:r>
      <w:r w:rsidR="008E368B" w:rsidRPr="00E14F5D">
        <w:rPr>
          <w:rFonts w:asciiTheme="minorBidi" w:hAnsiTheme="minorBidi" w:cstheme="minorBidi"/>
          <w:sz w:val="22"/>
          <w:szCs w:val="22"/>
        </w:rPr>
        <w:t xml:space="preserve"> (Department of Health, 2011)</w:t>
      </w:r>
      <w:r w:rsidRPr="00E14F5D">
        <w:rPr>
          <w:rFonts w:asciiTheme="minorBidi" w:hAnsiTheme="minorBidi" w:cstheme="minorBidi"/>
          <w:sz w:val="22"/>
          <w:szCs w:val="22"/>
        </w:rPr>
        <w:t>. Data systems then evolved from small local audits to national student returns and administrative linkages, but definitions of care-experienced and coverage remained inconsistent, limiting comparability. On campus, student-support offers broadened</w:t>
      </w:r>
      <w:r w:rsidR="008E368B" w:rsidRPr="00E14F5D">
        <w:rPr>
          <w:rFonts w:asciiTheme="minorBidi" w:hAnsiTheme="minorBidi" w:cstheme="minorBidi"/>
          <w:sz w:val="22"/>
          <w:szCs w:val="22"/>
        </w:rPr>
        <w:t xml:space="preserve"> </w:t>
      </w:r>
      <w:r w:rsidRPr="00E14F5D">
        <w:rPr>
          <w:rFonts w:asciiTheme="minorBidi" w:hAnsiTheme="minorBidi" w:cstheme="minorBidi"/>
          <w:sz w:val="22"/>
          <w:szCs w:val="22"/>
        </w:rPr>
        <w:t>bursaries, year-round accommodation, dedicated advisers, and fast-track referrals</w:t>
      </w:r>
      <w:r w:rsidR="008E368B" w:rsidRPr="00E14F5D">
        <w:rPr>
          <w:rFonts w:asciiTheme="minorBidi" w:hAnsiTheme="minorBidi" w:cstheme="minorBidi"/>
          <w:sz w:val="22"/>
          <w:szCs w:val="22"/>
        </w:rPr>
        <w:t xml:space="preserve"> </w:t>
      </w:r>
      <w:r w:rsidRPr="00E14F5D">
        <w:rPr>
          <w:rFonts w:asciiTheme="minorBidi" w:hAnsiTheme="minorBidi" w:cstheme="minorBidi"/>
          <w:sz w:val="22"/>
          <w:szCs w:val="22"/>
        </w:rPr>
        <w:t>while university mental-health services grew rapidly without matching capacity in specialist care or clear cross-agency pathways. Performance regimes that foregrounded graduate outcomes intensified expectations that attainment and employment gaps would close</w:t>
      </w:r>
      <w:r w:rsidR="00AA56AE" w:rsidRPr="00E14F5D">
        <w:rPr>
          <w:rFonts w:asciiTheme="minorBidi" w:hAnsiTheme="minorBidi" w:cstheme="minorBidi"/>
          <w:sz w:val="22"/>
          <w:szCs w:val="22"/>
        </w:rPr>
        <w:t xml:space="preserve"> (Gale and Thalitaya, 2015)</w:t>
      </w:r>
      <w:r w:rsidRPr="00E14F5D">
        <w:rPr>
          <w:rFonts w:asciiTheme="minorBidi" w:hAnsiTheme="minorBidi" w:cstheme="minorBidi"/>
          <w:sz w:val="22"/>
          <w:szCs w:val="22"/>
        </w:rPr>
        <w:t>. However, austerity pressures, uneven commissioning, privacy constraints around data sharing, and the shocks of the Covid-19 period exposed weak handovers between education, health, and employment services. The result is today’s problem: targeted inputs exist, but coherent evidence on post-graduation mental health and early-career quality for foster-care graduates remains fragmented and methodologically uneven</w:t>
      </w:r>
      <w:r w:rsidR="00AA56AE" w:rsidRPr="00E14F5D">
        <w:rPr>
          <w:rFonts w:asciiTheme="minorBidi" w:hAnsiTheme="minorBidi" w:cstheme="minorBidi"/>
          <w:sz w:val="22"/>
          <w:szCs w:val="22"/>
        </w:rPr>
        <w:t xml:space="preserve"> </w:t>
      </w:r>
      <w:r w:rsidR="00185EF0" w:rsidRPr="00E14F5D">
        <w:rPr>
          <w:rFonts w:asciiTheme="minorBidi" w:hAnsiTheme="minorBidi" w:cstheme="minorBidi"/>
          <w:sz w:val="22"/>
          <w:szCs w:val="22"/>
        </w:rPr>
        <w:t xml:space="preserve">(Hambrick </w:t>
      </w:r>
      <w:r w:rsidR="00185EF0" w:rsidRPr="00E14F5D">
        <w:rPr>
          <w:rFonts w:asciiTheme="minorBidi" w:hAnsiTheme="minorBidi" w:cstheme="minorBidi"/>
          <w:i/>
          <w:iCs/>
          <w:sz w:val="22"/>
          <w:szCs w:val="22"/>
        </w:rPr>
        <w:t>et al.</w:t>
      </w:r>
      <w:r w:rsidR="00185EF0" w:rsidRPr="00E14F5D">
        <w:rPr>
          <w:rFonts w:asciiTheme="minorBidi" w:hAnsiTheme="minorBidi" w:cstheme="minorBidi"/>
          <w:sz w:val="22"/>
          <w:szCs w:val="22"/>
        </w:rPr>
        <w:t>, 2016; Schneider, Harknett and Gailliot, 2024)</w:t>
      </w:r>
      <w:r w:rsidRPr="00E14F5D">
        <w:rPr>
          <w:rFonts w:asciiTheme="minorBidi" w:hAnsiTheme="minorBidi" w:cstheme="minorBidi"/>
          <w:sz w:val="22"/>
          <w:szCs w:val="22"/>
        </w:rPr>
        <w:t>.</w:t>
      </w:r>
    </w:p>
    <w:p w14:paraId="1FD68A1B" w14:textId="32166F4A" w:rsidR="00317F5B"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Significant contributions came from three communities. First, child-welfare researchers established that placement stability, continuity of schooling, and supportive adult relationships predict educational persistence. Second, mental-health and public-health scholars mapped links between adversity, trauma, and adult outcomes, highlighting both risk accumulation and resilience. Third, higher-education researchers developed the access-participation-success model, prompting institutions to extend responsibility beyond admissions to progression and outcomes. Non-governmental organisations and independent foundations amplified lived-experience voices and pressed for consistent definitions and better data. Their reports influenced funding conditions, evaluation norms, and the language of care-experienced as a cross-sector category.</w:t>
      </w:r>
    </w:p>
    <w:p w14:paraId="047CE449" w14:textId="6A22A5F3" w:rsidR="00317F5B"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Despite these advances, two historical features still shape the field. First, evidence is siloed: health, social care, and higher education often use different cohorts, measures, and timelines, limiting synthesis</w:t>
      </w:r>
      <w:r w:rsidR="00D63D4B" w:rsidRPr="00E14F5D">
        <w:rPr>
          <w:rFonts w:asciiTheme="minorBidi" w:hAnsiTheme="minorBidi" w:cstheme="minorBidi"/>
          <w:sz w:val="22"/>
          <w:szCs w:val="22"/>
        </w:rPr>
        <w:t xml:space="preserve"> (Hambrick </w:t>
      </w:r>
      <w:r w:rsidR="00D63D4B" w:rsidRPr="00E14F5D">
        <w:rPr>
          <w:rFonts w:asciiTheme="minorBidi" w:hAnsiTheme="minorBidi" w:cstheme="minorBidi"/>
          <w:i/>
          <w:iCs/>
          <w:sz w:val="22"/>
          <w:szCs w:val="22"/>
        </w:rPr>
        <w:t>et al.</w:t>
      </w:r>
      <w:r w:rsidR="00D63D4B" w:rsidRPr="00E14F5D">
        <w:rPr>
          <w:rFonts w:asciiTheme="minorBidi" w:hAnsiTheme="minorBidi" w:cstheme="minorBidi"/>
          <w:sz w:val="22"/>
          <w:szCs w:val="22"/>
        </w:rPr>
        <w:t>, 2016; Schneider, Harknett and Gailliot, 2024)</w:t>
      </w:r>
      <w:r w:rsidRPr="00E14F5D">
        <w:rPr>
          <w:rFonts w:asciiTheme="minorBidi" w:hAnsiTheme="minorBidi" w:cstheme="minorBidi"/>
          <w:sz w:val="22"/>
          <w:szCs w:val="22"/>
        </w:rPr>
        <w:t>. Second, policy cycles favour short-term metrics and pilot projects, which can obscure structural constraints such as housing insecurity and financial stress during transitions. This history explains why a focused synthesis at the graduate stage is required and why careful attention to definitions, measurement, and comparators is essential for credible inference. Additionally, austerity and service restructures in the 2010s reduced local capacity, while Covid-19 disrupted placements, study, and labour-market entry. Administrative linkage promised better tracking, but privacy rules and incompatible systems slowed progress. Many studies therefore use small samples or proxy markers of care history, increasing uncertainty about effect sizes and mechanisms and timing</w:t>
      </w:r>
      <w:r w:rsidR="00462C2D" w:rsidRPr="00E14F5D">
        <w:rPr>
          <w:rFonts w:asciiTheme="minorBidi" w:hAnsiTheme="minorBidi" w:cstheme="minorBidi"/>
          <w:sz w:val="22"/>
          <w:szCs w:val="22"/>
        </w:rPr>
        <w:t xml:space="preserve"> (Fana and Goudge, 2024)</w:t>
      </w:r>
      <w:r w:rsidRPr="00E14F5D">
        <w:rPr>
          <w:rFonts w:asciiTheme="minorBidi" w:hAnsiTheme="minorBidi" w:cstheme="minorBidi"/>
          <w:sz w:val="22"/>
          <w:szCs w:val="22"/>
        </w:rPr>
        <w:t>.</w:t>
      </w:r>
    </w:p>
    <w:p w14:paraId="4BABDFD1" w14:textId="38D549F3" w:rsidR="00317F5B" w:rsidRPr="007272F1" w:rsidRDefault="00317F5B" w:rsidP="007272F1">
      <w:pPr>
        <w:pStyle w:val="Heading2"/>
      </w:pPr>
      <w:r w:rsidRPr="007272F1">
        <w:t xml:space="preserve">2.3 Theoretical Background </w:t>
      </w:r>
    </w:p>
    <w:p w14:paraId="7E2D2616" w14:textId="4A0AB032" w:rsidR="001B18E4" w:rsidRPr="007272F1" w:rsidRDefault="007272F1" w:rsidP="007272F1">
      <w:pPr>
        <w:pStyle w:val="Heading3"/>
        <w:rPr>
          <w:rStyle w:val="Strong"/>
          <w:b/>
          <w:bCs w:val="0"/>
        </w:rPr>
      </w:pPr>
      <w:r>
        <w:rPr>
          <w:rStyle w:val="Strong"/>
          <w:b/>
          <w:bCs w:val="0"/>
        </w:rPr>
        <w:t xml:space="preserve">2.3.1. </w:t>
      </w:r>
      <w:r w:rsidR="00317F5B" w:rsidRPr="007272F1">
        <w:rPr>
          <w:rStyle w:val="Strong"/>
          <w:b/>
          <w:bCs w:val="0"/>
        </w:rPr>
        <w:t xml:space="preserve">Ecological systems theory (Bronfenbrenner) </w:t>
      </w:r>
    </w:p>
    <w:p w14:paraId="0F230FF4" w14:textId="77777777" w:rsidR="001B18E4"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The theory holds that development is shaped by nested systems: individual, microsystem (family, peers, services), mesosystem (links among settings), exosystem (institutions and policies), macrosystem (culture, economy, law), and the chronosystem of time</w:t>
      </w:r>
      <w:r w:rsidR="001B18E4" w:rsidRPr="00E14F5D">
        <w:rPr>
          <w:rFonts w:asciiTheme="minorBidi" w:hAnsiTheme="minorBidi" w:cstheme="minorBidi"/>
          <w:sz w:val="22"/>
          <w:szCs w:val="22"/>
        </w:rPr>
        <w:t xml:space="preserve"> (Bronfenbrenner, 1992)</w:t>
      </w:r>
      <w:r w:rsidRPr="00E14F5D">
        <w:rPr>
          <w:rFonts w:asciiTheme="minorBidi" w:hAnsiTheme="minorBidi" w:cstheme="minorBidi"/>
          <w:sz w:val="22"/>
          <w:szCs w:val="22"/>
        </w:rPr>
        <w:t xml:space="preserve">. </w:t>
      </w:r>
    </w:p>
    <w:p w14:paraId="1BB63224" w14:textId="3A2BBA17" w:rsidR="00317F5B"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For foster-care graduates, ecological mapping clarifies how placement stability, school continuity, student finance, landlord practices, and employer expectations jointly influence mental health and academic success. In research, it supports multi-level models that test whether institutional supports moderate the association between prior adversity and outcomes. It also guides comparison groups by requiring attention to structural context, not merely individual traits. Applied studies use this lens to examine how university services, welfare rules, and labour-market conditions intersect to shape help-seeking, persistence, and early-career quality</w:t>
      </w:r>
      <w:r w:rsidR="00EB250C" w:rsidRPr="00E14F5D">
        <w:rPr>
          <w:rFonts w:asciiTheme="minorBidi" w:hAnsiTheme="minorBidi" w:cstheme="minorBidi"/>
          <w:sz w:val="22"/>
          <w:szCs w:val="22"/>
        </w:rPr>
        <w:t xml:space="preserve"> (Piel </w:t>
      </w:r>
      <w:r w:rsidR="00EB250C" w:rsidRPr="00E14F5D">
        <w:rPr>
          <w:rFonts w:asciiTheme="minorBidi" w:hAnsiTheme="minorBidi" w:cstheme="minorBidi"/>
          <w:i/>
          <w:iCs/>
          <w:sz w:val="22"/>
          <w:szCs w:val="22"/>
        </w:rPr>
        <w:t>et al.</w:t>
      </w:r>
      <w:r w:rsidR="00EB250C" w:rsidRPr="00E14F5D">
        <w:rPr>
          <w:rFonts w:asciiTheme="minorBidi" w:hAnsiTheme="minorBidi" w:cstheme="minorBidi"/>
          <w:sz w:val="22"/>
          <w:szCs w:val="22"/>
        </w:rPr>
        <w:t>, 2016)</w:t>
      </w:r>
      <w:r w:rsidRPr="00E14F5D">
        <w:rPr>
          <w:rFonts w:asciiTheme="minorBidi" w:hAnsiTheme="minorBidi" w:cstheme="minorBidi"/>
          <w:sz w:val="22"/>
          <w:szCs w:val="22"/>
        </w:rPr>
        <w:t>.</w:t>
      </w:r>
    </w:p>
    <w:p w14:paraId="796651CB" w14:textId="166AB81A" w:rsidR="00EB250C" w:rsidRPr="007272F1" w:rsidRDefault="007272F1" w:rsidP="007272F1">
      <w:pPr>
        <w:pStyle w:val="Heading3"/>
        <w:rPr>
          <w:rStyle w:val="Strong"/>
          <w:b/>
          <w:bCs w:val="0"/>
        </w:rPr>
      </w:pPr>
      <w:r>
        <w:rPr>
          <w:rStyle w:val="Strong"/>
          <w:b/>
          <w:bCs w:val="0"/>
        </w:rPr>
        <w:t xml:space="preserve">2.3.2. </w:t>
      </w:r>
      <w:r w:rsidR="00317F5B" w:rsidRPr="007272F1">
        <w:rPr>
          <w:rStyle w:val="Strong"/>
          <w:b/>
          <w:bCs w:val="0"/>
        </w:rPr>
        <w:t xml:space="preserve">Cumulative </w:t>
      </w:r>
      <w:r w:rsidR="00C069E1" w:rsidRPr="007272F1">
        <w:rPr>
          <w:rStyle w:val="Strong"/>
          <w:b/>
          <w:bCs w:val="0"/>
        </w:rPr>
        <w:t xml:space="preserve">Disadvantage </w:t>
      </w:r>
      <w:r w:rsidR="00317F5B" w:rsidRPr="007272F1">
        <w:rPr>
          <w:rStyle w:val="Strong"/>
          <w:b/>
          <w:bCs w:val="0"/>
        </w:rPr>
        <w:t xml:space="preserve">and </w:t>
      </w:r>
      <w:r w:rsidR="00C069E1" w:rsidRPr="007272F1">
        <w:rPr>
          <w:rStyle w:val="Strong"/>
          <w:b/>
          <w:bCs w:val="0"/>
        </w:rPr>
        <w:t xml:space="preserve">Life-Course Perspective </w:t>
      </w:r>
    </w:p>
    <w:p w14:paraId="37AE410E" w14:textId="43B5CED4" w:rsidR="00317F5B"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This perspective argues that advantages and disadvantages compound over time through linked lives and transitions. Early disruptions (e.g., removals, placement moves) can alter trajectories by affecting attainment, health, and networks; later shocks (housing loss, precarious work) can reinforce risks at graduation. Protective events (stable mentoring, emergency grants, timely therapy) can shift trajectories</w:t>
      </w:r>
      <w:r w:rsidR="00695134" w:rsidRPr="00E14F5D">
        <w:rPr>
          <w:rFonts w:asciiTheme="minorBidi" w:hAnsiTheme="minorBidi" w:cstheme="minorBidi"/>
          <w:sz w:val="22"/>
          <w:szCs w:val="22"/>
        </w:rPr>
        <w:t xml:space="preserve"> (Dannefer, 2003)</w:t>
      </w:r>
      <w:r w:rsidRPr="00E14F5D">
        <w:rPr>
          <w:rFonts w:asciiTheme="minorBidi" w:hAnsiTheme="minorBidi" w:cstheme="minorBidi"/>
          <w:sz w:val="22"/>
          <w:szCs w:val="22"/>
        </w:rPr>
        <w:t>. Research uses this framework to test timing and dosage: whether the number and timing of moves, the age at entry to care, or the continuity of support during university predict mental health and degree outcomes. It also motivates sequence analyses of education-to-work transitions and encourages designs that track cohorts beyond graduation, linking support exposure to later wellbeing and employment quality</w:t>
      </w:r>
      <w:r w:rsidR="00695134" w:rsidRPr="00E14F5D">
        <w:rPr>
          <w:rFonts w:asciiTheme="minorBidi" w:hAnsiTheme="minorBidi" w:cstheme="minorBidi"/>
          <w:sz w:val="22"/>
          <w:szCs w:val="22"/>
        </w:rPr>
        <w:t xml:space="preserve"> (Ferraro and Kelley-Moore, 2003; Nurius, Prince and Rocha, 2015)</w:t>
      </w:r>
      <w:r w:rsidRPr="00E14F5D">
        <w:rPr>
          <w:rFonts w:asciiTheme="minorBidi" w:hAnsiTheme="minorBidi" w:cstheme="minorBidi"/>
          <w:sz w:val="22"/>
          <w:szCs w:val="22"/>
        </w:rPr>
        <w:t>.</w:t>
      </w:r>
    </w:p>
    <w:p w14:paraId="7451E258" w14:textId="7A9494A4" w:rsidR="004C6DE0" w:rsidRPr="007272F1" w:rsidRDefault="007272F1" w:rsidP="007272F1">
      <w:pPr>
        <w:pStyle w:val="Heading3"/>
        <w:rPr>
          <w:rStyle w:val="Strong"/>
          <w:b/>
          <w:bCs w:val="0"/>
        </w:rPr>
      </w:pPr>
      <w:r>
        <w:rPr>
          <w:rStyle w:val="Strong"/>
          <w:b/>
          <w:bCs w:val="0"/>
        </w:rPr>
        <w:t xml:space="preserve">2.3.3. </w:t>
      </w:r>
      <w:r w:rsidR="004C6DE0" w:rsidRPr="007272F1">
        <w:rPr>
          <w:rStyle w:val="Strong"/>
          <w:b/>
          <w:bCs w:val="0"/>
        </w:rPr>
        <w:t>S</w:t>
      </w:r>
      <w:r w:rsidR="00317F5B" w:rsidRPr="007272F1">
        <w:rPr>
          <w:rStyle w:val="Strong"/>
          <w:b/>
          <w:bCs w:val="0"/>
        </w:rPr>
        <w:t xml:space="preserve">ense of </w:t>
      </w:r>
      <w:r w:rsidR="004C6DE0" w:rsidRPr="007272F1">
        <w:rPr>
          <w:rStyle w:val="Strong"/>
          <w:b/>
          <w:bCs w:val="0"/>
        </w:rPr>
        <w:t xml:space="preserve">Belonging </w:t>
      </w:r>
      <w:r w:rsidR="00317F5B" w:rsidRPr="007272F1">
        <w:rPr>
          <w:rStyle w:val="Strong"/>
          <w:b/>
          <w:bCs w:val="0"/>
        </w:rPr>
        <w:t xml:space="preserve">and </w:t>
      </w:r>
      <w:r w:rsidR="004C6DE0" w:rsidRPr="007272F1">
        <w:rPr>
          <w:rStyle w:val="Strong"/>
          <w:b/>
          <w:bCs w:val="0"/>
        </w:rPr>
        <w:t>Application</w:t>
      </w:r>
    </w:p>
    <w:p w14:paraId="330295D8" w14:textId="4CD668D9" w:rsidR="00317F5B"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Belonging refers to the fit, acceptance and mattering within academic and social environments</w:t>
      </w:r>
      <w:r w:rsidR="00EC154F" w:rsidRPr="00E14F5D">
        <w:rPr>
          <w:rFonts w:asciiTheme="minorBidi" w:hAnsiTheme="minorBidi" w:cstheme="minorBidi"/>
          <w:sz w:val="22"/>
          <w:szCs w:val="22"/>
        </w:rPr>
        <w:t xml:space="preserve"> (Lawrie </w:t>
      </w:r>
      <w:r w:rsidR="00EC154F" w:rsidRPr="00E14F5D">
        <w:rPr>
          <w:rFonts w:asciiTheme="minorBidi" w:hAnsiTheme="minorBidi" w:cstheme="minorBidi"/>
          <w:i/>
          <w:iCs/>
          <w:sz w:val="22"/>
          <w:szCs w:val="22"/>
        </w:rPr>
        <w:t>et al.</w:t>
      </w:r>
      <w:r w:rsidR="00EC154F" w:rsidRPr="00E14F5D">
        <w:rPr>
          <w:rFonts w:asciiTheme="minorBidi" w:hAnsiTheme="minorBidi" w:cstheme="minorBidi"/>
          <w:sz w:val="22"/>
          <w:szCs w:val="22"/>
        </w:rPr>
        <w:t>, 2025)</w:t>
      </w:r>
      <w:r w:rsidRPr="00E14F5D">
        <w:rPr>
          <w:rFonts w:asciiTheme="minorBidi" w:hAnsiTheme="minorBidi" w:cstheme="minorBidi"/>
          <w:sz w:val="22"/>
          <w:szCs w:val="22"/>
        </w:rPr>
        <w:t xml:space="preserve">. For care-experienced students and graduates, belonging influences help-seeking, engagement with services, and tolerance of stressors through transitions. </w:t>
      </w:r>
      <w:r w:rsidR="00EC154F" w:rsidRPr="00E14F5D">
        <w:rPr>
          <w:rFonts w:asciiTheme="minorBidi" w:hAnsiTheme="minorBidi" w:cstheme="minorBidi"/>
          <w:sz w:val="22"/>
          <w:szCs w:val="22"/>
        </w:rPr>
        <w:t xml:space="preserve">Prizeman, McCabe and Weinstein (2024) </w:t>
      </w:r>
      <w:r w:rsidRPr="00E14F5D">
        <w:rPr>
          <w:rFonts w:asciiTheme="minorBidi" w:hAnsiTheme="minorBidi" w:cstheme="minorBidi"/>
          <w:sz w:val="22"/>
          <w:szCs w:val="22"/>
        </w:rPr>
        <w:t>operationalise belonging with validated scales or with qualitative indicators such as trust in staff, peer connection, and perceived stigma. Applications include testing whether dedicated advisers, peer networks, and year-round housing improve belonging and, in turn, mental health and progression. This concept links psychological mechanisms to institutional practice and is measurable, which aids programme evaluation.</w:t>
      </w:r>
    </w:p>
    <w:p w14:paraId="2AAB10CC" w14:textId="71D0DF1B" w:rsidR="008201B3" w:rsidRPr="007272F1" w:rsidRDefault="007272F1" w:rsidP="007272F1">
      <w:pPr>
        <w:pStyle w:val="Heading3"/>
        <w:rPr>
          <w:rStyle w:val="Strong"/>
          <w:b/>
          <w:bCs w:val="0"/>
        </w:rPr>
      </w:pPr>
      <w:r>
        <w:rPr>
          <w:rStyle w:val="Strong"/>
          <w:b/>
          <w:bCs w:val="0"/>
        </w:rPr>
        <w:t xml:space="preserve">2.3.4. </w:t>
      </w:r>
      <w:r w:rsidR="00317F5B" w:rsidRPr="007272F1">
        <w:rPr>
          <w:rStyle w:val="Strong"/>
          <w:b/>
          <w:bCs w:val="0"/>
        </w:rPr>
        <w:t xml:space="preserve">Critical </w:t>
      </w:r>
      <w:r w:rsidR="008201B3" w:rsidRPr="007272F1">
        <w:rPr>
          <w:rStyle w:val="Strong"/>
          <w:b/>
          <w:bCs w:val="0"/>
        </w:rPr>
        <w:t>E</w:t>
      </w:r>
      <w:r w:rsidR="00317F5B" w:rsidRPr="007272F1">
        <w:rPr>
          <w:rStyle w:val="Strong"/>
          <w:b/>
          <w:bCs w:val="0"/>
        </w:rPr>
        <w:t>valuation</w:t>
      </w:r>
    </w:p>
    <w:p w14:paraId="053B5E8F" w14:textId="54B07EC6" w:rsidR="00317F5B" w:rsidRPr="00E14F5D" w:rsidRDefault="00317F5B"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The ecological approach is strong on context and policy relevance, enabling identification of leverage points across systems. However, it can diffuse causal inference because many mechanisms operate simultaneously; without careful design, models risk over-adjustment or omitted-variable bias</w:t>
      </w:r>
      <w:r w:rsidR="00F20ED7" w:rsidRPr="00E14F5D">
        <w:rPr>
          <w:rFonts w:asciiTheme="minorBidi" w:hAnsiTheme="minorBidi" w:cstheme="minorBidi"/>
          <w:sz w:val="22"/>
          <w:szCs w:val="22"/>
        </w:rPr>
        <w:t xml:space="preserve"> (Somers </w:t>
      </w:r>
      <w:r w:rsidR="00F20ED7" w:rsidRPr="00E14F5D">
        <w:rPr>
          <w:rFonts w:asciiTheme="minorBidi" w:hAnsiTheme="minorBidi" w:cstheme="minorBidi"/>
          <w:i/>
          <w:iCs/>
          <w:sz w:val="22"/>
          <w:szCs w:val="22"/>
        </w:rPr>
        <w:t>et al.</w:t>
      </w:r>
      <w:r w:rsidR="00F20ED7" w:rsidRPr="00E14F5D">
        <w:rPr>
          <w:rFonts w:asciiTheme="minorBidi" w:hAnsiTheme="minorBidi" w:cstheme="minorBidi"/>
          <w:sz w:val="22"/>
          <w:szCs w:val="22"/>
        </w:rPr>
        <w:t>, 2020)</w:t>
      </w:r>
      <w:r w:rsidRPr="00E14F5D">
        <w:rPr>
          <w:rFonts w:asciiTheme="minorBidi" w:hAnsiTheme="minorBidi" w:cstheme="minorBidi"/>
          <w:sz w:val="22"/>
          <w:szCs w:val="22"/>
        </w:rPr>
        <w:t>. Operationalising system levels may also depend on data not routinely collected, leading to proxies that weaken conclusions. The life-course perspective adds temporal precision and helps identify when interventions matter most. Its limitation is sensitivity to unobserved heterogeneity and path-dependence assumptions; observational designs can overstate accumulation if selection is not addressed. Sequence and event-history methods mitigate but do not eliminate these risks</w:t>
      </w:r>
      <w:r w:rsidR="00F20ED7" w:rsidRPr="00E14F5D">
        <w:rPr>
          <w:rFonts w:asciiTheme="minorBidi" w:hAnsiTheme="minorBidi" w:cstheme="minorBidi"/>
          <w:sz w:val="22"/>
          <w:szCs w:val="22"/>
        </w:rPr>
        <w:t xml:space="preserve"> (Vallejo-Slocker </w:t>
      </w:r>
      <w:r w:rsidR="00F20ED7" w:rsidRPr="00E14F5D">
        <w:rPr>
          <w:rFonts w:asciiTheme="minorBidi" w:hAnsiTheme="minorBidi" w:cstheme="minorBidi"/>
          <w:i/>
          <w:iCs/>
          <w:sz w:val="22"/>
          <w:szCs w:val="22"/>
        </w:rPr>
        <w:t>et al.</w:t>
      </w:r>
      <w:r w:rsidR="00F20ED7" w:rsidRPr="00E14F5D">
        <w:rPr>
          <w:rFonts w:asciiTheme="minorBidi" w:hAnsiTheme="minorBidi" w:cstheme="minorBidi"/>
          <w:sz w:val="22"/>
          <w:szCs w:val="22"/>
        </w:rPr>
        <w:t>, 2024)</w:t>
      </w:r>
      <w:r w:rsidRPr="00E14F5D">
        <w:rPr>
          <w:rFonts w:asciiTheme="minorBidi" w:hAnsiTheme="minorBidi" w:cstheme="minorBidi"/>
          <w:sz w:val="22"/>
          <w:szCs w:val="22"/>
        </w:rPr>
        <w:t>. Belonging is actionable and bridges psychology with practice, yet it may be confounded by adversity and material constraints; improving climate without addressing finance or housing yields limited gains</w:t>
      </w:r>
      <w:r w:rsidR="00F20ED7" w:rsidRPr="00E14F5D">
        <w:rPr>
          <w:rFonts w:asciiTheme="minorBidi" w:hAnsiTheme="minorBidi" w:cstheme="minorBidi"/>
          <w:sz w:val="22"/>
          <w:szCs w:val="22"/>
        </w:rPr>
        <w:t xml:space="preserve"> (Lawrie </w:t>
      </w:r>
      <w:r w:rsidR="00F20ED7" w:rsidRPr="00E14F5D">
        <w:rPr>
          <w:rFonts w:asciiTheme="minorBidi" w:hAnsiTheme="minorBidi" w:cstheme="minorBidi"/>
          <w:i/>
          <w:iCs/>
          <w:sz w:val="22"/>
          <w:szCs w:val="22"/>
        </w:rPr>
        <w:t>et al.</w:t>
      </w:r>
      <w:r w:rsidR="00F20ED7" w:rsidRPr="00E14F5D">
        <w:rPr>
          <w:rFonts w:asciiTheme="minorBidi" w:hAnsiTheme="minorBidi" w:cstheme="minorBidi"/>
          <w:sz w:val="22"/>
          <w:szCs w:val="22"/>
        </w:rPr>
        <w:t>, 2025)</w:t>
      </w:r>
      <w:r w:rsidRPr="00E14F5D">
        <w:rPr>
          <w:rFonts w:asciiTheme="minorBidi" w:hAnsiTheme="minorBidi" w:cstheme="minorBidi"/>
          <w:sz w:val="22"/>
          <w:szCs w:val="22"/>
        </w:rPr>
        <w:t>. Across all three, a debate is whether individual services can offset structural disadvantage. A rigorous review should test whether reported effects persist after adjustment for resources, prior attainment, and local labour-market conditions, and whether multi-level interventions outperform isolated supports.</w:t>
      </w:r>
    </w:p>
    <w:p w14:paraId="0637595D" w14:textId="319696EF" w:rsidR="009C5B78" w:rsidRPr="00112663" w:rsidRDefault="009C5B78" w:rsidP="00112663">
      <w:pPr>
        <w:pStyle w:val="Heading2"/>
      </w:pPr>
      <w:r w:rsidRPr="00112663">
        <w:t xml:space="preserve">2.4 International Context </w:t>
      </w:r>
    </w:p>
    <w:p w14:paraId="146BEBE7" w14:textId="0E4FDC66" w:rsidR="009C5B78" w:rsidRPr="00E14F5D" w:rsidRDefault="009C5B78"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Globally, the topic is approached through child-welfare, higher-education, and public-health systems that rarely work in an integrated way. In North America, universities emphasise trauma, persistence, and finance, creating campus programmes that combine year-round housing, bursaries, and dedicated advisers for care-experienced students</w:t>
      </w:r>
      <w:r w:rsidR="00466F16" w:rsidRPr="00E14F5D">
        <w:rPr>
          <w:rFonts w:asciiTheme="minorBidi" w:hAnsiTheme="minorBidi" w:cstheme="minorBidi"/>
          <w:sz w:val="22"/>
          <w:szCs w:val="22"/>
        </w:rPr>
        <w:t xml:space="preserve"> (Stevenson </w:t>
      </w:r>
      <w:r w:rsidR="00466F16" w:rsidRPr="00E14F5D">
        <w:rPr>
          <w:rFonts w:asciiTheme="minorBidi" w:hAnsiTheme="minorBidi" w:cstheme="minorBidi"/>
          <w:i/>
          <w:iCs/>
          <w:sz w:val="22"/>
          <w:szCs w:val="22"/>
        </w:rPr>
        <w:t>et al.</w:t>
      </w:r>
      <w:r w:rsidR="00466F16" w:rsidRPr="00E14F5D">
        <w:rPr>
          <w:rFonts w:asciiTheme="minorBidi" w:hAnsiTheme="minorBidi" w:cstheme="minorBidi"/>
          <w:sz w:val="22"/>
          <w:szCs w:val="22"/>
        </w:rPr>
        <w:t>, 2020)</w:t>
      </w:r>
      <w:r w:rsidRPr="00E14F5D">
        <w:rPr>
          <w:rFonts w:asciiTheme="minorBidi" w:hAnsiTheme="minorBidi" w:cstheme="minorBidi"/>
          <w:sz w:val="22"/>
          <w:szCs w:val="22"/>
        </w:rPr>
        <w:t>. Nordic countries rely more on universal student welfare and municipal services, assuming strong safety nets reduce the need for targeted schemes</w:t>
      </w:r>
      <w:r w:rsidR="00466F16" w:rsidRPr="00E14F5D">
        <w:rPr>
          <w:rFonts w:asciiTheme="minorBidi" w:hAnsiTheme="minorBidi" w:cstheme="minorBidi"/>
          <w:sz w:val="22"/>
          <w:szCs w:val="22"/>
        </w:rPr>
        <w:t xml:space="preserve"> (Greve </w:t>
      </w:r>
      <w:r w:rsidR="00466F16" w:rsidRPr="00E14F5D">
        <w:rPr>
          <w:rFonts w:asciiTheme="minorBidi" w:hAnsiTheme="minorBidi" w:cstheme="minorBidi"/>
          <w:i/>
          <w:iCs/>
          <w:sz w:val="22"/>
          <w:szCs w:val="22"/>
        </w:rPr>
        <w:t>et al.</w:t>
      </w:r>
      <w:r w:rsidR="00466F16" w:rsidRPr="00E14F5D">
        <w:rPr>
          <w:rFonts w:asciiTheme="minorBidi" w:hAnsiTheme="minorBidi" w:cstheme="minorBidi"/>
          <w:sz w:val="22"/>
          <w:szCs w:val="22"/>
        </w:rPr>
        <w:t>, 2020)</w:t>
      </w:r>
      <w:r w:rsidRPr="00E14F5D">
        <w:rPr>
          <w:rFonts w:asciiTheme="minorBidi" w:hAnsiTheme="minorBidi" w:cstheme="minorBidi"/>
          <w:sz w:val="22"/>
          <w:szCs w:val="22"/>
        </w:rPr>
        <w:t>. Australia and New Zealand frame care experience within equity and Indigenous inclusion policies, with universities expected to provide culturally safe advising and clear referral pathways to external health services</w:t>
      </w:r>
      <w:r w:rsidR="00466F16" w:rsidRPr="00E14F5D">
        <w:rPr>
          <w:rFonts w:asciiTheme="minorBidi" w:hAnsiTheme="minorBidi" w:cstheme="minorBidi"/>
          <w:sz w:val="22"/>
          <w:szCs w:val="22"/>
        </w:rPr>
        <w:t xml:space="preserve"> (De Zilva </w:t>
      </w:r>
      <w:r w:rsidR="00466F16" w:rsidRPr="00E14F5D">
        <w:rPr>
          <w:rFonts w:asciiTheme="minorBidi" w:hAnsiTheme="minorBidi" w:cstheme="minorBidi"/>
          <w:i/>
          <w:iCs/>
          <w:sz w:val="22"/>
          <w:szCs w:val="22"/>
        </w:rPr>
        <w:t>et al.</w:t>
      </w:r>
      <w:r w:rsidR="00466F16" w:rsidRPr="00E14F5D">
        <w:rPr>
          <w:rFonts w:asciiTheme="minorBidi" w:hAnsiTheme="minorBidi" w:cstheme="minorBidi"/>
          <w:sz w:val="22"/>
          <w:szCs w:val="22"/>
        </w:rPr>
        <w:t>, 2021)</w:t>
      </w:r>
      <w:r w:rsidRPr="00E14F5D">
        <w:rPr>
          <w:rFonts w:asciiTheme="minorBidi" w:hAnsiTheme="minorBidi" w:cstheme="minorBidi"/>
          <w:sz w:val="22"/>
          <w:szCs w:val="22"/>
        </w:rPr>
        <w:t>. Across these regions, graduate outcomes and post-graduation mental health receive less consistent measurement than access and retention.</w:t>
      </w:r>
    </w:p>
    <w:p w14:paraId="0A7EB086" w14:textId="3400B8BD" w:rsidR="009C5B78" w:rsidRPr="00E14F5D" w:rsidRDefault="009C5B78"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Comparatively, the United States relies on state initiatives and philanthropic partnerships, fostering innovation but producing uneven eligibility, coverage, and reporting</w:t>
      </w:r>
      <w:r w:rsidR="00226D02" w:rsidRPr="00E14F5D">
        <w:rPr>
          <w:rFonts w:asciiTheme="minorBidi" w:hAnsiTheme="minorBidi" w:cstheme="minorBidi"/>
          <w:sz w:val="22"/>
          <w:szCs w:val="22"/>
        </w:rPr>
        <w:t xml:space="preserve"> (US Department of State, 2023)</w:t>
      </w:r>
      <w:r w:rsidRPr="00E14F5D">
        <w:rPr>
          <w:rFonts w:asciiTheme="minorBidi" w:hAnsiTheme="minorBidi" w:cstheme="minorBidi"/>
          <w:sz w:val="22"/>
          <w:szCs w:val="22"/>
        </w:rPr>
        <w:t>. Canada shows similar federal variation but has widened tuition waivers coupled with mentoring and outreach advisers</w:t>
      </w:r>
      <w:r w:rsidR="00E63F77" w:rsidRPr="00E14F5D">
        <w:rPr>
          <w:rFonts w:asciiTheme="minorBidi" w:hAnsiTheme="minorBidi" w:cstheme="minorBidi"/>
          <w:sz w:val="22"/>
          <w:szCs w:val="22"/>
        </w:rPr>
        <w:t xml:space="preserve"> (Kirby </w:t>
      </w:r>
      <w:r w:rsidR="00E63F77" w:rsidRPr="00E14F5D">
        <w:rPr>
          <w:rFonts w:asciiTheme="minorBidi" w:hAnsiTheme="minorBidi" w:cstheme="minorBidi"/>
          <w:i/>
          <w:iCs/>
          <w:sz w:val="22"/>
          <w:szCs w:val="22"/>
        </w:rPr>
        <w:t>et al.</w:t>
      </w:r>
      <w:r w:rsidR="00E63F77" w:rsidRPr="00E14F5D">
        <w:rPr>
          <w:rFonts w:asciiTheme="minorBidi" w:hAnsiTheme="minorBidi" w:cstheme="minorBidi"/>
          <w:sz w:val="22"/>
          <w:szCs w:val="22"/>
        </w:rPr>
        <w:t>, 2025)</w:t>
      </w:r>
      <w:r w:rsidRPr="00E14F5D">
        <w:rPr>
          <w:rFonts w:asciiTheme="minorBidi" w:hAnsiTheme="minorBidi" w:cstheme="minorBidi"/>
          <w:sz w:val="22"/>
          <w:szCs w:val="22"/>
        </w:rPr>
        <w:t>. Nordic systems provide uniform entitlements through national student-aid and municipal health services, yet may under-identify care-experienced students because universalism reduces targeted data collection. Australia and New Zealand embed obligations within equity compacts and Indigenous strategies, but remote areas face workforce shortages that limit timely access to specialist care</w:t>
      </w:r>
      <w:r w:rsidR="00E63F77" w:rsidRPr="00E14F5D">
        <w:rPr>
          <w:rFonts w:asciiTheme="minorBidi" w:hAnsiTheme="minorBidi" w:cstheme="minorBidi"/>
          <w:sz w:val="22"/>
          <w:szCs w:val="22"/>
        </w:rPr>
        <w:t xml:space="preserve"> </w:t>
      </w:r>
      <w:r w:rsidR="00216359" w:rsidRPr="00E14F5D">
        <w:rPr>
          <w:rFonts w:asciiTheme="minorBidi" w:hAnsiTheme="minorBidi" w:cstheme="minorBidi"/>
          <w:sz w:val="22"/>
          <w:szCs w:val="22"/>
        </w:rPr>
        <w:t xml:space="preserve">(Kirkbride </w:t>
      </w:r>
      <w:r w:rsidR="00216359" w:rsidRPr="00E14F5D">
        <w:rPr>
          <w:rFonts w:asciiTheme="minorBidi" w:hAnsiTheme="minorBidi" w:cstheme="minorBidi"/>
          <w:i/>
          <w:iCs/>
          <w:sz w:val="22"/>
          <w:szCs w:val="22"/>
        </w:rPr>
        <w:t>et al.</w:t>
      </w:r>
      <w:r w:rsidR="00216359" w:rsidRPr="00E14F5D">
        <w:rPr>
          <w:rFonts w:asciiTheme="minorBidi" w:hAnsiTheme="minorBidi" w:cstheme="minorBidi"/>
          <w:sz w:val="22"/>
          <w:szCs w:val="22"/>
        </w:rPr>
        <w:t>, 2024)</w:t>
      </w:r>
      <w:r w:rsidRPr="00E14F5D">
        <w:rPr>
          <w:rFonts w:asciiTheme="minorBidi" w:hAnsiTheme="minorBidi" w:cstheme="minorBidi"/>
          <w:sz w:val="22"/>
          <w:szCs w:val="22"/>
        </w:rPr>
        <w:t>.</w:t>
      </w:r>
    </w:p>
    <w:p w14:paraId="2642DF79" w14:textId="7508F7A1" w:rsidR="009C5B78" w:rsidRPr="00E14F5D" w:rsidRDefault="009C5B78"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International collaboration remains project-based. Networks share practice on data standards, trauma-aware pedagogy, and transition supports, but comparable indicators for graduate mental health and early-career quality remain underdeveloped. The global lesson is consistent: multi-level supports work best when funding is stable, identification is accurate, and handovers across education, health, and employment services are planned rather than assumed.</w:t>
      </w:r>
    </w:p>
    <w:p w14:paraId="6E83DD4D" w14:textId="428FEC17" w:rsidR="009C5B78" w:rsidRPr="00112663" w:rsidRDefault="009C5B78" w:rsidP="00112663">
      <w:pPr>
        <w:pStyle w:val="Heading2"/>
      </w:pPr>
      <w:r w:rsidRPr="00112663">
        <w:t xml:space="preserve">2.5 National/Local UK Context </w:t>
      </w:r>
    </w:p>
    <w:p w14:paraId="53CDC397" w14:textId="1224FFA9" w:rsidR="009C5B78" w:rsidRPr="00E14F5D" w:rsidRDefault="009C5B78" w:rsidP="00210CD1">
      <w:pPr>
        <w:pStyle w:val="NormalWeb"/>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UK perspective.</w:t>
      </w:r>
      <w:r w:rsidRPr="00E14F5D">
        <w:rPr>
          <w:rFonts w:asciiTheme="minorBidi" w:hAnsiTheme="minorBidi" w:cstheme="minorBidi"/>
          <w:sz w:val="22"/>
          <w:szCs w:val="22"/>
        </w:rPr>
        <w:t xml:space="preserve"> The UK frames care-experienced people as a priority group across social care, higher-education, and widening participation. Universities increasingly recognise that access gains are insufficient without equitable outcomes at graduation and beyond. Student mental health has become a system concern, yet provision remains uneven across institutions and services. Within this context, the specific needs of foster-care graduates are often diluted by broader categories such as estranged students or disadvantaged learners, which complicates identification and tailored support</w:t>
      </w:r>
      <w:r w:rsidR="00DC2490" w:rsidRPr="00E14F5D">
        <w:rPr>
          <w:rFonts w:asciiTheme="minorBidi" w:hAnsiTheme="minorBidi" w:cstheme="minorBidi"/>
          <w:sz w:val="22"/>
          <w:szCs w:val="22"/>
        </w:rPr>
        <w:t xml:space="preserve"> (Ellis and Johnston, 2022; Ellis and Sen, 2024)</w:t>
      </w:r>
      <w:r w:rsidRPr="00E14F5D">
        <w:rPr>
          <w:rFonts w:asciiTheme="minorBidi" w:hAnsiTheme="minorBidi" w:cstheme="minorBidi"/>
          <w:sz w:val="22"/>
          <w:szCs w:val="22"/>
        </w:rPr>
        <w:t>.</w:t>
      </w:r>
    </w:p>
    <w:p w14:paraId="17D551FF" w14:textId="6C7C8402" w:rsidR="009C5B78" w:rsidRPr="00E14F5D" w:rsidRDefault="009C5B78" w:rsidP="00210CD1">
      <w:pPr>
        <w:pStyle w:val="NormalWeb"/>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National trends, policies, and practices.</w:t>
      </w:r>
      <w:r w:rsidRPr="00E14F5D">
        <w:rPr>
          <w:rFonts w:asciiTheme="minorBidi" w:hAnsiTheme="minorBidi" w:cstheme="minorBidi"/>
          <w:sz w:val="22"/>
          <w:szCs w:val="22"/>
        </w:rPr>
        <w:t xml:space="preserve"> Key trends include growth in care-experienced bursaries, year-round accommodation guarantees for vacation periods, and dedicated contact points or advisers. Universities use hardship funds and emergency grants to stabilise students during placement breakdowns or housing loss</w:t>
      </w:r>
      <w:r w:rsidR="0053789E" w:rsidRPr="00E14F5D">
        <w:rPr>
          <w:rFonts w:asciiTheme="minorBidi" w:hAnsiTheme="minorBidi" w:cstheme="minorBidi"/>
          <w:sz w:val="22"/>
          <w:szCs w:val="22"/>
        </w:rPr>
        <w:t xml:space="preserve"> (Ellis and Johnston, 2022; Ellis and Sen, 2024)</w:t>
      </w:r>
      <w:r w:rsidRPr="00E14F5D">
        <w:rPr>
          <w:rFonts w:asciiTheme="minorBidi" w:hAnsiTheme="minorBidi" w:cstheme="minorBidi"/>
          <w:sz w:val="22"/>
          <w:szCs w:val="22"/>
        </w:rPr>
        <w:t>. The expansion of university counselling services has improved access, but waiting times and variability in trauma-informed practice persist. Efforts to link careers services with pastoral teams are increasing, aiming to support transitions to work with mentoring, internships, and employer engagement. Data work is ongoing to standardise definitions of “care-experienced” across admissions and student-records systems so that proactive outreach can occur without stigma</w:t>
      </w:r>
      <w:r w:rsidR="00C73F5C" w:rsidRPr="00E14F5D">
        <w:rPr>
          <w:rFonts w:asciiTheme="minorBidi" w:hAnsiTheme="minorBidi" w:cstheme="minorBidi"/>
          <w:sz w:val="22"/>
          <w:szCs w:val="22"/>
        </w:rPr>
        <w:t xml:space="preserve"> (Ferraro and Kelley-Moore, 2003)</w:t>
      </w:r>
      <w:r w:rsidRPr="00E14F5D">
        <w:rPr>
          <w:rFonts w:asciiTheme="minorBidi" w:hAnsiTheme="minorBidi" w:cstheme="minorBidi"/>
          <w:sz w:val="22"/>
          <w:szCs w:val="22"/>
        </w:rPr>
        <w:t>.</w:t>
      </w:r>
    </w:p>
    <w:p w14:paraId="6DB76AD1" w14:textId="1544ED35" w:rsidR="009C5B78" w:rsidRPr="00E14F5D" w:rsidRDefault="009C5B78" w:rsidP="00210CD1">
      <w:pPr>
        <w:pStyle w:val="NormalWeb"/>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Policy and regulation.</w:t>
      </w:r>
      <w:r w:rsidRPr="00E14F5D">
        <w:rPr>
          <w:rFonts w:asciiTheme="minorBidi" w:hAnsiTheme="minorBidi" w:cstheme="minorBidi"/>
          <w:sz w:val="22"/>
          <w:szCs w:val="22"/>
        </w:rPr>
        <w:t xml:space="preserve"> Children’s social-care law places duties on local authorities for looked-after children and care leavers, including pathway planning and personal adviser support to at least age 21, with extensions in some circumstances. Higher-education regulation emphasises access and participation plans and public reporting on equality of opportunity, which encourages institutions to set targets and evaluate outcomes for priority groups</w:t>
      </w:r>
      <w:r w:rsidR="00C73F5C" w:rsidRPr="00E14F5D">
        <w:rPr>
          <w:rFonts w:asciiTheme="minorBidi" w:hAnsiTheme="minorBidi" w:cstheme="minorBidi"/>
          <w:sz w:val="22"/>
          <w:szCs w:val="22"/>
        </w:rPr>
        <w:t xml:space="preserve"> (Department of Health, 2011)</w:t>
      </w:r>
      <w:r w:rsidRPr="00E14F5D">
        <w:rPr>
          <w:rFonts w:asciiTheme="minorBidi" w:hAnsiTheme="minorBidi" w:cstheme="minorBidi"/>
          <w:sz w:val="22"/>
          <w:szCs w:val="22"/>
        </w:rPr>
        <w:t>. Mental-health policy promotes early intervention and partnership between the NHS and universities, but commissioning boundaries and data-sharing rules still impede continuity of care when students move location for study or work. Student-finance policy interacts with these frameworks by shaping eligibility for grants, estrangement evidence, and independent-status assessments; unclear rules can delay payments and destabilise study</w:t>
      </w:r>
      <w:r w:rsidR="00C73F5C" w:rsidRPr="00E14F5D">
        <w:rPr>
          <w:rFonts w:asciiTheme="minorBidi" w:hAnsiTheme="minorBidi" w:cstheme="minorBidi"/>
          <w:sz w:val="22"/>
          <w:szCs w:val="22"/>
        </w:rPr>
        <w:t xml:space="preserve"> (Broglia </w:t>
      </w:r>
      <w:r w:rsidR="00C73F5C" w:rsidRPr="00E14F5D">
        <w:rPr>
          <w:rFonts w:asciiTheme="minorBidi" w:hAnsiTheme="minorBidi" w:cstheme="minorBidi"/>
          <w:i/>
          <w:iCs/>
          <w:sz w:val="22"/>
          <w:szCs w:val="22"/>
        </w:rPr>
        <w:t>et al.</w:t>
      </w:r>
      <w:r w:rsidR="00C73F5C" w:rsidRPr="00E14F5D">
        <w:rPr>
          <w:rFonts w:asciiTheme="minorBidi" w:hAnsiTheme="minorBidi" w:cstheme="minorBidi"/>
          <w:sz w:val="22"/>
          <w:szCs w:val="22"/>
        </w:rPr>
        <w:t>, 2023)</w:t>
      </w:r>
      <w:r w:rsidRPr="00E14F5D">
        <w:rPr>
          <w:rFonts w:asciiTheme="minorBidi" w:hAnsiTheme="minorBidi" w:cstheme="minorBidi"/>
          <w:sz w:val="22"/>
          <w:szCs w:val="22"/>
        </w:rPr>
        <w:t>.</w:t>
      </w:r>
    </w:p>
    <w:p w14:paraId="630197C6" w14:textId="7EF3251C" w:rsidR="00CA5F7B" w:rsidRPr="00E14F5D" w:rsidRDefault="009C5B78" w:rsidP="00210CD1">
      <w:pPr>
        <w:pStyle w:val="NormalWeb"/>
        <w:spacing w:line="360" w:lineRule="auto"/>
        <w:jc w:val="both"/>
        <w:rPr>
          <w:rFonts w:asciiTheme="minorBidi" w:hAnsiTheme="minorBidi" w:cstheme="minorBidi"/>
          <w:sz w:val="22"/>
          <w:szCs w:val="22"/>
        </w:rPr>
      </w:pPr>
      <w:r w:rsidRPr="00E14F5D">
        <w:rPr>
          <w:rStyle w:val="Strong"/>
          <w:rFonts w:asciiTheme="minorBidi" w:eastAsiaTheme="majorEastAsia" w:hAnsiTheme="minorBidi" w:cstheme="minorBidi"/>
          <w:sz w:val="22"/>
          <w:szCs w:val="22"/>
        </w:rPr>
        <w:t>Local context and regional variation.</w:t>
      </w:r>
      <w:r w:rsidRPr="00E14F5D">
        <w:rPr>
          <w:rFonts w:asciiTheme="minorBidi" w:hAnsiTheme="minorBidi" w:cstheme="minorBidi"/>
          <w:sz w:val="22"/>
          <w:szCs w:val="22"/>
        </w:rPr>
        <w:t xml:space="preserve"> </w:t>
      </w:r>
      <w:r w:rsidR="00CA5F7B" w:rsidRPr="00E14F5D">
        <w:rPr>
          <w:rFonts w:asciiTheme="minorBidi" w:hAnsiTheme="minorBidi" w:cstheme="minorBidi"/>
          <w:sz w:val="22"/>
          <w:szCs w:val="22"/>
        </w:rPr>
        <w:t xml:space="preserve">Local authorities differ in resources, commissioning, and leaving-care practice, creating variation in support links with nearby universities. In </w:t>
      </w:r>
      <w:r w:rsidR="00CA5F7B" w:rsidRPr="00E14F5D">
        <w:rPr>
          <w:rStyle w:val="Strong"/>
          <w:rFonts w:asciiTheme="minorBidi" w:eastAsiaTheme="majorEastAsia" w:hAnsiTheme="minorBidi" w:cstheme="minorBidi"/>
          <w:sz w:val="22"/>
          <w:szCs w:val="22"/>
        </w:rPr>
        <w:t>Greater Manchester</w:t>
      </w:r>
      <w:r w:rsidR="00CA5F7B" w:rsidRPr="00E14F5D">
        <w:rPr>
          <w:rFonts w:asciiTheme="minorBidi" w:hAnsiTheme="minorBidi" w:cstheme="minorBidi"/>
          <w:sz w:val="22"/>
          <w:szCs w:val="22"/>
        </w:rPr>
        <w:t>, a city-region forum coordinates housing, NHS mental-health access, and crisis responses with the University of Manchester and Manchester Metropolitan University, reducing duplication and wait times</w:t>
      </w:r>
      <w:r w:rsidR="009144B7" w:rsidRPr="00E14F5D">
        <w:rPr>
          <w:rFonts w:asciiTheme="minorBidi" w:hAnsiTheme="minorBidi" w:cstheme="minorBidi"/>
          <w:sz w:val="22"/>
          <w:szCs w:val="22"/>
        </w:rPr>
        <w:t xml:space="preserve"> (Shanley, 2024)</w:t>
      </w:r>
      <w:r w:rsidR="00CA5F7B" w:rsidRPr="00E14F5D">
        <w:rPr>
          <w:rFonts w:asciiTheme="minorBidi" w:hAnsiTheme="minorBidi" w:cstheme="minorBidi"/>
          <w:sz w:val="22"/>
          <w:szCs w:val="22"/>
        </w:rPr>
        <w:t xml:space="preserve">. In </w:t>
      </w:r>
      <w:r w:rsidR="00CA5F7B" w:rsidRPr="00E14F5D">
        <w:rPr>
          <w:rStyle w:val="Strong"/>
          <w:rFonts w:asciiTheme="minorBidi" w:eastAsiaTheme="majorEastAsia" w:hAnsiTheme="minorBidi" w:cstheme="minorBidi"/>
          <w:sz w:val="22"/>
          <w:szCs w:val="22"/>
        </w:rPr>
        <w:t>London</w:t>
      </w:r>
      <w:r w:rsidR="00CA5F7B" w:rsidRPr="00E14F5D">
        <w:rPr>
          <w:rFonts w:asciiTheme="minorBidi" w:hAnsiTheme="minorBidi" w:cstheme="minorBidi"/>
          <w:sz w:val="22"/>
          <w:szCs w:val="22"/>
        </w:rPr>
        <w:t>, several borough–university partnerships (e.g., with King’s College London) offer year-round accommodation and named advisers, but fragmentation across trusts and providers makes referrals uneven</w:t>
      </w:r>
      <w:r w:rsidR="009144B7" w:rsidRPr="00E14F5D">
        <w:rPr>
          <w:rFonts w:asciiTheme="minorBidi" w:hAnsiTheme="minorBidi" w:cstheme="minorBidi"/>
          <w:sz w:val="22"/>
          <w:szCs w:val="22"/>
        </w:rPr>
        <w:t xml:space="preserve"> (KCL, 2025)</w:t>
      </w:r>
      <w:r w:rsidR="00CA5F7B" w:rsidRPr="00E14F5D">
        <w:rPr>
          <w:rFonts w:asciiTheme="minorBidi" w:hAnsiTheme="minorBidi" w:cstheme="minorBidi"/>
          <w:sz w:val="22"/>
          <w:szCs w:val="22"/>
        </w:rPr>
        <w:t xml:space="preserve">. In </w:t>
      </w:r>
      <w:r w:rsidR="00CA5F7B" w:rsidRPr="00E14F5D">
        <w:rPr>
          <w:rStyle w:val="Strong"/>
          <w:rFonts w:asciiTheme="minorBidi" w:eastAsiaTheme="majorEastAsia" w:hAnsiTheme="minorBidi" w:cstheme="minorBidi"/>
          <w:sz w:val="22"/>
          <w:szCs w:val="22"/>
        </w:rPr>
        <w:t>Glasgow</w:t>
      </w:r>
      <w:r w:rsidR="00CA5F7B" w:rsidRPr="00E14F5D">
        <w:rPr>
          <w:rFonts w:asciiTheme="minorBidi" w:hAnsiTheme="minorBidi" w:cstheme="minorBidi"/>
          <w:sz w:val="22"/>
          <w:szCs w:val="22"/>
        </w:rPr>
        <w:t>, devolved policy is translated locally through university bursaries and single points of contact, yet capacity in specialist therapy remains constrained. At institutional level, practices vary in identification (self-declaration vs evidence), referral routes to NHS or third-sector therapy, and access to internships and alumni mentoring</w:t>
      </w:r>
      <w:r w:rsidR="009144B7" w:rsidRPr="00E14F5D">
        <w:rPr>
          <w:rFonts w:asciiTheme="minorBidi" w:hAnsiTheme="minorBidi" w:cstheme="minorBidi"/>
          <w:sz w:val="22"/>
          <w:szCs w:val="22"/>
        </w:rPr>
        <w:t xml:space="preserve"> </w:t>
      </w:r>
      <w:r w:rsidR="00CA5F7B" w:rsidRPr="00E14F5D">
        <w:rPr>
          <w:rFonts w:asciiTheme="minorBidi" w:hAnsiTheme="minorBidi" w:cstheme="minorBidi"/>
          <w:sz w:val="22"/>
          <w:szCs w:val="22"/>
        </w:rPr>
        <w:t>differences that shape mental-health trajectories and early-career quality after graduation</w:t>
      </w:r>
      <w:r w:rsidR="009144B7" w:rsidRPr="00E14F5D">
        <w:rPr>
          <w:rFonts w:asciiTheme="minorBidi" w:hAnsiTheme="minorBidi" w:cstheme="minorBidi"/>
          <w:sz w:val="22"/>
          <w:szCs w:val="22"/>
        </w:rPr>
        <w:t xml:space="preserve"> (University of Glasgow, 2024)</w:t>
      </w:r>
      <w:r w:rsidR="00CA5F7B" w:rsidRPr="00E14F5D">
        <w:rPr>
          <w:rFonts w:asciiTheme="minorBidi" w:hAnsiTheme="minorBidi" w:cstheme="minorBidi"/>
          <w:sz w:val="22"/>
          <w:szCs w:val="22"/>
        </w:rPr>
        <w:t>.</w:t>
      </w:r>
    </w:p>
    <w:p w14:paraId="5EB2C44F" w14:textId="53338D69" w:rsidR="009C5B78" w:rsidRPr="00112663" w:rsidRDefault="009C5B78" w:rsidP="00112663">
      <w:pPr>
        <w:pStyle w:val="Heading2"/>
      </w:pPr>
      <w:r w:rsidRPr="00112663">
        <w:t xml:space="preserve">2.6 Conclusion </w:t>
      </w:r>
    </w:p>
    <w:p w14:paraId="0B21F374" w14:textId="4B9C1797" w:rsidR="009C5B78" w:rsidRPr="00E14F5D" w:rsidRDefault="009C5B78" w:rsidP="00210CD1">
      <w:pPr>
        <w:pStyle w:val="NormalWeb"/>
        <w:spacing w:line="360" w:lineRule="auto"/>
        <w:jc w:val="both"/>
        <w:rPr>
          <w:rFonts w:asciiTheme="minorBidi" w:hAnsiTheme="minorBidi" w:cstheme="minorBidi"/>
          <w:sz w:val="22"/>
          <w:szCs w:val="22"/>
        </w:rPr>
      </w:pPr>
      <w:r w:rsidRPr="00E14F5D">
        <w:rPr>
          <w:rFonts w:asciiTheme="minorBidi" w:hAnsiTheme="minorBidi" w:cstheme="minorBidi"/>
          <w:sz w:val="22"/>
          <w:szCs w:val="22"/>
        </w:rPr>
        <w:t>This chapter established the foundation for comparing mental health and academic success among graduates with and without foster-care histories. Historically, systems shifted from child protection and access to concerns about post-graduation outcomes, yet evidence remains fragmented across sectors. Theor</w:t>
      </w:r>
      <w:r w:rsidR="00C0353C" w:rsidRPr="00E14F5D">
        <w:rPr>
          <w:rFonts w:asciiTheme="minorBidi" w:hAnsiTheme="minorBidi" w:cstheme="minorBidi"/>
          <w:sz w:val="22"/>
          <w:szCs w:val="22"/>
        </w:rPr>
        <w:t xml:space="preserve">ies like </w:t>
      </w:r>
      <w:r w:rsidRPr="00E14F5D">
        <w:rPr>
          <w:rFonts w:asciiTheme="minorBidi" w:hAnsiTheme="minorBidi" w:cstheme="minorBidi"/>
          <w:sz w:val="22"/>
          <w:szCs w:val="22"/>
        </w:rPr>
        <w:t>ecological systems, life-course accumulation, and belonging</w:t>
      </w:r>
      <w:r w:rsidR="00C0353C" w:rsidRPr="00E14F5D">
        <w:rPr>
          <w:rFonts w:asciiTheme="minorBidi" w:hAnsiTheme="minorBidi" w:cstheme="minorBidi"/>
          <w:sz w:val="22"/>
          <w:szCs w:val="22"/>
        </w:rPr>
        <w:t xml:space="preserve"> </w:t>
      </w:r>
      <w:r w:rsidRPr="00E14F5D">
        <w:rPr>
          <w:rFonts w:asciiTheme="minorBidi" w:hAnsiTheme="minorBidi" w:cstheme="minorBidi"/>
          <w:sz w:val="22"/>
          <w:szCs w:val="22"/>
        </w:rPr>
        <w:t>clarify multi-level and temporal influences, while highlighting limits when structural conditions are ignored. Internationally, practice differs: targeted campus programmes in federal systems, universal entitlements in Nordic contexts, and equity-focused approaches in Australia and New Zealand. Shared challenges are stable funding, identification, and continuity across education, health, and employment. In the UK, policy aims for equity in outcomes, but delivery varies with local capacity, commissioning boundaries, and data constraints.</w:t>
      </w:r>
    </w:p>
    <w:p w14:paraId="0F66A4CD" w14:textId="603242C0" w:rsidR="00172169" w:rsidRPr="00E14F5D" w:rsidRDefault="00C0353C" w:rsidP="00210CD1">
      <w:pPr>
        <w:jc w:val="both"/>
        <w:rPr>
          <w:szCs w:val="22"/>
        </w:rPr>
      </w:pPr>
      <w:r w:rsidRPr="00E14F5D">
        <w:rPr>
          <w:szCs w:val="22"/>
        </w:rPr>
        <w:t>This background chapter has clarified the historical shifts, theoretical lenses, and UK–international contexts that shape how outcomes should be measured and interpreted. Chapter 3 will translate this context into a transparent methods plan: search strings aligned to our definitions, databases chosen to cover health, education, and social policy, and clear inclusion–exclusion criteria. The identified data gaps (e.g., inconsistent definitions, siloed measures, and variable local practice) will guide sensitivity analyses, subgroup comparisons, and quality appraisal. Together, this ensures the search strategy, screening, and coding are rigorous, replicable, and fit for the graduate-focused comparison at the core of this dissertation.</w:t>
      </w:r>
    </w:p>
    <w:p w14:paraId="2AF91D18" w14:textId="77777777" w:rsidR="00AA5716" w:rsidRPr="00E14F5D" w:rsidRDefault="00AA5716" w:rsidP="00210CD1">
      <w:pPr>
        <w:jc w:val="both"/>
        <w:rPr>
          <w:szCs w:val="22"/>
        </w:rPr>
      </w:pPr>
    </w:p>
    <w:p w14:paraId="66219D08" w14:textId="2B9F2A24" w:rsidR="00AA5716" w:rsidRPr="00112663" w:rsidRDefault="002D50A0" w:rsidP="00112663">
      <w:pPr>
        <w:pStyle w:val="Heading1"/>
      </w:pPr>
      <w:r w:rsidRPr="00112663">
        <w:t>References</w:t>
      </w:r>
    </w:p>
    <w:p w14:paraId="2835F798"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Bhatta, D.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(2025) ‘Assessment of mental and physical health outcomes over time in an integrated care setting’, </w:t>
      </w:r>
      <w:r w:rsidRPr="00E14F5D">
        <w:rPr>
          <w:rFonts w:asciiTheme="minorBidi" w:hAnsiTheme="minorBidi" w:cstheme="minorBidi"/>
          <w:i/>
          <w:iCs/>
          <w:sz w:val="22"/>
          <w:szCs w:val="22"/>
        </w:rPr>
        <w:t>BMC Primary Care</w:t>
      </w:r>
      <w:r w:rsidRPr="00E14F5D">
        <w:rPr>
          <w:rFonts w:asciiTheme="minorBidi" w:hAnsiTheme="minorBidi" w:cstheme="minorBidi"/>
          <w:sz w:val="22"/>
          <w:szCs w:val="22"/>
        </w:rPr>
        <w:t>, 26(1). Available at: https://doi.org/10.1186/s12875-025-02876-0.</w:t>
      </w:r>
    </w:p>
    <w:p w14:paraId="39683D1D"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Bogliacino, F.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(2023) ‘The impact of labour market shocks on mental health: evidence from the Covid-19 first wave’, </w:t>
      </w:r>
      <w:r w:rsidRPr="00E14F5D">
        <w:rPr>
          <w:rFonts w:asciiTheme="minorBidi" w:hAnsiTheme="minorBidi" w:cstheme="minorBidi"/>
          <w:i/>
          <w:iCs/>
          <w:sz w:val="22"/>
          <w:szCs w:val="22"/>
        </w:rPr>
        <w:t>Economia Politica</w:t>
      </w:r>
      <w:r w:rsidRPr="00E14F5D">
        <w:rPr>
          <w:rFonts w:asciiTheme="minorBidi" w:hAnsiTheme="minorBidi" w:cstheme="minorBidi"/>
          <w:sz w:val="22"/>
          <w:szCs w:val="22"/>
        </w:rPr>
        <w:t>, 40(3), pp. 899–930. Available at: https://doi.org/10.1007/s40888-023-00304-z.</w:t>
      </w:r>
    </w:p>
    <w:p w14:paraId="6EFD5288"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Broglia, E.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(2023) ‘What factors facilitate partnerships between higher education and local mental health services for students? A case study collective’, </w:t>
      </w:r>
      <w:r w:rsidRPr="00E14F5D">
        <w:rPr>
          <w:rFonts w:asciiTheme="minorBidi" w:hAnsiTheme="minorBidi" w:cstheme="minorBidi"/>
          <w:i/>
          <w:iCs/>
          <w:sz w:val="22"/>
          <w:szCs w:val="22"/>
        </w:rPr>
        <w:t>BMJ Open</w:t>
      </w:r>
      <w:r w:rsidRPr="00E14F5D">
        <w:rPr>
          <w:rFonts w:asciiTheme="minorBidi" w:hAnsiTheme="minorBidi" w:cstheme="minorBidi"/>
          <w:sz w:val="22"/>
          <w:szCs w:val="22"/>
        </w:rPr>
        <w:t>, 13(12), pp. e077040–e077040. Available at: https://doi.org/10.1136/bmjopen-2023-077040.</w:t>
      </w:r>
    </w:p>
    <w:p w14:paraId="075412D0"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Bronfenbrenner, U. (1992) ‘Ecological Systems Theory’, </w:t>
      </w:r>
      <w:r w:rsidRPr="00E14F5D">
        <w:rPr>
          <w:rFonts w:asciiTheme="minorBidi" w:hAnsiTheme="minorBidi" w:cstheme="minorBidi"/>
          <w:i/>
          <w:iCs/>
          <w:sz w:val="22"/>
          <w:szCs w:val="22"/>
        </w:rPr>
        <w:t xml:space="preserve">Making human beings human: Bioecological perspectives on human development </w:t>
      </w:r>
      <w:r w:rsidRPr="00E14F5D">
        <w:rPr>
          <w:rFonts w:asciiTheme="minorBidi" w:hAnsiTheme="minorBidi" w:cstheme="minorBidi"/>
          <w:sz w:val="22"/>
          <w:szCs w:val="22"/>
        </w:rPr>
        <w:t>, pp. 106–173.</w:t>
      </w:r>
    </w:p>
    <w:p w14:paraId="3F625C27"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Dannefer, D. (2003) ‘Cumulative Advantage/Disadvantage and the Life Course: Cross-Fertilizing Age and Social Science Theory’, </w:t>
      </w:r>
      <w:r w:rsidRPr="00E14F5D">
        <w:rPr>
          <w:rFonts w:asciiTheme="minorBidi" w:hAnsiTheme="minorBidi" w:cstheme="minorBidi"/>
          <w:i/>
          <w:iCs/>
          <w:sz w:val="22"/>
          <w:szCs w:val="22"/>
        </w:rPr>
        <w:t>The Journals of Gerontology Series B: Psychological Sciences and Social Sciences</w:t>
      </w:r>
      <w:r w:rsidRPr="00E14F5D">
        <w:rPr>
          <w:rFonts w:asciiTheme="minorBidi" w:hAnsiTheme="minorBidi" w:cstheme="minorBidi"/>
          <w:sz w:val="22"/>
          <w:szCs w:val="22"/>
        </w:rPr>
        <w:t>, 58(6), pp. 327–337. Available at: https://doi.org/10.1093/geronb/58.6.s327.</w:t>
      </w:r>
    </w:p>
    <w:p w14:paraId="3B760C8D"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De Zilva, S.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(2021) ‘Culturally safe health care practice for indigenous peoples in australia: A systematic meta-ethnographic review’, </w:t>
      </w:r>
      <w:r w:rsidRPr="00E14F5D">
        <w:rPr>
          <w:rFonts w:asciiTheme="minorBidi" w:hAnsiTheme="minorBidi" w:cstheme="minorBidi"/>
          <w:i/>
          <w:iCs/>
          <w:sz w:val="22"/>
          <w:szCs w:val="22"/>
        </w:rPr>
        <w:t>Journal of Health Services Research &amp; Policy</w:t>
      </w:r>
      <w:r w:rsidRPr="00E14F5D">
        <w:rPr>
          <w:rFonts w:asciiTheme="minorBidi" w:hAnsiTheme="minorBidi" w:cstheme="minorBidi"/>
          <w:sz w:val="22"/>
          <w:szCs w:val="22"/>
        </w:rPr>
        <w:t>, 27(1), pp. 74–84. Available at: https://doi.org/10.1177/13558196211041835.</w:t>
      </w:r>
    </w:p>
    <w:p w14:paraId="3ACC4288"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Department of Health (2011) </w:t>
      </w:r>
      <w:r w:rsidRPr="00E14F5D">
        <w:rPr>
          <w:rFonts w:asciiTheme="minorBidi" w:hAnsiTheme="minorBidi" w:cstheme="minorBidi"/>
          <w:i/>
          <w:iCs/>
          <w:sz w:val="22"/>
          <w:szCs w:val="22"/>
        </w:rPr>
        <w:t>Children (Leaving Care) Act 2000 - Explanatory Notes</w:t>
      </w:r>
      <w:r w:rsidRPr="00E14F5D">
        <w:rPr>
          <w:rFonts w:asciiTheme="minorBidi" w:hAnsiTheme="minorBidi" w:cstheme="minorBidi"/>
          <w:sz w:val="22"/>
          <w:szCs w:val="22"/>
        </w:rPr>
        <w:t xml:space="preserve">, </w:t>
      </w:r>
      <w:r w:rsidRPr="00E14F5D">
        <w:rPr>
          <w:rFonts w:asciiTheme="minorBidi" w:hAnsiTheme="minorBidi" w:cstheme="minorBidi"/>
          <w:i/>
          <w:iCs/>
          <w:sz w:val="22"/>
          <w:szCs w:val="22"/>
        </w:rPr>
        <w:t>Legislation.gov.uk</w:t>
      </w:r>
      <w:r w:rsidRPr="00E14F5D">
        <w:rPr>
          <w:rFonts w:asciiTheme="minorBidi" w:hAnsiTheme="minorBidi" w:cstheme="minorBidi"/>
          <w:sz w:val="22"/>
          <w:szCs w:val="22"/>
        </w:rPr>
        <w:t>. Available at: https://www.legislation.gov.uk/ukpga/2000/35/notes/division/2 (Accessed: 28 October 2025).</w:t>
      </w:r>
    </w:p>
    <w:p w14:paraId="492135EB"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Ellis, K. and Johnston, C. (2022) ‘Resilience, higher education and widening participation: generating change for care experienced students’, </w:t>
      </w:r>
      <w:r w:rsidRPr="00E14F5D">
        <w:rPr>
          <w:rFonts w:asciiTheme="minorBidi" w:hAnsiTheme="minorBidi" w:cstheme="minorBidi"/>
          <w:i/>
          <w:iCs/>
          <w:sz w:val="22"/>
          <w:szCs w:val="22"/>
        </w:rPr>
        <w:t>Higher Education</w:t>
      </w:r>
      <w:r w:rsidRPr="00E14F5D">
        <w:rPr>
          <w:rFonts w:asciiTheme="minorBidi" w:hAnsiTheme="minorBidi" w:cstheme="minorBidi"/>
          <w:sz w:val="22"/>
          <w:szCs w:val="22"/>
        </w:rPr>
        <w:t>, 87. Available at: https://doi.org/10.1007/s10734-022-00985-8.</w:t>
      </w:r>
    </w:p>
    <w:p w14:paraId="1A1E6266"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Ellis, K. and Sen, R. (2024) ‘Meeting the challenges of participation? Care experienced people’s involvement in social work practice and policy development’, </w:t>
      </w:r>
      <w:r w:rsidRPr="00E14F5D">
        <w:rPr>
          <w:rFonts w:asciiTheme="minorBidi" w:hAnsiTheme="minorBidi" w:cstheme="minorBidi"/>
          <w:i/>
          <w:iCs/>
          <w:sz w:val="22"/>
          <w:szCs w:val="22"/>
        </w:rPr>
        <w:t>European Journal of Social Work</w:t>
      </w:r>
      <w:r w:rsidRPr="00E14F5D">
        <w:rPr>
          <w:rFonts w:asciiTheme="minorBidi" w:hAnsiTheme="minorBidi" w:cstheme="minorBidi"/>
          <w:sz w:val="22"/>
          <w:szCs w:val="22"/>
        </w:rPr>
        <w:t>, 28(4), pp. 769–781. Available at: https://doi.org/10.1080/13691457.2024.2418874.</w:t>
      </w:r>
    </w:p>
    <w:p w14:paraId="1AB1975B"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Fana, T.E. and Goudge, J. (2024) ‘Managing under austerity: a qualitative study of management–union relations during attempts to cut labour costs in three South African public hospitals’, </w:t>
      </w:r>
      <w:r w:rsidRPr="00E14F5D">
        <w:rPr>
          <w:rFonts w:asciiTheme="minorBidi" w:hAnsiTheme="minorBidi" w:cstheme="minorBidi"/>
          <w:i/>
          <w:iCs/>
          <w:sz w:val="22"/>
          <w:szCs w:val="22"/>
        </w:rPr>
        <w:t>Journal of Health Organization and Management</w:t>
      </w:r>
      <w:r w:rsidRPr="00E14F5D">
        <w:rPr>
          <w:rFonts w:asciiTheme="minorBidi" w:hAnsiTheme="minorBidi" w:cstheme="minorBidi"/>
          <w:sz w:val="22"/>
          <w:szCs w:val="22"/>
        </w:rPr>
        <w:t>, 38(9), pp. 89–105. Available at: https://doi.org/10.1108/jhom-11-2022-0324.</w:t>
      </w:r>
    </w:p>
    <w:p w14:paraId="2A084FA8"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Ferraro, K.F. and Kelley-Moore, J.A. (2003) ‘Cumulative Disadvantage and Health: Long-Term Consequences of Obesity?’, </w:t>
      </w:r>
      <w:r w:rsidRPr="00E14F5D">
        <w:rPr>
          <w:rFonts w:asciiTheme="minorBidi" w:hAnsiTheme="minorBidi" w:cstheme="minorBidi"/>
          <w:i/>
          <w:iCs/>
          <w:sz w:val="22"/>
          <w:szCs w:val="22"/>
        </w:rPr>
        <w:t>American sociological review</w:t>
      </w:r>
      <w:r w:rsidRPr="00E14F5D">
        <w:rPr>
          <w:rFonts w:asciiTheme="minorBidi" w:hAnsiTheme="minorBidi" w:cstheme="minorBidi"/>
          <w:sz w:val="22"/>
          <w:szCs w:val="22"/>
        </w:rPr>
        <w:t>, 68(5), p. 707.</w:t>
      </w:r>
    </w:p>
    <w:p w14:paraId="1BE4B274"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Gale, J. and Thalitaya, M.D. (2015) ‘Mental Health Support Service for University Students’, </w:t>
      </w:r>
      <w:r w:rsidRPr="00E14F5D">
        <w:rPr>
          <w:rFonts w:asciiTheme="minorBidi" w:hAnsiTheme="minorBidi" w:cstheme="minorBidi"/>
          <w:i/>
          <w:iCs/>
          <w:sz w:val="22"/>
          <w:szCs w:val="22"/>
        </w:rPr>
        <w:t>Psychiatria Danubina</w:t>
      </w:r>
      <w:r w:rsidRPr="00E14F5D">
        <w:rPr>
          <w:rFonts w:asciiTheme="minorBidi" w:hAnsiTheme="minorBidi" w:cstheme="minorBidi"/>
          <w:sz w:val="22"/>
          <w:szCs w:val="22"/>
        </w:rPr>
        <w:t>, 27 Suppl 1, pp. S115-9.</w:t>
      </w:r>
    </w:p>
    <w:p w14:paraId="2F9EDE7D"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Gilligan, R., Brady, E. and Arnau-Sabatés, L. (2025) ‘The educational and work progress of care experienced adults: The potential contribution of birth family adults over time’, </w:t>
      </w:r>
      <w:r w:rsidRPr="00E14F5D">
        <w:rPr>
          <w:rFonts w:asciiTheme="minorBidi" w:hAnsiTheme="minorBidi" w:cstheme="minorBidi"/>
          <w:i/>
          <w:iCs/>
          <w:sz w:val="22"/>
          <w:szCs w:val="22"/>
        </w:rPr>
        <w:t>Children and Youth Services Review</w:t>
      </w:r>
      <w:r w:rsidRPr="00E14F5D">
        <w:rPr>
          <w:rFonts w:asciiTheme="minorBidi" w:hAnsiTheme="minorBidi" w:cstheme="minorBidi"/>
          <w:sz w:val="22"/>
          <w:szCs w:val="22"/>
        </w:rPr>
        <w:t>, 172, p. 108277. Available at: https://doi.org/10.1016/j.childyouth.2025.108277.</w:t>
      </w:r>
    </w:p>
    <w:p w14:paraId="7CCA2CC9"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Greve, B.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(2020) ‘Nordic welfare states—still standing or changed by the COVID </w:t>
      </w:r>
      <w:r w:rsidRPr="00E14F5D">
        <w:rPr>
          <w:rFonts w:ascii="Cambria Math" w:hAnsi="Cambria Math" w:cs="Cambria Math"/>
          <w:sz w:val="22"/>
          <w:szCs w:val="22"/>
        </w:rPr>
        <w:t>‐</w:t>
      </w:r>
      <w:r w:rsidRPr="00E14F5D">
        <w:rPr>
          <w:rFonts w:asciiTheme="minorBidi" w:hAnsiTheme="minorBidi" w:cstheme="minorBidi"/>
          <w:sz w:val="22"/>
          <w:szCs w:val="22"/>
        </w:rPr>
        <w:t xml:space="preserve">19 crisis?’, </w:t>
      </w:r>
      <w:r w:rsidRPr="00E14F5D">
        <w:rPr>
          <w:rFonts w:asciiTheme="minorBidi" w:hAnsiTheme="minorBidi" w:cstheme="minorBidi"/>
          <w:i/>
          <w:iCs/>
          <w:sz w:val="22"/>
          <w:szCs w:val="22"/>
        </w:rPr>
        <w:t>Social Policy &amp; Administration</w:t>
      </w:r>
      <w:r w:rsidRPr="00E14F5D">
        <w:rPr>
          <w:rFonts w:asciiTheme="minorBidi" w:hAnsiTheme="minorBidi" w:cstheme="minorBidi"/>
          <w:sz w:val="22"/>
          <w:szCs w:val="22"/>
        </w:rPr>
        <w:t>, 55(2). Available at: https://doi.org/10.1111/spol.12675.</w:t>
      </w:r>
    </w:p>
    <w:p w14:paraId="732510E1"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Hambrick, E.P.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(2016) ‘Mental health interventions for children in foster care: A systematic review’, </w:t>
      </w:r>
      <w:r w:rsidRPr="00E14F5D">
        <w:rPr>
          <w:rFonts w:asciiTheme="minorBidi" w:hAnsiTheme="minorBidi" w:cstheme="minorBidi"/>
          <w:i/>
          <w:iCs/>
          <w:sz w:val="22"/>
          <w:szCs w:val="22"/>
        </w:rPr>
        <w:t>Children and Youth Services Review</w:t>
      </w:r>
      <w:r w:rsidRPr="00E14F5D">
        <w:rPr>
          <w:rFonts w:asciiTheme="minorBidi" w:hAnsiTheme="minorBidi" w:cstheme="minorBidi"/>
          <w:sz w:val="22"/>
          <w:szCs w:val="22"/>
        </w:rPr>
        <w:t>, 70, pp. 65–77. Available at: https://doi.org/10.1016/j.childyouth.2016.09.002.</w:t>
      </w:r>
    </w:p>
    <w:p w14:paraId="70057D4C"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Jackson, D., Dean, B.A. and Eady, M. (2023) ‘Equity and inclusion in work-integrated learning: participation and outcomes for diverse student groups’, </w:t>
      </w:r>
      <w:r w:rsidRPr="00E14F5D">
        <w:rPr>
          <w:rFonts w:asciiTheme="minorBidi" w:hAnsiTheme="minorBidi" w:cstheme="minorBidi"/>
          <w:i/>
          <w:iCs/>
          <w:sz w:val="22"/>
          <w:szCs w:val="22"/>
        </w:rPr>
        <w:t>Educational Review</w:t>
      </w:r>
      <w:r w:rsidRPr="00E14F5D">
        <w:rPr>
          <w:rFonts w:asciiTheme="minorBidi" w:hAnsiTheme="minorBidi" w:cstheme="minorBidi"/>
          <w:sz w:val="22"/>
          <w:szCs w:val="22"/>
        </w:rPr>
        <w:t>, 77(2), pp. 1–22. Available at: https://doi.org/10.1080/00131911.2023.2182764.</w:t>
      </w:r>
    </w:p>
    <w:p w14:paraId="1DA4CCAA"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Kaasinen, M., Terkamo-Moisio, A. and Häggman-Laitila, A. (2024) ‘The social inclusion of care leavers during their transitioning to independent life from aftercare services – A mixed method, retrospective document analysis’, </w:t>
      </w:r>
      <w:r w:rsidRPr="00E14F5D">
        <w:rPr>
          <w:rFonts w:asciiTheme="minorBidi" w:hAnsiTheme="minorBidi" w:cstheme="minorBidi"/>
          <w:i/>
          <w:iCs/>
          <w:sz w:val="22"/>
          <w:szCs w:val="22"/>
        </w:rPr>
        <w:t>Journal of Pediatric Nursing</w:t>
      </w:r>
      <w:r w:rsidRPr="00E14F5D">
        <w:rPr>
          <w:rFonts w:asciiTheme="minorBidi" w:hAnsiTheme="minorBidi" w:cstheme="minorBidi"/>
          <w:sz w:val="22"/>
          <w:szCs w:val="22"/>
        </w:rPr>
        <w:t>, 80, pp. 64–74. Available at: https://doi.org/10.1016/j.pedn.2024.11.010.</w:t>
      </w:r>
    </w:p>
    <w:p w14:paraId="564C5991"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KCL (2025) </w:t>
      </w:r>
      <w:r w:rsidRPr="00E14F5D">
        <w:rPr>
          <w:rFonts w:asciiTheme="minorBidi" w:hAnsiTheme="minorBidi" w:cstheme="minorBidi"/>
          <w:i/>
          <w:iCs/>
          <w:sz w:val="22"/>
          <w:szCs w:val="22"/>
        </w:rPr>
        <w:t>Partnerships | About | King’s College London</w:t>
      </w:r>
      <w:r w:rsidRPr="00E14F5D">
        <w:rPr>
          <w:rFonts w:asciiTheme="minorBidi" w:hAnsiTheme="minorBidi" w:cstheme="minorBidi"/>
          <w:sz w:val="22"/>
          <w:szCs w:val="22"/>
        </w:rPr>
        <w:t xml:space="preserve">, </w:t>
      </w:r>
      <w:r w:rsidRPr="00E14F5D">
        <w:rPr>
          <w:rFonts w:asciiTheme="minorBidi" w:hAnsiTheme="minorBidi" w:cstheme="minorBidi"/>
          <w:i/>
          <w:iCs/>
          <w:sz w:val="22"/>
          <w:szCs w:val="22"/>
        </w:rPr>
        <w:t>www.kcl.ac.uk</w:t>
      </w:r>
      <w:r w:rsidRPr="00E14F5D">
        <w:rPr>
          <w:rFonts w:asciiTheme="minorBidi" w:hAnsiTheme="minorBidi" w:cstheme="minorBidi"/>
          <w:sz w:val="22"/>
          <w:szCs w:val="22"/>
        </w:rPr>
        <w:t>. Available at: https://www.kcl.ac.uk/about/partnerships (Accessed: 28 October 2025).</w:t>
      </w:r>
    </w:p>
    <w:p w14:paraId="4A14F846"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Kirby, D.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(2025) ‘How Tuition Waivers and Holistic Supports Foster Success in Post-Secondary Education Among Care-Experienced Youth’, </w:t>
      </w:r>
      <w:r w:rsidRPr="00E14F5D">
        <w:rPr>
          <w:rFonts w:asciiTheme="minorBidi" w:hAnsiTheme="minorBidi" w:cstheme="minorBidi"/>
          <w:i/>
          <w:iCs/>
          <w:sz w:val="22"/>
          <w:szCs w:val="22"/>
        </w:rPr>
        <w:t>Youth</w:t>
      </w:r>
      <w:r w:rsidRPr="00E14F5D">
        <w:rPr>
          <w:rFonts w:asciiTheme="minorBidi" w:hAnsiTheme="minorBidi" w:cstheme="minorBidi"/>
          <w:sz w:val="22"/>
          <w:szCs w:val="22"/>
        </w:rPr>
        <w:t>, 5(3), pp. 1–14. Available at: https://doi.org/10.3390/youth5030099.</w:t>
      </w:r>
    </w:p>
    <w:p w14:paraId="21858526"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Kirkbride, J.B.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(2024) ‘The social determinants of mental health and disorder: Evidence, prevention and recommendations’, </w:t>
      </w:r>
      <w:r w:rsidRPr="00E14F5D">
        <w:rPr>
          <w:rFonts w:asciiTheme="minorBidi" w:hAnsiTheme="minorBidi" w:cstheme="minorBidi"/>
          <w:i/>
          <w:iCs/>
          <w:sz w:val="22"/>
          <w:szCs w:val="22"/>
        </w:rPr>
        <w:t>World Psychiatry : Official Journal of the World Psychiatric Association (WPA)</w:t>
      </w:r>
      <w:r w:rsidRPr="00E14F5D">
        <w:rPr>
          <w:rFonts w:asciiTheme="minorBidi" w:hAnsiTheme="minorBidi" w:cstheme="minorBidi"/>
          <w:sz w:val="22"/>
          <w:szCs w:val="22"/>
        </w:rPr>
        <w:t>, 23(1), pp. 58–90. Available at: https://doi.org/10.1002/wps.21160.</w:t>
      </w:r>
    </w:p>
    <w:p w14:paraId="1A51D5FA"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Lawrie, S.I.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(2025) ‘A tale of two belongings: social and academic belonging differentially shape academic and psychological outcomes among university students’, </w:t>
      </w:r>
      <w:r w:rsidRPr="00E14F5D">
        <w:rPr>
          <w:rFonts w:asciiTheme="minorBidi" w:hAnsiTheme="minorBidi" w:cstheme="minorBidi"/>
          <w:i/>
          <w:iCs/>
          <w:sz w:val="22"/>
          <w:szCs w:val="22"/>
        </w:rPr>
        <w:t>Frontiers in Psychology</w:t>
      </w:r>
      <w:r w:rsidRPr="00E14F5D">
        <w:rPr>
          <w:rFonts w:asciiTheme="minorBidi" w:hAnsiTheme="minorBidi" w:cstheme="minorBidi"/>
          <w:sz w:val="22"/>
          <w:szCs w:val="22"/>
        </w:rPr>
        <w:t>, 15. Available at: https://doi.org/10.3389/fpsyg.2024.1394588.</w:t>
      </w:r>
    </w:p>
    <w:p w14:paraId="508AA31F"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Leve, L.D.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(2012) ‘Practitioner Review: Children in foster care - vulnerabilities and evidence-based interventions that promote resilience processes’, </w:t>
      </w:r>
      <w:r w:rsidRPr="00E14F5D">
        <w:rPr>
          <w:rFonts w:asciiTheme="minorBidi" w:hAnsiTheme="minorBidi" w:cstheme="minorBidi"/>
          <w:i/>
          <w:iCs/>
          <w:sz w:val="22"/>
          <w:szCs w:val="22"/>
        </w:rPr>
        <w:t>Journal of Child Psychology and Psychiatry</w:t>
      </w:r>
      <w:r w:rsidRPr="00E14F5D">
        <w:rPr>
          <w:rFonts w:asciiTheme="minorBidi" w:hAnsiTheme="minorBidi" w:cstheme="minorBidi"/>
          <w:sz w:val="22"/>
          <w:szCs w:val="22"/>
        </w:rPr>
        <w:t>, 53(12), pp. 1197–1211. Available at: https://doi.org/10.1111/j.1469-7610.2012.02594.x.</w:t>
      </w:r>
    </w:p>
    <w:p w14:paraId="71A0CB27"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Lin-Stephens, S.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(2024) ‘Exploring Factors Contributing to Graduate Outcomes: Using Career Registration Methodology (CRM) to Track Students’ Employability Activities, Career Readiness, and Graduate Outcomes’, </w:t>
      </w:r>
      <w:r w:rsidRPr="00E14F5D">
        <w:rPr>
          <w:rFonts w:asciiTheme="minorBidi" w:hAnsiTheme="minorBidi" w:cstheme="minorBidi"/>
          <w:i/>
          <w:iCs/>
          <w:sz w:val="22"/>
          <w:szCs w:val="22"/>
        </w:rPr>
        <w:t>Education Sciences</w:t>
      </w:r>
      <w:r w:rsidRPr="00E14F5D">
        <w:rPr>
          <w:rFonts w:asciiTheme="minorBidi" w:hAnsiTheme="minorBidi" w:cstheme="minorBidi"/>
          <w:sz w:val="22"/>
          <w:szCs w:val="22"/>
        </w:rPr>
        <w:t>, 14(12), pp. 1294–1294. Available at: https://doi.org/10.3390/educsci14121294.</w:t>
      </w:r>
    </w:p>
    <w:p w14:paraId="409E90C7"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Moreira, J.A. and Oliveira, C.S. (2022) ‘Quantifying for Qualifying: A Framework for Assessing Gender Equality in Higher Education Institutions’, </w:t>
      </w:r>
      <w:r w:rsidRPr="00E14F5D">
        <w:rPr>
          <w:rFonts w:asciiTheme="minorBidi" w:hAnsiTheme="minorBidi" w:cstheme="minorBidi"/>
          <w:i/>
          <w:iCs/>
          <w:sz w:val="22"/>
          <w:szCs w:val="22"/>
        </w:rPr>
        <w:t>Social Sciences</w:t>
      </w:r>
      <w:r w:rsidRPr="00E14F5D">
        <w:rPr>
          <w:rFonts w:asciiTheme="minorBidi" w:hAnsiTheme="minorBidi" w:cstheme="minorBidi"/>
          <w:sz w:val="22"/>
          <w:szCs w:val="22"/>
        </w:rPr>
        <w:t>, 11(10), p. 478. Available at: https://doi.org/10.3390/socsci11100478.</w:t>
      </w:r>
    </w:p>
    <w:p w14:paraId="1E24F4A4"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Nurius, P.S., Prince, D.M. and Rocha, A. (2015) ‘Cumulative Disadvantage and Youth Well-Being: A Multi-domain Examination with Life Course Implications’, </w:t>
      </w:r>
      <w:r w:rsidRPr="00E14F5D">
        <w:rPr>
          <w:rFonts w:asciiTheme="minorBidi" w:hAnsiTheme="minorBidi" w:cstheme="minorBidi"/>
          <w:i/>
          <w:iCs/>
          <w:sz w:val="22"/>
          <w:szCs w:val="22"/>
        </w:rPr>
        <w:t>Child and Adolescent Social Work Journal</w:t>
      </w:r>
      <w:r w:rsidRPr="00E14F5D">
        <w:rPr>
          <w:rFonts w:asciiTheme="minorBidi" w:hAnsiTheme="minorBidi" w:cstheme="minorBidi"/>
          <w:sz w:val="22"/>
          <w:szCs w:val="22"/>
        </w:rPr>
        <w:t>, 32(6), pp. 567–576. Available at: https://doi.org/10.1007/s10560-015-0396-2.</w:t>
      </w:r>
    </w:p>
    <w:p w14:paraId="0ACA02F6"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Piel, M.H.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(2016) ‘An ecological systems approach to understanding social support in foster family resilience’, </w:t>
      </w:r>
      <w:r w:rsidRPr="00E14F5D">
        <w:rPr>
          <w:rFonts w:asciiTheme="minorBidi" w:hAnsiTheme="minorBidi" w:cstheme="minorBidi"/>
          <w:i/>
          <w:iCs/>
          <w:sz w:val="22"/>
          <w:szCs w:val="22"/>
        </w:rPr>
        <w:t>Child &amp; Family Social Work</w:t>
      </w:r>
      <w:r w:rsidRPr="00E14F5D">
        <w:rPr>
          <w:rFonts w:asciiTheme="minorBidi" w:hAnsiTheme="minorBidi" w:cstheme="minorBidi"/>
          <w:sz w:val="22"/>
          <w:szCs w:val="22"/>
        </w:rPr>
        <w:t>, 22(2), pp. 1034–1043. Available at: https://doi.org/10.1111/cfs.12323.</w:t>
      </w:r>
    </w:p>
    <w:p w14:paraId="02E04082"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Prizeman, K., McCabe, C. and Weinstein, N. (2024) ‘Stigma and Its Impact on Disclosure and Mental Health Secrecy in Young People with Clinical Depression Symptoms: A Qualitative Analysis’, </w:t>
      </w:r>
      <w:r w:rsidRPr="00E14F5D">
        <w:rPr>
          <w:rFonts w:asciiTheme="minorBidi" w:hAnsiTheme="minorBidi" w:cstheme="minorBidi"/>
          <w:i/>
          <w:iCs/>
          <w:sz w:val="22"/>
          <w:szCs w:val="22"/>
        </w:rPr>
        <w:t>PLOS ONE</w:t>
      </w:r>
      <w:r w:rsidRPr="00E14F5D">
        <w:rPr>
          <w:rFonts w:asciiTheme="minorBidi" w:hAnsiTheme="minorBidi" w:cstheme="minorBidi"/>
          <w:sz w:val="22"/>
          <w:szCs w:val="22"/>
        </w:rPr>
        <w:t>, 19(1). Available at: https://doi.org/10.1371/journal.pone.0296221.</w:t>
      </w:r>
    </w:p>
    <w:p w14:paraId="701763FC"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Schneider, D., Harknett, K. and Gailliot, A. (2024) ‘COVID-19 employment shocks and safety net expansion: Health effects on displaced workers’, </w:t>
      </w:r>
      <w:r w:rsidRPr="00E14F5D">
        <w:rPr>
          <w:rFonts w:asciiTheme="minorBidi" w:hAnsiTheme="minorBidi" w:cstheme="minorBidi"/>
          <w:i/>
          <w:iCs/>
          <w:sz w:val="22"/>
          <w:szCs w:val="22"/>
        </w:rPr>
        <w:t>Social Science Research</w:t>
      </w:r>
      <w:r w:rsidRPr="00E14F5D">
        <w:rPr>
          <w:rFonts w:asciiTheme="minorBidi" w:hAnsiTheme="minorBidi" w:cstheme="minorBidi"/>
          <w:sz w:val="22"/>
          <w:szCs w:val="22"/>
        </w:rPr>
        <w:t>, 124, p. 103059. Available at: https://doi.org/10.1016/j.ssresearch.2024.103059.</w:t>
      </w:r>
    </w:p>
    <w:p w14:paraId="4C63B38F"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Shanley, O. (2024) </w:t>
      </w:r>
      <w:r w:rsidRPr="00E14F5D">
        <w:rPr>
          <w:rFonts w:asciiTheme="minorBidi" w:hAnsiTheme="minorBidi" w:cstheme="minorBidi"/>
          <w:i/>
          <w:iCs/>
          <w:sz w:val="22"/>
          <w:szCs w:val="22"/>
        </w:rPr>
        <w:t>Independent Review of Greater Manchester Mental Health NHS Foundation Trust</w:t>
      </w:r>
      <w:r w:rsidRPr="00E14F5D">
        <w:rPr>
          <w:rFonts w:asciiTheme="minorBidi" w:hAnsiTheme="minorBidi" w:cstheme="minorBidi"/>
          <w:sz w:val="22"/>
          <w:szCs w:val="22"/>
        </w:rPr>
        <w:t>. Available at: https://www.england.nhs.uk/north-west/wp-content/uploads/sites/48/2024/01/Final-Report-Independent-Review-of-GMMH-January-2024.pdf (Accessed: 28 October 2025).</w:t>
      </w:r>
    </w:p>
    <w:p w14:paraId="27EC4CD8"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Somers, C.L.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(2020) ‘Academic Achievement among a Sample of Youth in Foster care: the Role of School Connectedness’, </w:t>
      </w:r>
      <w:r w:rsidRPr="00E14F5D">
        <w:rPr>
          <w:rFonts w:asciiTheme="minorBidi" w:hAnsiTheme="minorBidi" w:cstheme="minorBidi"/>
          <w:i/>
          <w:iCs/>
          <w:sz w:val="22"/>
          <w:szCs w:val="22"/>
        </w:rPr>
        <w:t>Psychology in the Schools</w:t>
      </w:r>
      <w:r w:rsidRPr="00E14F5D">
        <w:rPr>
          <w:rFonts w:asciiTheme="minorBidi" w:hAnsiTheme="minorBidi" w:cstheme="minorBidi"/>
          <w:sz w:val="22"/>
          <w:szCs w:val="22"/>
        </w:rPr>
        <w:t>, 57(12), p. 23. Available at: https://doi.org/10.1002/pits.22433.</w:t>
      </w:r>
    </w:p>
    <w:p w14:paraId="2F4CB06B"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Stevenson, J.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(2020) </w:t>
      </w:r>
      <w:r w:rsidRPr="00E14F5D">
        <w:rPr>
          <w:rFonts w:asciiTheme="minorBidi" w:hAnsiTheme="minorBidi" w:cstheme="minorBidi"/>
          <w:i/>
          <w:iCs/>
          <w:sz w:val="22"/>
          <w:szCs w:val="22"/>
        </w:rPr>
        <w:t>Positive Impact? What factors affect access, retention and graduate outcomes for university students with a background of care or family estrangement?</w:t>
      </w:r>
      <w:r w:rsidRPr="00E14F5D">
        <w:rPr>
          <w:rFonts w:asciiTheme="minorBidi" w:hAnsiTheme="minorBidi" w:cstheme="minorBidi"/>
          <w:sz w:val="22"/>
          <w:szCs w:val="22"/>
        </w:rPr>
        <w:t xml:space="preserve"> Available at: https://shura.shu.ac.uk/25839/1/Positive-Impact-Report.pdf (Accessed: 28 October 2025).</w:t>
      </w:r>
    </w:p>
    <w:p w14:paraId="2C18CA52"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Sting, S.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(2025) ‘Barriers to the educational progress of care leavers: The neglected role of stigma?’, </w:t>
      </w:r>
      <w:r w:rsidRPr="00E14F5D">
        <w:rPr>
          <w:rFonts w:asciiTheme="minorBidi" w:hAnsiTheme="minorBidi" w:cstheme="minorBidi"/>
          <w:i/>
          <w:iCs/>
          <w:sz w:val="22"/>
          <w:szCs w:val="22"/>
        </w:rPr>
        <w:t>Children and Youth Services Review</w:t>
      </w:r>
      <w:r w:rsidRPr="00E14F5D">
        <w:rPr>
          <w:rFonts w:asciiTheme="minorBidi" w:hAnsiTheme="minorBidi" w:cstheme="minorBidi"/>
          <w:sz w:val="22"/>
          <w:szCs w:val="22"/>
        </w:rPr>
        <w:t>, 173, p. 108294. Available at: https://doi.org/10.1016/j.childyouth.2025.108294.</w:t>
      </w:r>
    </w:p>
    <w:p w14:paraId="4E167046"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University of Glasgow (2024) </w:t>
      </w:r>
      <w:r w:rsidRPr="00E14F5D">
        <w:rPr>
          <w:rFonts w:asciiTheme="minorBidi" w:hAnsiTheme="minorBidi" w:cstheme="minorBidi"/>
          <w:i/>
          <w:iCs/>
          <w:sz w:val="22"/>
          <w:szCs w:val="22"/>
        </w:rPr>
        <w:t>Local growth plans must reach City regions across the UK’s nations</w:t>
      </w:r>
      <w:r w:rsidRPr="00E14F5D">
        <w:rPr>
          <w:rFonts w:asciiTheme="minorBidi" w:hAnsiTheme="minorBidi" w:cstheme="minorBidi"/>
          <w:sz w:val="22"/>
          <w:szCs w:val="22"/>
        </w:rPr>
        <w:t xml:space="preserve">, </w:t>
      </w:r>
      <w:r w:rsidRPr="00E14F5D">
        <w:rPr>
          <w:rFonts w:asciiTheme="minorBidi" w:hAnsiTheme="minorBidi" w:cstheme="minorBidi"/>
          <w:i/>
          <w:iCs/>
          <w:sz w:val="22"/>
          <w:szCs w:val="22"/>
        </w:rPr>
        <w:t>Gla.ac.uk</w:t>
      </w:r>
      <w:r w:rsidRPr="00E14F5D">
        <w:rPr>
          <w:rFonts w:asciiTheme="minorBidi" w:hAnsiTheme="minorBidi" w:cstheme="minorBidi"/>
          <w:sz w:val="22"/>
          <w:szCs w:val="22"/>
        </w:rPr>
        <w:t>. Available at: https://www.gla.ac.uk/research/az/publicpolicy/news/headline_1107833_en.html (Accessed: 28 October 2025).</w:t>
      </w:r>
    </w:p>
    <w:p w14:paraId="4DDE0804"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US Department of State (2023) </w:t>
      </w:r>
      <w:r w:rsidRPr="00E14F5D">
        <w:rPr>
          <w:rFonts w:asciiTheme="minorBidi" w:hAnsiTheme="minorBidi" w:cstheme="minorBidi"/>
          <w:i/>
          <w:iCs/>
          <w:sz w:val="22"/>
          <w:szCs w:val="22"/>
        </w:rPr>
        <w:t>United States Strategy on Global Women’s Economic Security - United States Department of State</w:t>
      </w:r>
      <w:r w:rsidRPr="00E14F5D">
        <w:rPr>
          <w:rFonts w:asciiTheme="minorBidi" w:hAnsiTheme="minorBidi" w:cstheme="minorBidi"/>
          <w:sz w:val="22"/>
          <w:szCs w:val="22"/>
        </w:rPr>
        <w:t xml:space="preserve">, </w:t>
      </w:r>
      <w:r w:rsidRPr="00E14F5D">
        <w:rPr>
          <w:rFonts w:asciiTheme="minorBidi" w:hAnsiTheme="minorBidi" w:cstheme="minorBidi"/>
          <w:i/>
          <w:iCs/>
          <w:sz w:val="22"/>
          <w:szCs w:val="22"/>
        </w:rPr>
        <w:t>United States Department of State</w:t>
      </w:r>
      <w:r w:rsidRPr="00E14F5D">
        <w:rPr>
          <w:rFonts w:asciiTheme="minorBidi" w:hAnsiTheme="minorBidi" w:cstheme="minorBidi"/>
          <w:sz w:val="22"/>
          <w:szCs w:val="22"/>
        </w:rPr>
        <w:t>. Available at: https://2021-2025.state.gov/reports/united-states-strategy-on-global-womens-economic-security/ (Accessed: 28 October 2025).</w:t>
      </w:r>
    </w:p>
    <w:p w14:paraId="59E67272"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Vallejo-Slocker, L.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(2024) ‘Systematic Review of the Evaluation of Foster Care Programs’, </w:t>
      </w:r>
      <w:r w:rsidRPr="00E14F5D">
        <w:rPr>
          <w:rFonts w:asciiTheme="minorBidi" w:hAnsiTheme="minorBidi" w:cstheme="minorBidi"/>
          <w:i/>
          <w:iCs/>
          <w:sz w:val="22"/>
          <w:szCs w:val="22"/>
        </w:rPr>
        <w:t>Psychosocial Intervention</w:t>
      </w:r>
      <w:r w:rsidRPr="00E14F5D">
        <w:rPr>
          <w:rFonts w:asciiTheme="minorBidi" w:hAnsiTheme="minorBidi" w:cstheme="minorBidi"/>
          <w:sz w:val="22"/>
          <w:szCs w:val="22"/>
        </w:rPr>
        <w:t>, 33(1), pp. 1–14. Available at: https://doi.org/10.5093/pi2023a14.</w:t>
      </w:r>
    </w:p>
    <w:p w14:paraId="78C155F4"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Wade, M., Wright, L. and Finegold, K.E. (2022) ‘The effects of early life adversity on children’s mental health and cognitive functioning’, </w:t>
      </w:r>
      <w:r w:rsidRPr="00E14F5D">
        <w:rPr>
          <w:rFonts w:asciiTheme="minorBidi" w:hAnsiTheme="minorBidi" w:cstheme="minorBidi"/>
          <w:i/>
          <w:iCs/>
          <w:sz w:val="22"/>
          <w:szCs w:val="22"/>
        </w:rPr>
        <w:t>Translational Psychiatry</w:t>
      </w:r>
      <w:r w:rsidRPr="00E14F5D">
        <w:rPr>
          <w:rFonts w:asciiTheme="minorBidi" w:hAnsiTheme="minorBidi" w:cstheme="minorBidi"/>
          <w:sz w:val="22"/>
          <w:szCs w:val="22"/>
        </w:rPr>
        <w:t>, 12(1). Available at: https://doi.org/10.1038/s41398-022-02001-0.</w:t>
      </w:r>
    </w:p>
    <w:p w14:paraId="2C0B69FA" w14:textId="77777777" w:rsidR="00C80EDB" w:rsidRPr="00E14F5D" w:rsidRDefault="00C80EDB" w:rsidP="00210CD1">
      <w:pPr>
        <w:pStyle w:val="NormalWeb"/>
        <w:spacing w:before="0" w:beforeAutospacing="0" w:after="240" w:afterAutospacing="0" w:line="360" w:lineRule="auto"/>
        <w:jc w:val="both"/>
        <w:rPr>
          <w:rFonts w:asciiTheme="minorBidi" w:hAnsiTheme="minorBidi" w:cstheme="minorBidi"/>
          <w:sz w:val="22"/>
          <w:szCs w:val="22"/>
        </w:rPr>
      </w:pPr>
      <w:r w:rsidRPr="00E14F5D">
        <w:rPr>
          <w:rFonts w:asciiTheme="minorBidi" w:hAnsiTheme="minorBidi" w:cstheme="minorBidi"/>
          <w:sz w:val="22"/>
          <w:szCs w:val="22"/>
        </w:rPr>
        <w:t xml:space="preserve">Zhang, W. </w:t>
      </w:r>
      <w:r w:rsidRPr="00E14F5D">
        <w:rPr>
          <w:rFonts w:asciiTheme="minorBidi" w:hAnsiTheme="minorBidi" w:cstheme="minorBidi"/>
          <w:i/>
          <w:iCs/>
          <w:sz w:val="22"/>
          <w:szCs w:val="22"/>
        </w:rPr>
        <w:t>et al.</w:t>
      </w:r>
      <w:r w:rsidRPr="00E14F5D">
        <w:rPr>
          <w:rFonts w:asciiTheme="minorBidi" w:hAnsiTheme="minorBidi" w:cstheme="minorBidi"/>
          <w:sz w:val="22"/>
          <w:szCs w:val="22"/>
        </w:rPr>
        <w:t xml:space="preserve"> (2024) ‘A scoping review of well-being measures: conceptualisation and scales for overall well-being’, </w:t>
      </w:r>
      <w:r w:rsidRPr="00E14F5D">
        <w:rPr>
          <w:rFonts w:asciiTheme="minorBidi" w:hAnsiTheme="minorBidi" w:cstheme="minorBidi"/>
          <w:i/>
          <w:iCs/>
          <w:sz w:val="22"/>
          <w:szCs w:val="22"/>
        </w:rPr>
        <w:t>BMC Psychology</w:t>
      </w:r>
      <w:r w:rsidRPr="00E14F5D">
        <w:rPr>
          <w:rFonts w:asciiTheme="minorBidi" w:hAnsiTheme="minorBidi" w:cstheme="minorBidi"/>
          <w:sz w:val="22"/>
          <w:szCs w:val="22"/>
        </w:rPr>
        <w:t>, 12(1). Available at: https://doi.org/10.1186/s40359-024-02074-0.</w:t>
      </w:r>
    </w:p>
    <w:p w14:paraId="496E04B1" w14:textId="77777777" w:rsidR="002D50A0" w:rsidRPr="00E14F5D" w:rsidRDefault="002D50A0" w:rsidP="00210CD1">
      <w:pPr>
        <w:jc w:val="both"/>
        <w:rPr>
          <w:szCs w:val="22"/>
        </w:rPr>
      </w:pPr>
    </w:p>
    <w:sectPr w:rsidR="002D50A0" w:rsidRPr="00E14F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57706E"/>
    <w:multiLevelType w:val="multilevel"/>
    <w:tmpl w:val="E2009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4D32B8"/>
    <w:multiLevelType w:val="multilevel"/>
    <w:tmpl w:val="E6783EC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BBC30FD"/>
    <w:multiLevelType w:val="multilevel"/>
    <w:tmpl w:val="510C9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7F26D6"/>
    <w:multiLevelType w:val="multilevel"/>
    <w:tmpl w:val="198EC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7080616">
    <w:abstractNumId w:val="3"/>
  </w:num>
  <w:num w:numId="2" w16cid:durableId="1297485582">
    <w:abstractNumId w:val="0"/>
  </w:num>
  <w:num w:numId="3" w16cid:durableId="1986087800">
    <w:abstractNumId w:val="2"/>
  </w:num>
  <w:num w:numId="4" w16cid:durableId="7444963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C41"/>
    <w:rsid w:val="0003394B"/>
    <w:rsid w:val="000363C5"/>
    <w:rsid w:val="00081D45"/>
    <w:rsid w:val="000B743B"/>
    <w:rsid w:val="00105C97"/>
    <w:rsid w:val="00112663"/>
    <w:rsid w:val="00172169"/>
    <w:rsid w:val="00185EF0"/>
    <w:rsid w:val="001A3B69"/>
    <w:rsid w:val="001B18E4"/>
    <w:rsid w:val="001D1A56"/>
    <w:rsid w:val="001F43D0"/>
    <w:rsid w:val="00210CD1"/>
    <w:rsid w:val="00211208"/>
    <w:rsid w:val="00216359"/>
    <w:rsid w:val="00226D02"/>
    <w:rsid w:val="002A5235"/>
    <w:rsid w:val="002D50A0"/>
    <w:rsid w:val="00317F5B"/>
    <w:rsid w:val="00324B7F"/>
    <w:rsid w:val="00340028"/>
    <w:rsid w:val="003A70EE"/>
    <w:rsid w:val="00420362"/>
    <w:rsid w:val="00437888"/>
    <w:rsid w:val="00461624"/>
    <w:rsid w:val="00462C2D"/>
    <w:rsid w:val="00466F16"/>
    <w:rsid w:val="004A766C"/>
    <w:rsid w:val="004B4B12"/>
    <w:rsid w:val="004C3AD4"/>
    <w:rsid w:val="004C6DE0"/>
    <w:rsid w:val="004D5474"/>
    <w:rsid w:val="00515373"/>
    <w:rsid w:val="0053789E"/>
    <w:rsid w:val="005C310D"/>
    <w:rsid w:val="00601865"/>
    <w:rsid w:val="006076B9"/>
    <w:rsid w:val="00651285"/>
    <w:rsid w:val="00676C41"/>
    <w:rsid w:val="00695134"/>
    <w:rsid w:val="00711740"/>
    <w:rsid w:val="007272F1"/>
    <w:rsid w:val="0075004B"/>
    <w:rsid w:val="007D3387"/>
    <w:rsid w:val="007F3401"/>
    <w:rsid w:val="00804503"/>
    <w:rsid w:val="008201B3"/>
    <w:rsid w:val="008E368B"/>
    <w:rsid w:val="009144B7"/>
    <w:rsid w:val="009149FE"/>
    <w:rsid w:val="00944EFC"/>
    <w:rsid w:val="0097227E"/>
    <w:rsid w:val="009B14D7"/>
    <w:rsid w:val="009B67F8"/>
    <w:rsid w:val="009C5B78"/>
    <w:rsid w:val="009D41D7"/>
    <w:rsid w:val="00A7220E"/>
    <w:rsid w:val="00A9047B"/>
    <w:rsid w:val="00A930EA"/>
    <w:rsid w:val="00AA56AE"/>
    <w:rsid w:val="00AA5716"/>
    <w:rsid w:val="00AB13DA"/>
    <w:rsid w:val="00AF4477"/>
    <w:rsid w:val="00B43083"/>
    <w:rsid w:val="00B94F8A"/>
    <w:rsid w:val="00BE4882"/>
    <w:rsid w:val="00BF1502"/>
    <w:rsid w:val="00C01094"/>
    <w:rsid w:val="00C0353C"/>
    <w:rsid w:val="00C069E1"/>
    <w:rsid w:val="00C26CEF"/>
    <w:rsid w:val="00C36112"/>
    <w:rsid w:val="00C57922"/>
    <w:rsid w:val="00C73F5C"/>
    <w:rsid w:val="00C80EDB"/>
    <w:rsid w:val="00CA5F7B"/>
    <w:rsid w:val="00D16362"/>
    <w:rsid w:val="00D63D4B"/>
    <w:rsid w:val="00D85B2B"/>
    <w:rsid w:val="00D95A10"/>
    <w:rsid w:val="00DC2490"/>
    <w:rsid w:val="00DE0B2C"/>
    <w:rsid w:val="00E14F5D"/>
    <w:rsid w:val="00E63F77"/>
    <w:rsid w:val="00E947F1"/>
    <w:rsid w:val="00EB250C"/>
    <w:rsid w:val="00EC154F"/>
    <w:rsid w:val="00F20ED7"/>
    <w:rsid w:val="00F57E51"/>
    <w:rsid w:val="00FB6C67"/>
    <w:rsid w:val="00FC7A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1B366"/>
  <w15:chartTrackingRefBased/>
  <w15:docId w15:val="{5DE325E0-71A5-1A4A-A584-A99E56A0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E51"/>
    <w:pPr>
      <w:spacing w:line="360" w:lineRule="auto"/>
    </w:pPr>
    <w:rPr>
      <w:rFonts w:asciiTheme="minorBidi" w:hAnsiTheme="minorBidi"/>
      <w:sz w:val="22"/>
    </w:rPr>
  </w:style>
  <w:style w:type="paragraph" w:styleId="Heading1">
    <w:name w:val="heading 1"/>
    <w:basedOn w:val="Normal"/>
    <w:next w:val="Normal"/>
    <w:link w:val="Heading1Char"/>
    <w:uiPriority w:val="9"/>
    <w:qFormat/>
    <w:rsid w:val="00F57E51"/>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F57E51"/>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676C4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76C4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76C4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76C4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76C4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76C4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E51"/>
    <w:rPr>
      <w:rFonts w:asciiTheme="minorBidi" w:eastAsiaTheme="majorEastAsia" w:hAnsiTheme="minorBidi" w:cstheme="majorBidi"/>
      <w:b/>
      <w:color w:val="0F4761" w:themeColor="accent1" w:themeShade="BF"/>
      <w:sz w:val="32"/>
      <w:szCs w:val="40"/>
    </w:rPr>
  </w:style>
  <w:style w:type="character" w:customStyle="1" w:styleId="Heading2Char">
    <w:name w:val="Heading 2 Char"/>
    <w:basedOn w:val="DefaultParagraphFont"/>
    <w:link w:val="Heading2"/>
    <w:uiPriority w:val="9"/>
    <w:rsid w:val="00F57E51"/>
    <w:rPr>
      <w:rFonts w:asciiTheme="minorBidi" w:eastAsiaTheme="majorEastAsia" w:hAnsiTheme="minorBidi" w:cstheme="majorBidi"/>
      <w:b/>
      <w:color w:val="0F4761" w:themeColor="accent1" w:themeShade="BF"/>
      <w:sz w:val="28"/>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676C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6C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6C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6C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6C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6C41"/>
    <w:rPr>
      <w:rFonts w:eastAsiaTheme="majorEastAsia" w:cstheme="majorBidi"/>
      <w:color w:val="272727" w:themeColor="text1" w:themeTint="D8"/>
    </w:rPr>
  </w:style>
  <w:style w:type="paragraph" w:styleId="Title">
    <w:name w:val="Title"/>
    <w:basedOn w:val="Normal"/>
    <w:next w:val="Normal"/>
    <w:link w:val="TitleChar"/>
    <w:uiPriority w:val="10"/>
    <w:qFormat/>
    <w:rsid w:val="00676C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C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6C4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6C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C41"/>
    <w:pPr>
      <w:spacing w:before="160"/>
      <w:jc w:val="center"/>
    </w:pPr>
    <w:rPr>
      <w:i/>
      <w:iCs/>
      <w:color w:val="404040" w:themeColor="text1" w:themeTint="BF"/>
    </w:rPr>
  </w:style>
  <w:style w:type="character" w:customStyle="1" w:styleId="QuoteChar">
    <w:name w:val="Quote Char"/>
    <w:basedOn w:val="DefaultParagraphFont"/>
    <w:link w:val="Quote"/>
    <w:uiPriority w:val="29"/>
    <w:rsid w:val="00676C41"/>
    <w:rPr>
      <w:rFonts w:asciiTheme="majorBidi" w:hAnsiTheme="majorBidi"/>
      <w:i/>
      <w:iCs/>
      <w:color w:val="404040" w:themeColor="text1" w:themeTint="BF"/>
    </w:rPr>
  </w:style>
  <w:style w:type="paragraph" w:styleId="ListParagraph">
    <w:name w:val="List Paragraph"/>
    <w:basedOn w:val="Normal"/>
    <w:uiPriority w:val="34"/>
    <w:qFormat/>
    <w:rsid w:val="00676C41"/>
    <w:pPr>
      <w:ind w:left="720"/>
      <w:contextualSpacing/>
    </w:pPr>
  </w:style>
  <w:style w:type="character" w:styleId="IntenseEmphasis">
    <w:name w:val="Intense Emphasis"/>
    <w:basedOn w:val="DefaultParagraphFont"/>
    <w:uiPriority w:val="21"/>
    <w:qFormat/>
    <w:rsid w:val="00676C41"/>
    <w:rPr>
      <w:i/>
      <w:iCs/>
      <w:color w:val="0F4761" w:themeColor="accent1" w:themeShade="BF"/>
    </w:rPr>
  </w:style>
  <w:style w:type="paragraph" w:styleId="IntenseQuote">
    <w:name w:val="Intense Quote"/>
    <w:basedOn w:val="Normal"/>
    <w:next w:val="Normal"/>
    <w:link w:val="IntenseQuoteChar"/>
    <w:uiPriority w:val="30"/>
    <w:qFormat/>
    <w:rsid w:val="00676C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6C41"/>
    <w:rPr>
      <w:rFonts w:asciiTheme="majorBidi" w:hAnsiTheme="majorBidi"/>
      <w:i/>
      <w:iCs/>
      <w:color w:val="0F4761" w:themeColor="accent1" w:themeShade="BF"/>
    </w:rPr>
  </w:style>
  <w:style w:type="character" w:styleId="IntenseReference">
    <w:name w:val="Intense Reference"/>
    <w:basedOn w:val="DefaultParagraphFont"/>
    <w:uiPriority w:val="32"/>
    <w:qFormat/>
    <w:rsid w:val="00676C41"/>
    <w:rPr>
      <w:b/>
      <w:bCs/>
      <w:smallCaps/>
      <w:color w:val="0F4761" w:themeColor="accent1" w:themeShade="BF"/>
      <w:spacing w:val="5"/>
    </w:rPr>
  </w:style>
  <w:style w:type="paragraph" w:styleId="NormalWeb">
    <w:name w:val="Normal (Web)"/>
    <w:basedOn w:val="Normal"/>
    <w:uiPriority w:val="99"/>
    <w:unhideWhenUsed/>
    <w:rsid w:val="005C310D"/>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5C31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5003</Words>
  <Characters>28522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kamran khan</cp:lastModifiedBy>
  <cp:revision>2</cp:revision>
  <dcterms:created xsi:type="dcterms:W3CDTF">2025-12-03T21:43:00Z</dcterms:created>
  <dcterms:modified xsi:type="dcterms:W3CDTF">2025-12-03T21:43:00Z</dcterms:modified>
</cp:coreProperties>
</file>