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u w:val="single"/>
        </w:rPr>
      </w:pPr>
      <w:r w:rsidDel="00000000" w:rsidR="00000000" w:rsidRPr="00000000">
        <w:rPr>
          <w:u w:val="single"/>
          <w:rtl w:val="0"/>
        </w:rPr>
        <w:t xml:space="preserve">Element 3</w:t>
      </w:r>
    </w:p>
    <w:p w:rsidR="00000000" w:rsidDel="00000000" w:rsidP="00000000" w:rsidRDefault="00000000" w:rsidRPr="00000000" w14:paraId="00000002">
      <w:pPr>
        <w:rPr/>
      </w:pPr>
      <w:r w:rsidDel="00000000" w:rsidR="00000000" w:rsidRPr="00000000">
        <w:rPr>
          <w:rtl w:val="0"/>
        </w:rPr>
        <w:t xml:space="preserve">County lines is the illegal practice of transporting drugs and sometimes money from large cities to smaller towns using children and young people as a mule. This is often done by using exploitative, manipulative and violent methods to convince young people to transport goods. This essay aims to evaluate how effective law reform would be on county lines as it is a serious problem that the country is currently facing.</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The current laws in place regarding county lines and human trafficking are extensive and do not leave much wiggle room for criminals looking to make a profit in trafficking, this is seen in the case of the ‘Goldie’ gang, explained in a report from South Wales Police titled </w:t>
      </w:r>
      <w:r w:rsidDel="00000000" w:rsidR="00000000" w:rsidRPr="00000000">
        <w:rPr>
          <w:color w:val="1f2025"/>
          <w:rtl w:val="0"/>
        </w:rPr>
        <w:t xml:space="preserve">‘Goldie’ county lines drugs gang sentenced to a total of 36 years</w:t>
      </w:r>
      <w:r w:rsidDel="00000000" w:rsidR="00000000" w:rsidRPr="00000000">
        <w:rPr>
          <w:rtl w:val="0"/>
        </w:rPr>
        <w:t xml:space="preserve">”</w:t>
      </w:r>
      <w:r w:rsidDel="00000000" w:rsidR="00000000" w:rsidRPr="00000000">
        <w:rPr>
          <w:rtl w:val="0"/>
        </w:rPr>
        <w:t xml:space="preserve">. The laws provide some protection and those found guilty can face upward of a life sentence. However, many of the laws are from decades ago, and the way in which trafficking happens has changed drastically, this is not to say that the current laws do not have a place, rather that they need to be reevaluated through a modern lens to reflect the reality of human trafficking and county lines today.</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most concerning issue regarding county lines is the exploitation of children to “run” the drugs to smaller towns across the country. The act of drug dealing continues to be governed by the Misuse of Drugs Act 1971, which criminalises the selling and distribution of illicit drugs. However, there is a serious lack of protection for children being exploited. Although The Modern Slavery Act 2015 makes human trafficking an offence (as seen in section 2), and ensures that people forced into committing criminal acts are to be seen as victims (as seen in section 45), there is clearly a gap in the law that is failing to protect children from harm. Reform is essential to create a culture of protecting children and educating them on the dangers of people actively preying on them to commit crimes.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A serious problem in relation to county lines and trafficking has been cuckooing, which is the practice of taking over another person’s home for the purpose of committing crime, this puts the most vulnerable people in society at serious risk of harm. Until recently, there was little that could be done about this practice, as there was no legislation which outlined the offence, however, as of the day this essay is being written, the Crime and Policing Act 2026 has gone through royal assent and is now law. This law has made cuckooing a recognised offence, carrying a maximum sentence of five years. This demonstrates the recent progression of law reform regarding trafficking to create a safer society, and outlines the government's attempts to adapt and tackle crime in the modern era.</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A large amount of the government’s efforts to minimise county lines offences have been to halt the way in which these crimes are being committed. The reality is that the criminals will always find new ways to transport goods from one place to another. It is possible that the best way to tackle the issue is to dismantle the gangs themselves. Although this would certainly prove a challenge in its own right, the outcome would be a safer country for everyone, but mainly for the children who are the target of gangs across the country. A report from the home office titled ‘County Lines Programme data’ indicates that over 15,000 were at risk, or involved with child criminal exploitation. The number of children involved with dangerous gangs is nauseating, however, by making it harder for them to do this does not make the problem disappear, there must be reform that tackles gangs and ensures that no child, young person, or vulnerable person is at risk, as well as clearing the streets of unregulated, dangerous drugs which puts a huge strain on services such as the police, the courts and the NHS.</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To conclude, there is a problem. A growing number of children are being exploited for profit, and the new law does not directly tackle the people targeting these people. This is simply not enough to make the country a safer place. The new law aims to protect children, and it might, however something else will take its place, reform is needed to eliminate the problem of county lines altogether. This can be done though a no nonsense, hard on crime approach for a problem that is rapidly becoming an epidemic. The exploitation of vulnerable people can come to an end providing the government is able to approach the issue from the right direction.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Reference list </w:t>
      </w:r>
    </w:p>
    <w:p w:rsidR="00000000" w:rsidDel="00000000" w:rsidP="00000000" w:rsidRDefault="00000000" w:rsidRPr="00000000" w14:paraId="00000010">
      <w:pPr>
        <w:rPr>
          <w:sz w:val="24"/>
          <w:szCs w:val="24"/>
        </w:rPr>
      </w:pPr>
      <w:r w:rsidDel="00000000" w:rsidR="00000000" w:rsidRPr="00000000">
        <w:rPr>
          <w:sz w:val="24"/>
          <w:szCs w:val="24"/>
          <w:rtl w:val="0"/>
        </w:rPr>
        <w:t xml:space="preserve">South Wales Police (2024) </w:t>
      </w:r>
      <w:r w:rsidDel="00000000" w:rsidR="00000000" w:rsidRPr="00000000">
        <w:rPr>
          <w:i w:val="1"/>
          <w:iCs w:val="1"/>
          <w:rtl w:val="0"/>
        </w:rPr>
        <w:t xml:space="preserve">‘Goldie’ county lines drugs gang sentenced to a total of 36 years</w:t>
      </w:r>
      <w:r w:rsidDel="00000000" w:rsidR="00000000" w:rsidRPr="00000000">
        <w:rPr>
          <w:sz w:val="24"/>
          <w:szCs w:val="24"/>
          <w:rtl w:val="0"/>
        </w:rPr>
        <w:t xml:space="preserve">. Available at: https://www.south-wales.police.uk/news/south-wales/news/2024/march/goldie-county-lines-drugs-gang-sentenced-to-a-total-of-36-years/</w:t>
      </w:r>
    </w:p>
    <w:p w:rsidR="00000000" w:rsidDel="00000000" w:rsidP="00000000" w:rsidRDefault="00000000" w:rsidRPr="00000000" w14:paraId="00000011">
      <w:pPr>
        <w:rPr/>
      </w:pPr>
      <w:r w:rsidDel="00000000" w:rsidR="00000000" w:rsidRPr="00000000">
        <w:rPr>
          <w:rtl w:val="0"/>
        </w:rPr>
        <w:t xml:space="preserve">Misuse of Drugs Act 1971</w:t>
      </w:r>
    </w:p>
    <w:p w:rsidR="00000000" w:rsidDel="00000000" w:rsidP="00000000" w:rsidRDefault="00000000" w:rsidRPr="00000000" w14:paraId="00000012">
      <w:pPr>
        <w:rPr>
          <w:sz w:val="24"/>
          <w:szCs w:val="24"/>
        </w:rPr>
      </w:pPr>
      <w:r w:rsidDel="00000000" w:rsidR="00000000" w:rsidRPr="00000000">
        <w:rPr>
          <w:i w:val="1"/>
          <w:iCs w:val="1"/>
          <w:sz w:val="24"/>
          <w:szCs w:val="24"/>
          <w:rtl w:val="0"/>
        </w:rPr>
        <w:t xml:space="preserve">Modern Slavery Act 2015</w:t>
      </w:r>
      <w:r w:rsidDel="00000000" w:rsidR="00000000" w:rsidRPr="00000000">
        <w:rPr>
          <w:sz w:val="24"/>
          <w:szCs w:val="24"/>
          <w:rtl w:val="0"/>
        </w:rPr>
        <w:t xml:space="preserve">, c. 30. Available at: </w:t>
      </w:r>
      <w:hyperlink r:id="rId6">
        <w:r w:rsidDel="00000000" w:rsidR="00000000" w:rsidRPr="00000000">
          <w:rPr>
            <w:color w:val="1155cc"/>
            <w:sz w:val="24"/>
            <w:szCs w:val="24"/>
            <w:u w:val="single"/>
            <w:rtl w:val="0"/>
          </w:rPr>
          <w:t xml:space="preserve">https://www.legislation.gov.uk/ukpga/2015/30/section/45</w:t>
        </w:r>
      </w:hyperlink>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i w:val="1"/>
          <w:iCs w:val="1"/>
          <w:sz w:val="24"/>
          <w:szCs w:val="24"/>
          <w:rtl w:val="0"/>
        </w:rPr>
        <w:t xml:space="preserve">Modern Slavery Act 2015</w:t>
      </w:r>
      <w:r w:rsidDel="00000000" w:rsidR="00000000" w:rsidRPr="00000000">
        <w:rPr>
          <w:sz w:val="24"/>
          <w:szCs w:val="24"/>
          <w:rtl w:val="0"/>
        </w:rPr>
        <w:t xml:space="preserve">, c. 30. Available at: </w:t>
      </w:r>
      <w:hyperlink r:id="rId7">
        <w:r w:rsidDel="00000000" w:rsidR="00000000" w:rsidRPr="00000000">
          <w:rPr>
            <w:color w:val="1155cc"/>
            <w:sz w:val="24"/>
            <w:szCs w:val="24"/>
            <w:u w:val="single"/>
            <w:rtl w:val="0"/>
          </w:rPr>
          <w:t xml:space="preserve">https://www.legislation.gov.uk/ukpga/2015/30/section/2</w:t>
        </w:r>
      </w:hyperlink>
      <w:r w:rsidDel="00000000" w:rsidR="00000000" w:rsidRPr="00000000">
        <w:rPr>
          <w:rtl w:val="0"/>
        </w:rPr>
      </w:r>
    </w:p>
    <w:p w:rsidR="00000000" w:rsidDel="00000000" w:rsidP="00000000" w:rsidRDefault="00000000" w:rsidRPr="00000000" w14:paraId="00000014">
      <w:pPr>
        <w:rPr>
          <w:i w:val="1"/>
          <w:iCs w:val="1"/>
          <w:sz w:val="24"/>
          <w:szCs w:val="24"/>
        </w:rPr>
      </w:pPr>
      <w:r w:rsidDel="00000000" w:rsidR="00000000" w:rsidRPr="00000000">
        <w:rPr>
          <w:i w:val="1"/>
          <w:iCs w:val="1"/>
          <w:sz w:val="24"/>
          <w:szCs w:val="24"/>
          <w:rtl w:val="0"/>
        </w:rPr>
        <w:t xml:space="preserve">Crime and Policing Act 2026</w:t>
      </w:r>
    </w:p>
    <w:p w:rsidR="00000000" w:rsidDel="00000000" w:rsidP="00000000" w:rsidRDefault="00000000" w:rsidRPr="00000000" w14:paraId="00000015">
      <w:pPr>
        <w:rPr>
          <w:i w:val="1"/>
          <w:iCs w:val="1"/>
          <w:sz w:val="24"/>
          <w:szCs w:val="24"/>
        </w:rPr>
      </w:pPr>
      <w:r w:rsidDel="00000000" w:rsidR="00000000" w:rsidRPr="00000000">
        <w:rPr>
          <w:sz w:val="24"/>
          <w:szCs w:val="24"/>
          <w:rtl w:val="0"/>
        </w:rPr>
        <w:t xml:space="preserve">Home Office (2025) </w:t>
      </w:r>
      <w:r w:rsidDel="00000000" w:rsidR="00000000" w:rsidRPr="00000000">
        <w:rPr>
          <w:i w:val="1"/>
          <w:iCs w:val="1"/>
          <w:sz w:val="24"/>
          <w:szCs w:val="24"/>
          <w:rtl w:val="0"/>
        </w:rPr>
        <w:t xml:space="preserve">County Lines Programme data</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https://www.gov.uk/government/publications/home-offices-county-lines-programme-data/county-lines-programme-data</w:t>
        </w:r>
      </w:hyperlink>
      <w:r w:rsidDel="00000000" w:rsidR="00000000" w:rsidRPr="00000000">
        <w:rPr>
          <w:rtl w:val="0"/>
        </w:rPr>
      </w:r>
    </w:p>
    <w:p w:rsidR="00000000" w:rsidDel="00000000" w:rsidP="00000000" w:rsidRDefault="00000000" w:rsidRPr="00000000" w14:paraId="00000016">
      <w:pPr>
        <w:rPr>
          <w:i w:val="1"/>
          <w:iCs w:val="1"/>
          <w:sz w:val="24"/>
          <w:szCs w:val="24"/>
        </w:rPr>
      </w:pPr>
      <w:r w:rsidDel="00000000" w:rsidR="00000000" w:rsidRPr="00000000">
        <w:rPr>
          <w:rtl w:val="0"/>
        </w:rPr>
      </w:r>
    </w:p>
    <w:p w:rsidR="00000000" w:rsidDel="00000000" w:rsidP="00000000" w:rsidRDefault="00000000" w:rsidRPr="00000000" w14:paraId="00000017">
      <w:pPr>
        <w:rPr>
          <w:sz w:val="24"/>
          <w:szCs w:val="24"/>
          <w:u w:val="single"/>
        </w:rPr>
      </w:pPr>
      <w:r w:rsidDel="00000000" w:rsidR="00000000" w:rsidRPr="00000000">
        <w:rPr>
          <w:sz w:val="24"/>
          <w:szCs w:val="24"/>
          <w:u w:val="single"/>
          <w:rtl w:val="0"/>
        </w:rPr>
        <w:t xml:space="preserve">Element 2</w:t>
      </w:r>
    </w:p>
    <w:p w:rsidR="00000000" w:rsidDel="00000000" w:rsidP="00000000" w:rsidRDefault="00000000" w:rsidRPr="00000000" w14:paraId="00000018">
      <w:pPr>
        <w:rPr>
          <w:sz w:val="24"/>
          <w:szCs w:val="24"/>
          <w:u w:val="single"/>
        </w:rPr>
      </w:pPr>
      <w:r w:rsidDel="00000000" w:rsidR="00000000" w:rsidRPr="00000000">
        <w:rPr>
          <w:rtl w:val="0"/>
        </w:rPr>
      </w:r>
    </w:p>
    <w:p w:rsidR="00000000" w:rsidDel="00000000" w:rsidP="00000000" w:rsidRDefault="00000000" w:rsidRPr="00000000" w14:paraId="00000019">
      <w:pPr>
        <w:rPr>
          <w:sz w:val="24"/>
          <w:szCs w:val="24"/>
          <w:u w:val="single"/>
        </w:rPr>
      </w:pPr>
      <w:hyperlink r:id="rId9">
        <w:r w:rsidDel="00000000" w:rsidR="00000000" w:rsidRPr="00000000">
          <w:rPr>
            <w:color w:val="1155cc"/>
            <w:sz w:val="24"/>
            <w:szCs w:val="24"/>
            <w:u w:val="single"/>
            <w:rtl w:val="0"/>
          </w:rPr>
          <w:t xml:space="preserve">IMG_9079.MOV</w:t>
        </w:r>
      </w:hyperlink>
      <w:r w:rsidDel="00000000" w:rsidR="00000000" w:rsidRPr="00000000">
        <w:rPr>
          <w:rtl w:val="0"/>
        </w:rPr>
      </w:r>
    </w:p>
    <w:p w:rsidR="00000000" w:rsidDel="00000000" w:rsidP="00000000" w:rsidRDefault="00000000" w:rsidRPr="00000000" w14:paraId="0000001A">
      <w:pPr>
        <w:spacing w:after="240" w:before="240" w:line="335.99999999999994" w:lineRule="auto"/>
        <w:rPr>
          <w:u w:val="single"/>
        </w:rPr>
      </w:pPr>
      <w:r w:rsidDel="00000000" w:rsidR="00000000" w:rsidRPr="00000000">
        <w:rPr>
          <w:u w:val="single"/>
          <w:rtl w:val="0"/>
        </w:rPr>
        <w:t xml:space="preserve">Element 1</w:t>
      </w:r>
    </w:p>
    <w:p w:rsidR="00000000" w:rsidDel="00000000" w:rsidP="00000000" w:rsidRDefault="00000000" w:rsidRPr="00000000" w14:paraId="0000001B">
      <w:pPr>
        <w:spacing w:after="240" w:before="240" w:line="335.99999999999994" w:lineRule="auto"/>
        <w:rPr>
          <w:b w:val="1"/>
          <w:bCs w:val="1"/>
          <w:sz w:val="64"/>
          <w:szCs w:val="64"/>
        </w:rPr>
      </w:pPr>
      <w:r w:rsidDel="00000000" w:rsidR="00000000" w:rsidRPr="00000000">
        <w:rPr>
          <w:b w:val="1"/>
          <w:bCs w:val="1"/>
          <w:sz w:val="64"/>
          <w:szCs w:val="64"/>
          <w:rtl w:val="0"/>
        </w:rPr>
        <w:t xml:space="preserve">The Human Rights Act 1998 </w:t>
      </w:r>
    </w:p>
    <w:p w:rsidR="00000000" w:rsidDel="00000000" w:rsidP="00000000" w:rsidRDefault="00000000" w:rsidRPr="00000000" w14:paraId="0000001C">
      <w:pPr>
        <w:spacing w:after="240" w:before="240" w:line="335.99999999999994" w:lineRule="auto"/>
        <w:rPr>
          <w:sz w:val="24"/>
          <w:szCs w:val="24"/>
        </w:rPr>
      </w:pPr>
      <w:r w:rsidDel="00000000" w:rsidR="00000000" w:rsidRPr="00000000">
        <w:rPr>
          <w:sz w:val="24"/>
          <w:szCs w:val="24"/>
          <w:rtl w:val="0"/>
        </w:rPr>
        <w:t xml:space="preserve">The law derives from the European Convention on Human Rights, which was created in 1951 to protect people from any future atrocities after the Second World War. The Human Rights Act 1998 was made into UK law to officially recognise the articles of human rights domestically, but it also meant that people did not have to travel to Strasbourg, France, to get their case heard, but now can now be heard in UK courts.</w:t>
      </w:r>
      <w:r w:rsidDel="00000000" w:rsidR="00000000" w:rsidRPr="00000000">
        <w:rPr>
          <w:sz w:val="24"/>
          <w:szCs w:val="24"/>
        </w:rPr>
        <w:drawing>
          <wp:inline distB="114300" distT="114300" distL="114300" distR="114300">
            <wp:extent cx="5943600" cy="3340100"/>
            <wp:effectExtent b="0" l="0" r="0" t="0"/>
            <wp:docPr id="1"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spacing w:after="240" w:before="240" w:line="335.99999999999994" w:lineRule="auto"/>
        <w:rPr>
          <w:sz w:val="24"/>
          <w:szCs w:val="24"/>
        </w:rPr>
      </w:pPr>
      <w:r w:rsidDel="00000000" w:rsidR="00000000" w:rsidRPr="00000000">
        <w:rPr>
          <w:sz w:val="24"/>
          <w:szCs w:val="24"/>
          <w:rtl w:val="0"/>
        </w:rPr>
        <w:t xml:space="preserve">Article 2 - Right to Life</w:t>
      </w:r>
    </w:p>
    <w:p w:rsidR="00000000" w:rsidDel="00000000" w:rsidP="00000000" w:rsidRDefault="00000000" w:rsidRPr="00000000" w14:paraId="0000001E">
      <w:pPr>
        <w:spacing w:after="240" w:before="240" w:line="335.99999999999994" w:lineRule="auto"/>
        <w:rPr>
          <w:sz w:val="24"/>
          <w:szCs w:val="24"/>
        </w:rPr>
      </w:pPr>
      <w:r w:rsidDel="00000000" w:rsidR="00000000" w:rsidRPr="00000000">
        <w:rPr>
          <w:sz w:val="24"/>
          <w:szCs w:val="24"/>
          <w:rtl w:val="0"/>
        </w:rPr>
        <w:t xml:space="preserve">Some might be surprised to hear that the right to life is not an absolute right in the UK. The government has a duty to protect the lives of others; however, there are exceptions which would make the right to life absolute unreasonable, such as reasonable force from public bodies, including the police.</w:t>
      </w:r>
    </w:p>
    <w:p w:rsidR="00000000" w:rsidDel="00000000" w:rsidP="00000000" w:rsidRDefault="00000000" w:rsidRPr="00000000" w14:paraId="0000001F">
      <w:pPr>
        <w:spacing w:after="240" w:before="240" w:line="335.99999999999994" w:lineRule="auto"/>
        <w:ind w:firstLine="480"/>
        <w:rPr>
          <w:sz w:val="24"/>
          <w:szCs w:val="24"/>
        </w:rPr>
      </w:pPr>
      <w:r w:rsidDel="00000000" w:rsidR="00000000" w:rsidRPr="00000000">
        <w:rPr>
          <w:sz w:val="24"/>
          <w:szCs w:val="24"/>
          <w:rtl w:val="0"/>
        </w:rPr>
        <w:t xml:space="preserve">Article 3 - Right to be free from torture and inhumane treatment</w:t>
      </w:r>
    </w:p>
    <w:p w:rsidR="00000000" w:rsidDel="00000000" w:rsidP="00000000" w:rsidRDefault="00000000" w:rsidRPr="00000000" w14:paraId="00000020">
      <w:pPr>
        <w:spacing w:after="240" w:before="240" w:line="335.99999999999994" w:lineRule="auto"/>
        <w:ind w:firstLine="480"/>
        <w:rPr>
          <w:sz w:val="24"/>
          <w:szCs w:val="24"/>
        </w:rPr>
      </w:pPr>
      <w:r w:rsidDel="00000000" w:rsidR="00000000" w:rsidRPr="00000000">
        <w:rPr>
          <w:sz w:val="24"/>
          <w:szCs w:val="24"/>
          <w:rtl w:val="0"/>
        </w:rPr>
        <w:t xml:space="preserve">This article is an absolute right in the UK. This means that under no circumstances can government bodies subject someone to torture or inhumane treatment. As it is an absolute right, that means there can be no exceptions made, and there are only three articles that constitute an absolute right.</w:t>
      </w:r>
    </w:p>
    <w:p w:rsidR="00000000" w:rsidDel="00000000" w:rsidP="00000000" w:rsidRDefault="00000000" w:rsidRPr="00000000" w14:paraId="00000021">
      <w:pPr>
        <w:spacing w:after="240" w:before="240" w:line="335.99999999999994" w:lineRule="auto"/>
        <w:rPr>
          <w:sz w:val="24"/>
          <w:szCs w:val="24"/>
        </w:rPr>
      </w:pPr>
      <w:r w:rsidDel="00000000" w:rsidR="00000000" w:rsidRPr="00000000">
        <w:rPr>
          <w:sz w:val="24"/>
          <w:szCs w:val="24"/>
          <w:rtl w:val="0"/>
        </w:rPr>
        <w:t xml:space="preserve">What happens if a public body has breached a human right?</w:t>
      </w:r>
    </w:p>
    <w:p w:rsidR="00000000" w:rsidDel="00000000" w:rsidP="00000000" w:rsidRDefault="00000000" w:rsidRPr="00000000" w14:paraId="00000022">
      <w:pPr>
        <w:spacing w:after="240" w:before="240" w:line="335.99999999999994" w:lineRule="auto"/>
        <w:rPr>
          <w:sz w:val="24"/>
          <w:szCs w:val="24"/>
        </w:rPr>
      </w:pPr>
      <w:r w:rsidDel="00000000" w:rsidR="00000000" w:rsidRPr="00000000">
        <w:rPr>
          <w:sz w:val="24"/>
          <w:szCs w:val="24"/>
          <w:rtl w:val="0"/>
        </w:rPr>
        <w:t xml:space="preserve">There are a few things that can be done if a public body has been found guilty; damages can be awarded through the court to those who have suffered if monetary damages are appropriate for the case. Another option, reserved for the Supreme Court, is to make a declaration of incompatibility if a new law contradicts the Human Rights Act 1998. This was seen in the case A v Secretary of State for the Home Department [2004]. Courts can also make injunctions to stop public bodies from acting unlawfully.</w:t>
      </w:r>
    </w:p>
    <w:p w:rsidR="00000000" w:rsidDel="00000000" w:rsidP="00000000" w:rsidRDefault="00000000" w:rsidRPr="00000000" w14:paraId="00000023">
      <w:pPr>
        <w:spacing w:after="240" w:before="240" w:line="335.99999999999994" w:lineRule="auto"/>
        <w:rPr>
          <w:sz w:val="24"/>
          <w:szCs w:val="24"/>
        </w:rPr>
      </w:pPr>
      <w:r w:rsidDel="00000000" w:rsidR="00000000" w:rsidRPr="00000000">
        <w:rPr>
          <w:sz w:val="24"/>
          <w:szCs w:val="24"/>
          <w:rtl w:val="0"/>
        </w:rPr>
        <w:t xml:space="preserve">Reference list</w:t>
      </w:r>
    </w:p>
    <w:p w:rsidR="00000000" w:rsidDel="00000000" w:rsidP="00000000" w:rsidRDefault="00000000" w:rsidRPr="00000000" w14:paraId="00000024">
      <w:pPr>
        <w:spacing w:after="240" w:before="240" w:line="335.99999999999994" w:lineRule="auto"/>
        <w:rPr>
          <w:sz w:val="24"/>
          <w:szCs w:val="24"/>
        </w:rPr>
      </w:pPr>
      <w:r w:rsidDel="00000000" w:rsidR="00000000" w:rsidRPr="00000000">
        <w:rPr>
          <w:sz w:val="24"/>
          <w:szCs w:val="24"/>
          <w:rtl w:val="0"/>
        </w:rPr>
        <w:t xml:space="preserve">Human Rights Act 1998</w:t>
      </w:r>
    </w:p>
    <w:p w:rsidR="00000000" w:rsidDel="00000000" w:rsidP="00000000" w:rsidRDefault="00000000" w:rsidRPr="00000000" w14:paraId="00000025">
      <w:pPr>
        <w:spacing w:after="240" w:before="240" w:line="335.99999999999994" w:lineRule="auto"/>
        <w:rPr>
          <w:sz w:val="24"/>
          <w:szCs w:val="24"/>
        </w:rPr>
      </w:pPr>
      <w:r w:rsidDel="00000000" w:rsidR="00000000" w:rsidRPr="00000000">
        <w:rPr>
          <w:i w:val="1"/>
          <w:iCs w:val="1"/>
          <w:sz w:val="24"/>
          <w:szCs w:val="24"/>
          <w:rtl w:val="0"/>
        </w:rPr>
        <w:t xml:space="preserve">A and others v Secretary of State for the Home Department</w:t>
      </w:r>
      <w:r w:rsidDel="00000000" w:rsidR="00000000" w:rsidRPr="00000000">
        <w:rPr>
          <w:sz w:val="24"/>
          <w:szCs w:val="24"/>
          <w:rtl w:val="0"/>
        </w:rPr>
        <w:t xml:space="preserve"> [2004] UKHL 56, [2005] 2 AC 68.</w:t>
      </w:r>
    </w:p>
    <w:p w:rsidR="00000000" w:rsidDel="00000000" w:rsidP="00000000" w:rsidRDefault="00000000" w:rsidRPr="00000000" w14:paraId="00000026">
      <w:pPr>
        <w:spacing w:after="240" w:before="240" w:line="335.99999999999994" w:lineRule="auto"/>
        <w:rPr>
          <w:color w:val="1a62ff"/>
          <w:sz w:val="24"/>
          <w:szCs w:val="24"/>
          <w:u w:val="single"/>
        </w:rPr>
      </w:pPr>
      <w:r w:rsidDel="00000000" w:rsidR="00000000" w:rsidRPr="00000000">
        <w:rPr>
          <w:sz w:val="24"/>
          <w:szCs w:val="24"/>
          <w:rtl w:val="0"/>
        </w:rPr>
        <w:t xml:space="preserve">Wikipedia (2024) </w:t>
      </w:r>
      <w:r w:rsidDel="00000000" w:rsidR="00000000" w:rsidRPr="00000000">
        <w:rPr>
          <w:i w:val="1"/>
          <w:iCs w:val="1"/>
          <w:sz w:val="24"/>
          <w:szCs w:val="24"/>
          <w:rtl w:val="0"/>
        </w:rPr>
        <w:t xml:space="preserve">European Court of Human Rights</w:t>
      </w:r>
      <w:r w:rsidDel="00000000" w:rsidR="00000000" w:rsidRPr="00000000">
        <w:rPr>
          <w:sz w:val="24"/>
          <w:szCs w:val="24"/>
          <w:rtl w:val="0"/>
        </w:rPr>
        <w:t xml:space="preserve">. Available at: </w:t>
      </w:r>
      <w:hyperlink r:id="rId11">
        <w:r w:rsidDel="00000000" w:rsidR="00000000" w:rsidRPr="00000000">
          <w:rPr>
            <w:color w:val="1a62ff"/>
            <w:sz w:val="24"/>
            <w:szCs w:val="24"/>
            <w:u w:val="single"/>
            <w:rtl w:val="0"/>
          </w:rPr>
          <w:t xml:space="preserve">https://en.wikipedia.org/wiki/European_Court_of_Human_Rights</w:t>
        </w:r>
      </w:hyperlink>
      <w:r w:rsidDel="00000000" w:rsidR="00000000" w:rsidRPr="00000000">
        <w:rPr>
          <w:rtl w:val="0"/>
        </w:rPr>
      </w:r>
    </w:p>
    <w:p w:rsidR="00000000" w:rsidDel="00000000" w:rsidP="00000000" w:rsidRDefault="00000000" w:rsidRPr="00000000" w14:paraId="00000027">
      <w:pPr>
        <w:spacing w:after="240" w:before="240" w:line="335.99999999999994" w:lineRule="auto"/>
        <w:rPr>
          <w:sz w:val="24"/>
          <w:szCs w:val="24"/>
          <w:u w:val="single"/>
        </w:rPr>
      </w:pPr>
      <w:r w:rsidDel="00000000" w:rsidR="00000000" w:rsidRPr="00000000">
        <w:rPr>
          <w:sz w:val="24"/>
          <w:szCs w:val="24"/>
          <w:u w:val="single"/>
          <w:rtl w:val="0"/>
        </w:rPr>
        <w:t xml:space="preserve">Element 4</w:t>
      </w:r>
    </w:p>
    <w:p w:rsidR="00000000" w:rsidDel="00000000" w:rsidP="00000000" w:rsidRDefault="00000000" w:rsidRPr="00000000" w14:paraId="00000028">
      <w:pPr>
        <w:spacing w:after="240" w:before="240" w:line="335.99999999999994" w:lineRule="auto"/>
        <w:rPr>
          <w:sz w:val="24"/>
          <w:szCs w:val="24"/>
        </w:rPr>
      </w:pPr>
      <w:r w:rsidDel="00000000" w:rsidR="00000000" w:rsidRPr="00000000">
        <w:rPr>
          <w:sz w:val="24"/>
          <w:szCs w:val="24"/>
          <w:rtl w:val="0"/>
        </w:rPr>
        <w:t xml:space="preserve">We studied human rights in our second week, and learned about the history of the Human Rights Act 1998. It was interesting to learn about the ECHR in depth, as its creation came from  a place of necessity after the second world war. When Tony Blair became Prime Minister in 1997, he pledged to create this foundationally important law, so ‘New Labour’ introduced the Human Rights Act, bringing the principles from the ECHR into UK law. I have always had a particular interest in human rights, so I took this lecture as an opportunity to further develop my understanding of the topic. I felt excited, enthusiastic and curious about this topic, as I see myself moving into human rights law when I graduate. I left the lecture feeling sure about this decision, as I want to work on holding governmental bodies accountable to ensure they are in line with the Human Rights Act 1998, as well as the Equality Act 2010, which provides a safety net to those who qualify under any of the nine protected characteristics. The lecture provided a vast amount of information regarding human rights, and I definitely walked away knowing more than I did before. However, human rights is a huge area of the law, and it is possible that the module would have benefited from two lectures to properly realise the concepts that were covered in the lecture. Ultimately, the lecture worked well as I received the information to be able to study the topic independently, I found a Supreme Court ruling which ordered the Scottish courts to change evidence in relation to sexual offences, as seen in the case Daly v HM Advocate [2024]. To conclude on this lecture, I thoroughly enjoyed the topic and learning about this area of the law, I developed my understanding, as well as developing my research, which is a transferable skill that can be applied to any area of the law. My action plan is to continue to develop my skills and understanding in human rights so that I will have the necessary skills to pursue a career in human rights law and protecting people from public bodies acting unlawfully.</w:t>
      </w:r>
    </w:p>
    <w:p w:rsidR="00000000" w:rsidDel="00000000" w:rsidP="00000000" w:rsidRDefault="00000000" w:rsidRPr="00000000" w14:paraId="00000029">
      <w:pPr>
        <w:spacing w:after="240" w:before="240" w:line="335.99999999999994" w:lineRule="auto"/>
        <w:rPr>
          <w:sz w:val="24"/>
          <w:szCs w:val="24"/>
        </w:rPr>
      </w:pPr>
      <w:r w:rsidDel="00000000" w:rsidR="00000000" w:rsidRPr="00000000">
        <w:rPr>
          <w:rtl w:val="0"/>
        </w:rPr>
      </w:r>
    </w:p>
    <w:p w:rsidR="00000000" w:rsidDel="00000000" w:rsidP="00000000" w:rsidRDefault="00000000" w:rsidRPr="00000000" w14:paraId="0000002A">
      <w:pPr>
        <w:spacing w:after="240" w:before="240" w:line="335.99999999999994" w:lineRule="auto"/>
        <w:rPr>
          <w:sz w:val="24"/>
          <w:szCs w:val="24"/>
        </w:rPr>
      </w:pPr>
      <w:r w:rsidDel="00000000" w:rsidR="00000000" w:rsidRPr="00000000">
        <w:rPr>
          <w:sz w:val="24"/>
          <w:szCs w:val="24"/>
          <w:rtl w:val="0"/>
        </w:rPr>
        <w:t xml:space="preserve">The next lecture I took a particular interest in was the lecture on miscarriages of justice. This is when the government wrongfully convicts someone, or they receive a sentence that does not reflect the crime committed. It was in this lecture that I learned of the Criminal Case Review Commission, which provides support to those who have been dealt a miscarriage of justice. This lecture made me feel beyond upset that there are people who do not get the fair trial that they deserve, whether this due to a lack of technological advancements at the time of the trial, or due to a failed investigation which led to misleading information in court. However, it was a relief knowing that the CCRC exists to help those people who deserve to have another day in court.  This was an area of the law I knew little to nothing about prior to the lecture, it gave me an understanding of how the courts sometimes fail the public, and provided real cases of miscarriages of justice, such as that of R v O’Brien, a man who did a talk at my university and further developed my understanding of the topic, as well as the impacts it has on those it has hurt. To conclude on this lecture, it allowed me to see the justice system in a new light, reminding me that public bodies are run by humans who will undoubtedly make mistakes, which is why the CCRC exists, to evaluate cases where a mistake has occurred, and if the defendant has a chance of release. The action plan is to continue to read CCRC reports to keep up to date on the fairness of the justice system. I will use my knowledge on miscarriages of justice to prevent them from happening in the future, as this is in line with human rights.</w:t>
      </w:r>
    </w:p>
    <w:p w:rsidR="00000000" w:rsidDel="00000000" w:rsidP="00000000" w:rsidRDefault="00000000" w:rsidRPr="00000000" w14:paraId="0000002B">
      <w:pPr>
        <w:spacing w:after="240" w:before="240" w:line="335.99999999999994" w:lineRule="auto"/>
        <w:rPr>
          <w:sz w:val="24"/>
          <w:szCs w:val="24"/>
        </w:rPr>
      </w:pPr>
      <w:r w:rsidDel="00000000" w:rsidR="00000000" w:rsidRPr="00000000">
        <w:rPr>
          <w:rtl w:val="0"/>
        </w:rPr>
      </w:r>
    </w:p>
    <w:p w:rsidR="00000000" w:rsidDel="00000000" w:rsidP="00000000" w:rsidRDefault="00000000" w:rsidRPr="00000000" w14:paraId="0000002C">
      <w:pPr>
        <w:spacing w:after="240" w:before="240" w:line="335.99999999999994" w:lineRule="auto"/>
        <w:rPr>
          <w:sz w:val="24"/>
          <w:szCs w:val="24"/>
        </w:rPr>
      </w:pPr>
      <w:r w:rsidDel="00000000" w:rsidR="00000000" w:rsidRPr="00000000">
        <w:rPr>
          <w:sz w:val="24"/>
          <w:szCs w:val="24"/>
          <w:rtl w:val="0"/>
        </w:rPr>
        <w:t xml:space="preserve">Reference list</w:t>
      </w:r>
    </w:p>
    <w:p w:rsidR="00000000" w:rsidDel="00000000" w:rsidP="00000000" w:rsidRDefault="00000000" w:rsidRPr="00000000" w14:paraId="0000002D">
      <w:pPr>
        <w:spacing w:after="240" w:before="240" w:line="335.99999999999994" w:lineRule="auto"/>
        <w:rPr>
          <w:sz w:val="24"/>
          <w:szCs w:val="24"/>
        </w:rPr>
      </w:pPr>
      <w:r w:rsidDel="00000000" w:rsidR="00000000" w:rsidRPr="00000000">
        <w:rPr>
          <w:i w:val="1"/>
          <w:iCs w:val="1"/>
          <w:sz w:val="24"/>
          <w:szCs w:val="24"/>
          <w:rtl w:val="0"/>
        </w:rPr>
        <w:t xml:space="preserve">Daly v HM Advocate</w:t>
      </w:r>
      <w:r w:rsidDel="00000000" w:rsidR="00000000" w:rsidRPr="00000000">
        <w:rPr>
          <w:sz w:val="24"/>
          <w:szCs w:val="24"/>
          <w:rtl w:val="0"/>
        </w:rPr>
        <w:t xml:space="preserve"> [2025] UKSC 38. Available at: </w:t>
      </w:r>
      <w:hyperlink r:id="rId12">
        <w:r w:rsidDel="00000000" w:rsidR="00000000" w:rsidRPr="00000000">
          <w:rPr>
            <w:color w:val="1155cc"/>
            <w:sz w:val="24"/>
            <w:szCs w:val="24"/>
            <w:u w:val="single"/>
            <w:rtl w:val="0"/>
          </w:rPr>
          <w:t xml:space="preserve">https://www.supremecourt.uk/cases/uksc-2023-0107.html</w:t>
        </w:r>
      </w:hyperlink>
      <w:r w:rsidDel="00000000" w:rsidR="00000000" w:rsidRPr="00000000">
        <w:rPr>
          <w:rtl w:val="0"/>
        </w:rPr>
      </w:r>
    </w:p>
    <w:p w:rsidR="00000000" w:rsidDel="00000000" w:rsidP="00000000" w:rsidRDefault="00000000" w:rsidRPr="00000000" w14:paraId="0000002E">
      <w:pPr>
        <w:spacing w:after="240" w:before="240" w:lineRule="auto"/>
        <w:ind w:left="0" w:right="600" w:firstLine="0"/>
        <w:rPr>
          <w:sz w:val="24"/>
          <w:szCs w:val="24"/>
        </w:rPr>
      </w:pPr>
      <w:r w:rsidDel="00000000" w:rsidR="00000000" w:rsidRPr="00000000">
        <w:rPr>
          <w:sz w:val="24"/>
          <w:szCs w:val="24"/>
          <w:rtl w:val="0"/>
        </w:rPr>
        <w:t xml:space="preserve">O’Brien v Chief Constable of South Wales Police [2005] UKHL 26.</w:t>
      </w:r>
    </w:p>
    <w:p w:rsidR="00000000" w:rsidDel="00000000" w:rsidP="00000000" w:rsidRDefault="00000000" w:rsidRPr="00000000" w14:paraId="0000002F">
      <w:pPr>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en.wikipedia.org/wiki/European_Court_of_Human_Rights" TargetMode="External"/><Relationship Id="rId10" Type="http://schemas.openxmlformats.org/officeDocument/2006/relationships/image" Target="media/image1.png"/><Relationship Id="rId12" Type="http://schemas.openxmlformats.org/officeDocument/2006/relationships/hyperlink" Target="https://www.google.com/search?q=https://www.supremecourt.uk/cases/uksc-2023-0107.html" TargetMode="External"/><Relationship Id="rId9" Type="http://schemas.openxmlformats.org/officeDocument/2006/relationships/hyperlink" Target="https://uowtsd-my.sharepoint.com/:v:/r/personal/2507656_student_uwtsd_ac_uk/Documents/IMG_9079.MOV?csf=1&amp;web=1&amp;nav=eyJyZWZlcnJhbEluZm8iOnsicmVmZXJyYWxBcHAiOiJPbmVEcml2ZUZvckJ1c2luZXNzIiwicmVmZXJyYWxBcHBQbGF0Zm9ybSI6IldlYiIsInJlZmVycmFsTW9kZSI6InZpZXciLCJyZWZlcnJhbFZpZXciOiJNeUZpbGVzTGlua0NvcHkifX0&amp;e=iq8XIN" TargetMode="External"/><Relationship Id="rId5" Type="http://schemas.openxmlformats.org/officeDocument/2006/relationships/styles" Target="styles.xml"/><Relationship Id="rId6" Type="http://schemas.openxmlformats.org/officeDocument/2006/relationships/hyperlink" Target="https://www.legislation.gov.uk/ukpga/2015/30/section/45" TargetMode="External"/><Relationship Id="rId7" Type="http://schemas.openxmlformats.org/officeDocument/2006/relationships/hyperlink" Target="https://www.legislation.gov.uk/ukpga/2015/30/section/2" TargetMode="External"/><Relationship Id="rId8" Type="http://schemas.openxmlformats.org/officeDocument/2006/relationships/hyperlink" Target="https://www.gov.uk/government/publications/home-offices-county-lines-programme-data/county-lines-programme-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