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514B06" w14:textId="77777777" w:rsidR="00D26AE4" w:rsidRPr="00D26AE4" w:rsidRDefault="00D26AE4" w:rsidP="00D26AE4">
      <w:pPr>
        <w:spacing w:after="160" w:line="259" w:lineRule="auto"/>
        <w:rPr>
          <w:rFonts w:ascii="Arial" w:hAnsi="Arial" w:cs="Arial"/>
          <w:color w:val="303030"/>
          <w:sz w:val="26"/>
          <w:szCs w:val="26"/>
          <w:shd w:val="clear" w:color="auto" w:fill="FFFFFF"/>
          <w:lang w:val="en-GB"/>
        </w:rPr>
      </w:pPr>
      <w:bookmarkStart w:id="0" w:name="_Hlk100665919"/>
    </w:p>
    <w:p w14:paraId="34B80A8F" w14:textId="77777777" w:rsidR="00D26AE4" w:rsidRPr="00D26AE4" w:rsidRDefault="00D26AE4" w:rsidP="00D26AE4">
      <w:pPr>
        <w:spacing w:after="160" w:line="259" w:lineRule="auto"/>
        <w:rPr>
          <w:rFonts w:ascii="Segoe UI" w:hAnsi="Segoe UI" w:cs="Segoe UI"/>
          <w:color w:val="333333"/>
          <w:shd w:val="clear" w:color="auto" w:fill="FFFFFF"/>
          <w:lang w:val="en-GB"/>
        </w:rPr>
      </w:pPr>
    </w:p>
    <w:p w14:paraId="1379E093" w14:textId="77777777" w:rsidR="00D26AE4" w:rsidRPr="00D26AE4" w:rsidRDefault="00D26AE4" w:rsidP="00D26AE4">
      <w:pPr>
        <w:shd w:val="clear" w:color="auto" w:fill="FFFFFF"/>
        <w:rPr>
          <w:rFonts w:ascii="Segoe UI" w:eastAsia="Times New Roman" w:hAnsi="Segoe UI" w:cs="Segoe UI"/>
          <w:color w:val="212121"/>
          <w:sz w:val="24"/>
          <w:szCs w:val="24"/>
          <w:lang w:val="en-GB" w:eastAsia="en-GB"/>
        </w:rPr>
      </w:pPr>
    </w:p>
    <w:p w14:paraId="45A92BF6" w14:textId="77777777" w:rsidR="00D26AE4" w:rsidRPr="00D26AE4" w:rsidRDefault="00D26AE4" w:rsidP="00D26AE4">
      <w:pPr>
        <w:shd w:val="clear" w:color="auto" w:fill="FFFFFF"/>
        <w:rPr>
          <w:rFonts w:ascii="Arial" w:hAnsi="Arial" w:cs="Arial"/>
          <w:color w:val="333333"/>
          <w:sz w:val="21"/>
          <w:szCs w:val="21"/>
          <w:shd w:val="clear" w:color="auto" w:fill="FFFFFF"/>
          <w:lang w:val="en-GB"/>
        </w:rPr>
      </w:pPr>
    </w:p>
    <w:p w14:paraId="06085DED" w14:textId="68480969" w:rsidR="00D26AE4" w:rsidRPr="00D26AE4" w:rsidRDefault="00D26AE4" w:rsidP="00D26AE4">
      <w:pPr>
        <w:spacing w:after="160" w:line="259" w:lineRule="auto"/>
        <w:rPr>
          <w:rFonts w:ascii="Arial" w:hAnsi="Arial" w:cs="Arial"/>
          <w:sz w:val="24"/>
          <w:szCs w:val="24"/>
          <w:u w:val="single"/>
          <w:lang w:val="en-GB"/>
        </w:rPr>
      </w:pPr>
      <w:r w:rsidRPr="00D26AE4">
        <w:rPr>
          <w:rFonts w:ascii="Arial" w:hAnsi="Arial" w:cs="Arial"/>
          <w:sz w:val="24"/>
          <w:szCs w:val="24"/>
          <w:u w:val="single"/>
          <w:lang w:val="en-GB"/>
        </w:rPr>
        <w:t xml:space="preserve">Reference List </w:t>
      </w:r>
    </w:p>
    <w:p w14:paraId="0A08139C" w14:textId="77777777" w:rsidR="00D26AE4" w:rsidRPr="00D26AE4" w:rsidRDefault="00D26AE4">
      <w:pPr>
        <w:spacing w:after="264"/>
      </w:pPr>
    </w:p>
    <w:p w14:paraId="72E4F839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 xml:space="preserve">Adams, G. and </w:t>
      </w:r>
      <w:proofErr w:type="spellStart"/>
      <w:r w:rsidRPr="00D26AE4">
        <w:rPr>
          <w:rFonts w:ascii="Arial" w:hAnsi="Arial" w:cs="Arial"/>
          <w:sz w:val="24"/>
          <w:szCs w:val="24"/>
        </w:rPr>
        <w:t>Berzonsky</w:t>
      </w:r>
      <w:proofErr w:type="spellEnd"/>
      <w:r w:rsidRPr="00D26AE4">
        <w:rPr>
          <w:rFonts w:ascii="Arial" w:hAnsi="Arial" w:cs="Arial"/>
          <w:sz w:val="24"/>
          <w:szCs w:val="24"/>
        </w:rPr>
        <w:t>, M., 2003. Blackwell handbook of adolescence. 1st ed. Malden, MA [etc.]: Blackwell publishing Limited, pp.424, 425.</w:t>
      </w:r>
    </w:p>
    <w:p w14:paraId="55139785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 xml:space="preserve">Adams, G. and </w:t>
      </w:r>
      <w:proofErr w:type="spellStart"/>
      <w:r w:rsidRPr="00D26AE4">
        <w:rPr>
          <w:rFonts w:ascii="Arial" w:hAnsi="Arial" w:cs="Arial"/>
          <w:sz w:val="24"/>
          <w:szCs w:val="24"/>
        </w:rPr>
        <w:t>Berzonsky</w:t>
      </w:r>
      <w:proofErr w:type="spellEnd"/>
      <w:r w:rsidRPr="00D26AE4">
        <w:rPr>
          <w:rFonts w:ascii="Arial" w:hAnsi="Arial" w:cs="Arial"/>
          <w:sz w:val="24"/>
          <w:szCs w:val="24"/>
        </w:rPr>
        <w:t>, M., 2003. Blackwell Handbook of Adolescence. 1st ed. Oxford: Blackwell publishing ltd, pp.p.240-244.</w:t>
      </w:r>
    </w:p>
    <w:p w14:paraId="6BA8AA0C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>Adverse Childhood Experiences. 2022. Risk and Protective Factors. [online] Available at: &lt;https://www.cdc.gov/violenceprevention/aces/index.html&gt; [Accessed 9 April 2022].</w:t>
      </w:r>
    </w:p>
    <w:p w14:paraId="40907B4E" w14:textId="77777777" w:rsidR="00D26AE4" w:rsidRPr="00D26AE4" w:rsidRDefault="00D26AE4" w:rsidP="00D26AE4">
      <w:pPr>
        <w:spacing w:after="160" w:line="259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</w:pPr>
      <w:proofErr w:type="spellStart"/>
      <w:r w:rsidRPr="00D26AE4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Alatartseva</w:t>
      </w:r>
      <w:proofErr w:type="spellEnd"/>
      <w:r w:rsidRPr="00D26AE4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 xml:space="preserve">, E., &amp; </w:t>
      </w:r>
      <w:proofErr w:type="spellStart"/>
      <w:r w:rsidRPr="00D26AE4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Barysheva</w:t>
      </w:r>
      <w:proofErr w:type="spellEnd"/>
      <w:r w:rsidRPr="00D26AE4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, G.A. (2015). Well-being: Subjective and Objective Aspects. </w:t>
      </w:r>
      <w:r w:rsidRPr="00D26AE4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Procedia - Social and </w:t>
      </w:r>
      <w:proofErr w:type="spellStart"/>
      <w:r w:rsidRPr="00D26AE4">
        <w:rPr>
          <w:rFonts w:ascii="Arial" w:hAnsi="Arial" w:cs="Arial"/>
          <w:color w:val="000000" w:themeColor="text1"/>
          <w:sz w:val="24"/>
          <w:szCs w:val="24"/>
          <w:lang w:val="en-GB"/>
        </w:rPr>
        <w:t>Behavioral</w:t>
      </w:r>
      <w:proofErr w:type="spellEnd"/>
      <w:r w:rsidRPr="00D26AE4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Sciences, 166</w:t>
      </w:r>
      <w:r w:rsidRPr="00D26AE4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GB"/>
        </w:rPr>
        <w:t>, 36-42.</w:t>
      </w:r>
    </w:p>
    <w:p w14:paraId="01D73D60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>Assets.publishing.service.gov.uk. 2015. Measuring Mental Wellbeing in Children and Young People. [online] Available at: &lt;https://assets.publishing.service.gov.uk/government/uploads/system/uploads/attachment_data/file/768983/Measuring_mental_wellbeing_in_children_and_young_people.pdf&gt; [Accessed 9 April 2022].</w:t>
      </w:r>
    </w:p>
    <w:p w14:paraId="395A3DC7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>Assets.publishing.service.gov.uk. 2018. Working Together to Safeguard Children A guide to inter-agency working to safeguard and promote the welfare of children. [online] Available at: &lt;https://assets.publishing.service.gov.uk/government/uploads/system/uploads/attachment_data/file/942454/Working_together_to_safeguard_children_inter_agency_guidance.pdf&gt; [Accessed 12 April 2022].</w:t>
      </w:r>
    </w:p>
    <w:p w14:paraId="5600D416" w14:textId="77777777" w:rsidR="00D26AE4" w:rsidRPr="00D26AE4" w:rsidRDefault="00D26AE4" w:rsidP="00D26AE4">
      <w:pPr>
        <w:spacing w:after="160" w:line="259" w:lineRule="auto"/>
        <w:rPr>
          <w:rFonts w:ascii="Arial" w:hAnsi="Arial" w:cs="Arial"/>
          <w:sz w:val="24"/>
          <w:szCs w:val="24"/>
          <w:lang w:val="en-GB"/>
        </w:rPr>
      </w:pPr>
      <w:r w:rsidRPr="00D26AE4">
        <w:rPr>
          <w:rFonts w:ascii="Arial" w:hAnsi="Arial" w:cs="Arial"/>
          <w:sz w:val="24"/>
          <w:szCs w:val="24"/>
          <w:lang w:val="en-GB"/>
        </w:rPr>
        <w:t xml:space="preserve">Blakemore, Sarah-Jayne &amp; Den </w:t>
      </w:r>
      <w:proofErr w:type="spellStart"/>
      <w:r w:rsidRPr="00D26AE4">
        <w:rPr>
          <w:rFonts w:ascii="Arial" w:hAnsi="Arial" w:cs="Arial"/>
          <w:sz w:val="24"/>
          <w:szCs w:val="24"/>
          <w:lang w:val="en-GB"/>
        </w:rPr>
        <w:t>Ouden</w:t>
      </w:r>
      <w:proofErr w:type="spellEnd"/>
      <w:r w:rsidRPr="00D26AE4">
        <w:rPr>
          <w:rFonts w:ascii="Arial" w:hAnsi="Arial" w:cs="Arial"/>
          <w:sz w:val="24"/>
          <w:szCs w:val="24"/>
          <w:lang w:val="en-GB"/>
        </w:rPr>
        <w:t xml:space="preserve">, Hanneke &amp; Choudhury, </w:t>
      </w:r>
      <w:proofErr w:type="spellStart"/>
      <w:r w:rsidRPr="00D26AE4">
        <w:rPr>
          <w:rFonts w:ascii="Arial" w:hAnsi="Arial" w:cs="Arial"/>
          <w:sz w:val="24"/>
          <w:szCs w:val="24"/>
          <w:lang w:val="en-GB"/>
        </w:rPr>
        <w:t>Suparna</w:t>
      </w:r>
      <w:proofErr w:type="spellEnd"/>
      <w:r w:rsidRPr="00D26AE4">
        <w:rPr>
          <w:rFonts w:ascii="Arial" w:hAnsi="Arial" w:cs="Arial"/>
          <w:sz w:val="24"/>
          <w:szCs w:val="24"/>
          <w:lang w:val="en-GB"/>
        </w:rPr>
        <w:t xml:space="preserve"> &amp; Frith, Chris. (2007). Adolescent development of the neural circuitry for thinking about intentions. Social cognitive and affective neuroscience. 2. 130-9. 10.1093/scan/nsm009.</w:t>
      </w:r>
    </w:p>
    <w:p w14:paraId="78D523D5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proofErr w:type="spellStart"/>
      <w:r w:rsidRPr="00D26AE4">
        <w:rPr>
          <w:rFonts w:ascii="Arial" w:hAnsi="Arial" w:cs="Arial"/>
          <w:sz w:val="24"/>
          <w:szCs w:val="24"/>
        </w:rPr>
        <w:lastRenderedPageBreak/>
        <w:t>Bosgraaf</w:t>
      </w:r>
      <w:proofErr w:type="spellEnd"/>
      <w:r w:rsidRPr="00D26AE4">
        <w:rPr>
          <w:rFonts w:ascii="Arial" w:hAnsi="Arial" w:cs="Arial"/>
          <w:sz w:val="24"/>
          <w:szCs w:val="24"/>
        </w:rPr>
        <w:t xml:space="preserve">, L., </w:t>
      </w:r>
      <w:proofErr w:type="spellStart"/>
      <w:r w:rsidRPr="00D26AE4">
        <w:rPr>
          <w:rFonts w:ascii="Arial" w:hAnsi="Arial" w:cs="Arial"/>
          <w:sz w:val="24"/>
          <w:szCs w:val="24"/>
        </w:rPr>
        <w:t>Spreen</w:t>
      </w:r>
      <w:proofErr w:type="spellEnd"/>
      <w:r w:rsidRPr="00D26AE4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D26AE4">
        <w:rPr>
          <w:rFonts w:ascii="Arial" w:hAnsi="Arial" w:cs="Arial"/>
          <w:sz w:val="24"/>
          <w:szCs w:val="24"/>
        </w:rPr>
        <w:t>Pattiselanno</w:t>
      </w:r>
      <w:proofErr w:type="spellEnd"/>
      <w:r w:rsidRPr="00D26AE4">
        <w:rPr>
          <w:rFonts w:ascii="Arial" w:hAnsi="Arial" w:cs="Arial"/>
          <w:sz w:val="24"/>
          <w:szCs w:val="24"/>
        </w:rPr>
        <w:t xml:space="preserve">, K. and </w:t>
      </w:r>
      <w:proofErr w:type="spellStart"/>
      <w:r w:rsidRPr="00D26AE4">
        <w:rPr>
          <w:rFonts w:ascii="Arial" w:hAnsi="Arial" w:cs="Arial"/>
          <w:sz w:val="24"/>
          <w:szCs w:val="24"/>
        </w:rPr>
        <w:t>Hooren</w:t>
      </w:r>
      <w:proofErr w:type="spellEnd"/>
      <w:r w:rsidRPr="00D26AE4">
        <w:rPr>
          <w:rFonts w:ascii="Arial" w:hAnsi="Arial" w:cs="Arial"/>
          <w:sz w:val="24"/>
          <w:szCs w:val="24"/>
        </w:rPr>
        <w:t>, S., 2022. Art Therapy for Psychosocial Problems in Children and Adolescents: A Systematic Narrative Review on Art Therapeutic Means and Forms of Expression, Therapist Behavior, and Supposed Mechanisms of Change. [online] Frontiers psychology. Available at: &lt;https://www.frontiersin.org/articles/10.3389/fpsyg.2020.584685/full&gt; [Accessed 12 April 2022].</w:t>
      </w:r>
    </w:p>
    <w:p w14:paraId="23CCAC66" w14:textId="77777777" w:rsidR="00D26AE4" w:rsidRPr="00D26AE4" w:rsidRDefault="00D26AE4" w:rsidP="00D26AE4">
      <w:pPr>
        <w:spacing w:after="160" w:line="259" w:lineRule="auto"/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D26AE4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Bowlby J. (1969). Attachment. Attachment and loss: Vol. 1. Loss. New York: Basic Books.</w:t>
      </w:r>
    </w:p>
    <w:p w14:paraId="7DFE8F01" w14:textId="77777777" w:rsidR="00D26AE4" w:rsidRPr="00D26AE4" w:rsidRDefault="00D26AE4" w:rsidP="00D26AE4">
      <w:pPr>
        <w:spacing w:after="160" w:line="259" w:lineRule="auto"/>
        <w:rPr>
          <w:rFonts w:ascii="Arial" w:hAnsi="Arial" w:cs="Arial"/>
          <w:color w:val="212121"/>
          <w:sz w:val="24"/>
          <w:szCs w:val="24"/>
          <w:shd w:val="clear" w:color="auto" w:fill="FFFFFF"/>
          <w:lang w:val="en-GB"/>
        </w:rPr>
      </w:pPr>
      <w:r w:rsidRPr="00D26AE4">
        <w:rPr>
          <w:rFonts w:ascii="Arial" w:hAnsi="Arial" w:cs="Arial"/>
          <w:color w:val="212121"/>
          <w:sz w:val="24"/>
          <w:szCs w:val="24"/>
          <w:shd w:val="clear" w:color="auto" w:fill="FFFFFF"/>
          <w:lang w:val="en-GB"/>
        </w:rPr>
        <w:t>BOWLBY J. The nature of the child's tie to his mother. Int J Psychoanalysis. 1958 Sep-Oct;39(5):350-73. PMID: 13610508.</w:t>
      </w:r>
    </w:p>
    <w:p w14:paraId="29C12448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>Bronfenbrenner, U., 1979. The Ecology of Human Development: Experiments by Nature and Design. 1st ed. Cambridge: Harvard University Press.</w:t>
      </w:r>
    </w:p>
    <w:p w14:paraId="7199AF00" w14:textId="77777777" w:rsidR="00D26AE4" w:rsidRPr="00D26AE4" w:rsidRDefault="00D26AE4" w:rsidP="00D26AE4">
      <w:pPr>
        <w:spacing w:after="160" w:line="259" w:lineRule="auto"/>
        <w:rPr>
          <w:rFonts w:ascii="Arial" w:hAnsi="Arial" w:cs="Arial"/>
          <w:color w:val="1C1D1E"/>
          <w:sz w:val="24"/>
          <w:szCs w:val="24"/>
          <w:shd w:val="clear" w:color="auto" w:fill="FFFFFF"/>
          <w:lang w:val="en-GB"/>
        </w:rPr>
      </w:pPr>
      <w:r w:rsidRPr="00D26AE4">
        <w:rPr>
          <w:rFonts w:ascii="Arial" w:hAnsi="Arial" w:cs="Arial"/>
          <w:color w:val="1C1D1E"/>
          <w:sz w:val="24"/>
          <w:szCs w:val="24"/>
          <w:shd w:val="clear" w:color="auto" w:fill="FFFFFF"/>
          <w:lang w:val="en-GB"/>
        </w:rPr>
        <w:t>Brown, B. B. (1990). Peer groups and peer cultures. In S. S. Feldman and G. R. Elliott (Eds.), At the threshold: The developing adolescent (pp. 171– 196). Cambridge, MA: Harvard University Press.</w:t>
      </w:r>
    </w:p>
    <w:p w14:paraId="2FDB92D4" w14:textId="77777777" w:rsidR="00D26AE4" w:rsidRPr="00D26AE4" w:rsidRDefault="00D26AE4" w:rsidP="00D26AE4">
      <w:pPr>
        <w:spacing w:after="160" w:line="259" w:lineRule="auto"/>
        <w:rPr>
          <w:rFonts w:ascii="Arial" w:hAnsi="Arial" w:cs="Arial"/>
          <w:sz w:val="24"/>
          <w:szCs w:val="24"/>
          <w:lang w:val="en-GB"/>
        </w:rPr>
      </w:pPr>
      <w:r w:rsidRPr="00D26AE4">
        <w:rPr>
          <w:rFonts w:ascii="Arial" w:hAnsi="Arial" w:cs="Arial"/>
          <w:sz w:val="24"/>
          <w:szCs w:val="24"/>
          <w:lang w:val="en-GB"/>
        </w:rPr>
        <w:t xml:space="preserve">Casey, </w:t>
      </w:r>
      <w:proofErr w:type="spellStart"/>
      <w:r w:rsidRPr="00D26AE4">
        <w:rPr>
          <w:rFonts w:ascii="Arial" w:hAnsi="Arial" w:cs="Arial"/>
          <w:sz w:val="24"/>
          <w:szCs w:val="24"/>
          <w:lang w:val="en-GB"/>
        </w:rPr>
        <w:t>Bj</w:t>
      </w:r>
      <w:proofErr w:type="spellEnd"/>
      <w:r w:rsidRPr="00D26AE4">
        <w:rPr>
          <w:rFonts w:ascii="Arial" w:hAnsi="Arial" w:cs="Arial"/>
          <w:sz w:val="24"/>
          <w:szCs w:val="24"/>
          <w:lang w:val="en-GB"/>
        </w:rPr>
        <w:t xml:space="preserve"> &amp; </w:t>
      </w:r>
      <w:proofErr w:type="spellStart"/>
      <w:r w:rsidRPr="00D26AE4">
        <w:rPr>
          <w:rFonts w:ascii="Arial" w:hAnsi="Arial" w:cs="Arial"/>
          <w:sz w:val="24"/>
          <w:szCs w:val="24"/>
          <w:lang w:val="en-GB"/>
        </w:rPr>
        <w:t>Duhoux</w:t>
      </w:r>
      <w:proofErr w:type="spellEnd"/>
      <w:r w:rsidRPr="00D26AE4">
        <w:rPr>
          <w:rFonts w:ascii="Arial" w:hAnsi="Arial" w:cs="Arial"/>
          <w:sz w:val="24"/>
          <w:szCs w:val="24"/>
          <w:lang w:val="en-GB"/>
        </w:rPr>
        <w:t xml:space="preserve">, </w:t>
      </w:r>
      <w:proofErr w:type="spellStart"/>
      <w:r w:rsidRPr="00D26AE4">
        <w:rPr>
          <w:rFonts w:ascii="Arial" w:hAnsi="Arial" w:cs="Arial"/>
          <w:sz w:val="24"/>
          <w:szCs w:val="24"/>
          <w:lang w:val="en-GB"/>
        </w:rPr>
        <w:t>Stéphanie</w:t>
      </w:r>
      <w:proofErr w:type="spellEnd"/>
      <w:r w:rsidRPr="00D26AE4">
        <w:rPr>
          <w:rFonts w:ascii="Arial" w:hAnsi="Arial" w:cs="Arial"/>
          <w:sz w:val="24"/>
          <w:szCs w:val="24"/>
          <w:lang w:val="en-GB"/>
        </w:rPr>
        <w:t xml:space="preserve"> &amp; </w:t>
      </w:r>
      <w:proofErr w:type="spellStart"/>
      <w:r w:rsidRPr="00D26AE4">
        <w:rPr>
          <w:rFonts w:ascii="Arial" w:hAnsi="Arial" w:cs="Arial"/>
          <w:sz w:val="24"/>
          <w:szCs w:val="24"/>
          <w:lang w:val="en-GB"/>
        </w:rPr>
        <w:t>Malter</w:t>
      </w:r>
      <w:proofErr w:type="spellEnd"/>
      <w:r w:rsidRPr="00D26AE4">
        <w:rPr>
          <w:rFonts w:ascii="Arial" w:hAnsi="Arial" w:cs="Arial"/>
          <w:sz w:val="24"/>
          <w:szCs w:val="24"/>
          <w:lang w:val="en-GB"/>
        </w:rPr>
        <w:t xml:space="preserve"> Cohen, Matthew. (2010). Adolescence: What Do Transmission, Transition, and Translation Have to Do with </w:t>
      </w:r>
      <w:proofErr w:type="gramStart"/>
      <w:r w:rsidRPr="00D26AE4">
        <w:rPr>
          <w:rFonts w:ascii="Arial" w:hAnsi="Arial" w:cs="Arial"/>
          <w:sz w:val="24"/>
          <w:szCs w:val="24"/>
          <w:lang w:val="en-GB"/>
        </w:rPr>
        <w:t>It?.</w:t>
      </w:r>
      <w:proofErr w:type="gramEnd"/>
      <w:r w:rsidRPr="00D26AE4">
        <w:rPr>
          <w:rFonts w:ascii="Arial" w:hAnsi="Arial" w:cs="Arial"/>
          <w:sz w:val="24"/>
          <w:szCs w:val="24"/>
          <w:lang w:val="en-GB"/>
        </w:rPr>
        <w:t xml:space="preserve"> Neuron. 67. 749-60. 10.1016/j.neuron.2010.08.033.</w:t>
      </w:r>
    </w:p>
    <w:p w14:paraId="159CA45D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>Child-encyclopedia.com. 2014. Eyes on Resilience: The ability to bounce back. [online] Available at: &lt;https://www.child-encyclopedia.com/sites/default/files/resilience-info.pdf&gt; [Accessed 4 April 2022].</w:t>
      </w:r>
    </w:p>
    <w:p w14:paraId="355A32FE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>Childrenssociety.org.uk. 2022. The Good Childhood Index | The Children's Society. [online] Available at: &lt;https://www.childrenssociety.org.uk/information/professionals/good-childhood-index&gt; [Accessed 9 April 2022].</w:t>
      </w:r>
    </w:p>
    <w:p w14:paraId="6062FE62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>Cldstandardscouncil.org.uk. 2019. The purpose of youth work. [online] Available at: &lt;https://cldstandardscouncil.org.uk/wp-content/uploads/YouthWorkNOS2019Intro.pdf&gt; [Accessed 8 April 2022].</w:t>
      </w:r>
    </w:p>
    <w:p w14:paraId="50C5D3B6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>Coleman, J., 2011. The nature of adolescence. 4th ed. New York, NY: Routledge, pp.2,</w:t>
      </w:r>
      <w:proofErr w:type="gramStart"/>
      <w:r w:rsidRPr="00D26AE4">
        <w:rPr>
          <w:rFonts w:ascii="Arial" w:hAnsi="Arial" w:cs="Arial"/>
          <w:sz w:val="24"/>
          <w:szCs w:val="24"/>
        </w:rPr>
        <w:t>3,25,.</w:t>
      </w:r>
      <w:proofErr w:type="gramEnd"/>
    </w:p>
    <w:p w14:paraId="5057CC5A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lastRenderedPageBreak/>
        <w:t>Cwvys.org.uk. 2018. The Five pillars of youth work in Wales. [online] Available at: &lt;https://www.cwvys.org.uk/wp-content/uploads/2018/11/YOUTH-WORK-IN-WALES-PRINCIPLES-AND-PURPOSES.pdf&gt; [Accessed 3 April 2022].</w:t>
      </w:r>
    </w:p>
    <w:p w14:paraId="53476D5D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 xml:space="preserve">Cwvys.org.uk. 2018. The purposes of youth work in </w:t>
      </w:r>
      <w:proofErr w:type="spellStart"/>
      <w:r w:rsidRPr="00D26AE4">
        <w:rPr>
          <w:rFonts w:ascii="Arial" w:hAnsi="Arial" w:cs="Arial"/>
          <w:sz w:val="24"/>
          <w:szCs w:val="24"/>
        </w:rPr>
        <w:t>wales</w:t>
      </w:r>
      <w:proofErr w:type="spellEnd"/>
      <w:r w:rsidRPr="00D26AE4">
        <w:rPr>
          <w:rFonts w:ascii="Arial" w:hAnsi="Arial" w:cs="Arial"/>
          <w:sz w:val="24"/>
          <w:szCs w:val="24"/>
        </w:rPr>
        <w:t>. [online] Available at: &lt;https://www.cwvys.org.uk/wp-content/uploads/2018/11/YOUTH-WORK-IN-WALES-PRINCIPLES-AND-PURPOSES.pdf&gt; [Accessed 7 April 2022].</w:t>
      </w:r>
    </w:p>
    <w:p w14:paraId="763B6C5D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proofErr w:type="spellStart"/>
      <w:r w:rsidRPr="00D26AE4">
        <w:rPr>
          <w:rFonts w:ascii="Arial" w:hAnsi="Arial" w:cs="Arial"/>
          <w:sz w:val="24"/>
          <w:szCs w:val="24"/>
        </w:rPr>
        <w:t>Eichstellar</w:t>
      </w:r>
      <w:proofErr w:type="spellEnd"/>
      <w:r w:rsidRPr="00D26AE4">
        <w:rPr>
          <w:rFonts w:ascii="Arial" w:hAnsi="Arial" w:cs="Arial"/>
          <w:sz w:val="24"/>
          <w:szCs w:val="24"/>
        </w:rPr>
        <w:t xml:space="preserve">, G., 2016. Celebrating Head, Heart, Hands - </w:t>
      </w:r>
      <w:proofErr w:type="spellStart"/>
      <w:r w:rsidRPr="00D26AE4">
        <w:rPr>
          <w:rFonts w:ascii="Arial" w:hAnsi="Arial" w:cs="Arial"/>
          <w:sz w:val="24"/>
          <w:szCs w:val="24"/>
        </w:rPr>
        <w:t>ThemPra</w:t>
      </w:r>
      <w:proofErr w:type="spellEnd"/>
      <w:r w:rsidRPr="00D26AE4">
        <w:rPr>
          <w:rFonts w:ascii="Arial" w:hAnsi="Arial" w:cs="Arial"/>
          <w:sz w:val="24"/>
          <w:szCs w:val="24"/>
        </w:rPr>
        <w:t xml:space="preserve"> Social Pedagogy. [online] </w:t>
      </w:r>
      <w:proofErr w:type="spellStart"/>
      <w:r w:rsidRPr="00D26AE4">
        <w:rPr>
          <w:rFonts w:ascii="Arial" w:hAnsi="Arial" w:cs="Arial"/>
          <w:sz w:val="24"/>
          <w:szCs w:val="24"/>
        </w:rPr>
        <w:t>ThemPra</w:t>
      </w:r>
      <w:proofErr w:type="spellEnd"/>
      <w:r w:rsidRPr="00D26AE4">
        <w:rPr>
          <w:rFonts w:ascii="Arial" w:hAnsi="Arial" w:cs="Arial"/>
          <w:sz w:val="24"/>
          <w:szCs w:val="24"/>
        </w:rPr>
        <w:t xml:space="preserve"> Social Pedagogy. Available at: &lt;http://www.thempra.org.uk/news/celebrating-head-heart-hands/&gt; [Accessed 12 April 2022].</w:t>
      </w:r>
    </w:p>
    <w:p w14:paraId="60B914FC" w14:textId="77777777" w:rsidR="00D26AE4" w:rsidRPr="00D26AE4" w:rsidRDefault="00D26AE4" w:rsidP="00D26AE4">
      <w:pPr>
        <w:spacing w:after="160" w:line="259" w:lineRule="auto"/>
        <w:rPr>
          <w:rFonts w:ascii="Arial" w:hAnsi="Arial" w:cs="Arial"/>
          <w:sz w:val="24"/>
          <w:szCs w:val="24"/>
          <w:lang w:val="en-GB"/>
        </w:rPr>
      </w:pPr>
      <w:proofErr w:type="spellStart"/>
      <w:r w:rsidRPr="00D26AE4">
        <w:rPr>
          <w:rFonts w:ascii="Arial" w:hAnsi="Arial" w:cs="Arial"/>
          <w:sz w:val="24"/>
          <w:szCs w:val="24"/>
          <w:lang w:val="en-GB"/>
        </w:rPr>
        <w:t>Finkelhor</w:t>
      </w:r>
      <w:proofErr w:type="spellEnd"/>
      <w:r w:rsidRPr="00D26AE4">
        <w:rPr>
          <w:rFonts w:ascii="Arial" w:hAnsi="Arial" w:cs="Arial"/>
          <w:sz w:val="24"/>
          <w:szCs w:val="24"/>
          <w:lang w:val="en-GB"/>
        </w:rPr>
        <w:t xml:space="preserve">, D., Ormrod, R., Turner, H. and Hamby, S., 2005. The victimization of Children and youth: A comprehensive National Survey, Child Maltreatment [Online] 10 (1), pp. 5-25 Available </w:t>
      </w:r>
      <w:proofErr w:type="gramStart"/>
      <w:r w:rsidRPr="00D26AE4">
        <w:rPr>
          <w:rFonts w:ascii="Arial" w:hAnsi="Arial" w:cs="Arial"/>
          <w:sz w:val="24"/>
          <w:szCs w:val="24"/>
          <w:lang w:val="en-GB"/>
        </w:rPr>
        <w:t>at :</w:t>
      </w:r>
      <w:proofErr w:type="gramEnd"/>
      <w:r w:rsidRPr="00D26AE4">
        <w:rPr>
          <w:rFonts w:ascii="Arial" w:hAnsi="Arial" w:cs="Arial"/>
          <w:sz w:val="24"/>
          <w:szCs w:val="24"/>
          <w:lang w:val="en-GB"/>
        </w:rPr>
        <w:fldChar w:fldCharType="begin"/>
      </w:r>
      <w:r w:rsidRPr="00D26AE4">
        <w:rPr>
          <w:rFonts w:ascii="Arial" w:hAnsi="Arial" w:cs="Arial"/>
          <w:sz w:val="24"/>
          <w:szCs w:val="24"/>
          <w:lang w:val="en-GB"/>
        </w:rPr>
        <w:instrText xml:space="preserve"> HYPERLINK "https://pubmed.ncbi.nlm.nih.gov/15677323/" </w:instrText>
      </w:r>
      <w:r w:rsidRPr="00D26AE4">
        <w:rPr>
          <w:rFonts w:ascii="Arial" w:hAnsi="Arial" w:cs="Arial"/>
          <w:sz w:val="24"/>
          <w:szCs w:val="24"/>
          <w:lang w:val="en-GB"/>
        </w:rPr>
        <w:fldChar w:fldCharType="separate"/>
      </w:r>
      <w:r w:rsidRPr="00D26AE4">
        <w:rPr>
          <w:rFonts w:ascii="Arial" w:hAnsi="Arial" w:cs="Arial"/>
          <w:color w:val="0563C1" w:themeColor="hyperlink"/>
          <w:sz w:val="24"/>
          <w:szCs w:val="24"/>
          <w:u w:val="single"/>
          <w:lang w:val="en-GB"/>
        </w:rPr>
        <w:t>https://pubmed.ncbi.nlm.nih.gov/15677323/</w:t>
      </w:r>
      <w:r w:rsidRPr="00D26AE4">
        <w:rPr>
          <w:rFonts w:ascii="Arial" w:hAnsi="Arial" w:cs="Arial"/>
          <w:sz w:val="24"/>
          <w:szCs w:val="24"/>
          <w:lang w:val="en-GB"/>
        </w:rPr>
        <w:fldChar w:fldCharType="end"/>
      </w:r>
      <w:r w:rsidRPr="00D26AE4">
        <w:rPr>
          <w:rFonts w:ascii="Arial" w:hAnsi="Arial" w:cs="Arial"/>
          <w:sz w:val="24"/>
          <w:szCs w:val="24"/>
          <w:lang w:val="en-GB"/>
        </w:rPr>
        <w:t>[accessed 9</w:t>
      </w:r>
      <w:r w:rsidRPr="00D26AE4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D26AE4">
        <w:rPr>
          <w:rFonts w:ascii="Arial" w:hAnsi="Arial" w:cs="Arial"/>
          <w:sz w:val="24"/>
          <w:szCs w:val="24"/>
          <w:lang w:val="en-GB"/>
        </w:rPr>
        <w:t xml:space="preserve"> April, 2022]</w:t>
      </w:r>
    </w:p>
    <w:p w14:paraId="3766E249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proofErr w:type="spellStart"/>
      <w:r w:rsidRPr="00D26AE4">
        <w:rPr>
          <w:rFonts w:ascii="Arial" w:hAnsi="Arial" w:cs="Arial"/>
          <w:sz w:val="24"/>
          <w:szCs w:val="24"/>
        </w:rPr>
        <w:t>Futuregenerations.wales</w:t>
      </w:r>
      <w:proofErr w:type="spellEnd"/>
      <w:r w:rsidRPr="00D26AE4">
        <w:rPr>
          <w:rFonts w:ascii="Arial" w:hAnsi="Arial" w:cs="Arial"/>
          <w:sz w:val="24"/>
          <w:szCs w:val="24"/>
        </w:rPr>
        <w:t>. 2015. Wellbeing Goals. [online] Available at: &lt;https://www.futuregenerations.wales/wp-content/uploads/2017/02/150623-guide-to-the-fg-act-en.pdf&gt; [Accessed 12 April 2022].</w:t>
      </w:r>
    </w:p>
    <w:p w14:paraId="0103E317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>GOV.WALES. 2019. Youth work strategy 2019 | GOV.WALES. [online] Available at: &lt;https://gov.wales/youth-work-strategy-2019&gt; [Accessed 6 April 2022].</w:t>
      </w:r>
    </w:p>
    <w:p w14:paraId="0D2B914C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>Happiness and Well-Being. 2022. What Are Happiness and Well-Being? — Happiness and Well-Being. [online] Available at: &lt;https://www.happinessandwellbeing.org/wellbeing-research-faq-2&gt; [Accessed 6 April 2022].</w:t>
      </w:r>
    </w:p>
    <w:p w14:paraId="5B71BCF7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>Harrison, R. and Wise, C., 2005. Working with young people. 1st ed. Los Angeles: Sage, p.15.</w:t>
      </w:r>
    </w:p>
    <w:p w14:paraId="356B4974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>Hawtin, M., Hughes, G. and Percy-Smith, J., 1994. Community profiling. 1st ed. Buckingham: Open University Press.</w:t>
      </w:r>
    </w:p>
    <w:p w14:paraId="6FEDB0B8" w14:textId="77777777" w:rsidR="00D26AE4" w:rsidRPr="00D26AE4" w:rsidRDefault="00D26AE4" w:rsidP="00D26AE4">
      <w:pPr>
        <w:spacing w:after="160" w:line="259" w:lineRule="auto"/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</w:pPr>
      <w:proofErr w:type="spellStart"/>
      <w:r w:rsidRPr="00D26AE4"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  <w:lastRenderedPageBreak/>
        <w:t>Herrman</w:t>
      </w:r>
      <w:proofErr w:type="spellEnd"/>
      <w:r w:rsidRPr="00D26AE4"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  <w:t xml:space="preserve">, H. et al. (2011) ‘What is Resilience?’, The Canadian Journal of Psychiatry, 56(5), pp. 258–265. </w:t>
      </w:r>
      <w:proofErr w:type="spellStart"/>
      <w:r w:rsidRPr="00D26AE4"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  <w:t>doi</w:t>
      </w:r>
      <w:proofErr w:type="spellEnd"/>
      <w:r w:rsidRPr="00D26AE4"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  <w:t>: </w:t>
      </w:r>
      <w:hyperlink r:id="rId4" w:history="1">
        <w:r w:rsidRPr="00D26AE4">
          <w:rPr>
            <w:rFonts w:ascii="Arial" w:hAnsi="Arial" w:cs="Arial"/>
            <w:color w:val="006ACC"/>
            <w:sz w:val="24"/>
            <w:szCs w:val="24"/>
            <w:u w:val="single"/>
            <w:shd w:val="clear" w:color="auto" w:fill="FFFFFF"/>
            <w:lang w:val="en-GB"/>
          </w:rPr>
          <w:t>10.1177/070674371105600504</w:t>
        </w:r>
      </w:hyperlink>
      <w:r w:rsidRPr="00D26AE4"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  <w:t>.</w:t>
      </w:r>
    </w:p>
    <w:p w14:paraId="0CA16AEC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 xml:space="preserve">https://assets.publishing.service.gov.uk/. 2011. An Education for the 21st Century: A narrative for youth work </w:t>
      </w:r>
      <w:proofErr w:type="gramStart"/>
      <w:r w:rsidRPr="00D26AE4">
        <w:rPr>
          <w:rFonts w:ascii="Arial" w:hAnsi="Arial" w:cs="Arial"/>
          <w:sz w:val="24"/>
          <w:szCs w:val="24"/>
        </w:rPr>
        <w:t>today..</w:t>
      </w:r>
      <w:proofErr w:type="gramEnd"/>
      <w:r w:rsidRPr="00D26AE4">
        <w:rPr>
          <w:rFonts w:ascii="Arial" w:hAnsi="Arial" w:cs="Arial"/>
          <w:sz w:val="24"/>
          <w:szCs w:val="24"/>
        </w:rPr>
        <w:t xml:space="preserve"> [online] Available at: &lt;https://www.gov.uk/government/organisations/department-for-education&gt; [Accessed 7 April 2022].</w:t>
      </w:r>
    </w:p>
    <w:p w14:paraId="278F9EC0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proofErr w:type="spellStart"/>
      <w:r w:rsidRPr="00D26AE4">
        <w:rPr>
          <w:rFonts w:ascii="Arial" w:hAnsi="Arial" w:cs="Arial"/>
          <w:sz w:val="24"/>
          <w:szCs w:val="24"/>
        </w:rPr>
        <w:t>Inhelder</w:t>
      </w:r>
      <w:proofErr w:type="spellEnd"/>
      <w:r w:rsidRPr="00D26AE4">
        <w:rPr>
          <w:rFonts w:ascii="Arial" w:hAnsi="Arial" w:cs="Arial"/>
          <w:sz w:val="24"/>
          <w:szCs w:val="24"/>
        </w:rPr>
        <w:t>, B. and Piaget, J., 1972. 1st ed. New York: Basic Books.</w:t>
      </w:r>
    </w:p>
    <w:p w14:paraId="4BC9FC5F" w14:textId="77777777" w:rsidR="00D26AE4" w:rsidRPr="00D26AE4" w:rsidRDefault="00D26AE4" w:rsidP="00D26AE4">
      <w:pPr>
        <w:spacing w:after="160" w:line="259" w:lineRule="auto"/>
        <w:rPr>
          <w:rFonts w:ascii="Arial" w:hAnsi="Arial" w:cs="Arial"/>
          <w:color w:val="232323"/>
          <w:sz w:val="24"/>
          <w:szCs w:val="24"/>
          <w:shd w:val="clear" w:color="auto" w:fill="FFFFFF"/>
          <w:lang w:val="en-GB"/>
        </w:rPr>
      </w:pPr>
      <w:proofErr w:type="spellStart"/>
      <w:r w:rsidRPr="00D26AE4">
        <w:rPr>
          <w:rFonts w:ascii="Arial" w:hAnsi="Arial" w:cs="Arial"/>
          <w:color w:val="232323"/>
          <w:sz w:val="24"/>
          <w:szCs w:val="24"/>
          <w:shd w:val="clear" w:color="auto" w:fill="FFFFFF"/>
          <w:lang w:val="en-GB"/>
        </w:rPr>
        <w:t>Inhelder</w:t>
      </w:r>
      <w:proofErr w:type="spellEnd"/>
      <w:r w:rsidRPr="00D26AE4">
        <w:rPr>
          <w:rFonts w:ascii="Arial" w:hAnsi="Arial" w:cs="Arial"/>
          <w:color w:val="232323"/>
          <w:sz w:val="24"/>
          <w:szCs w:val="24"/>
          <w:shd w:val="clear" w:color="auto" w:fill="FFFFFF"/>
          <w:lang w:val="en-GB"/>
        </w:rPr>
        <w:t>, B., &amp; Piaget, J. (1958). The Growth of Logical Thinking from Childhood to Adolescence. New York: Basic Books.</w:t>
      </w:r>
      <w:r w:rsidRPr="00D26AE4">
        <w:rPr>
          <w:rFonts w:ascii="Arial" w:hAnsi="Arial" w:cs="Arial"/>
          <w:color w:val="232323"/>
          <w:sz w:val="24"/>
          <w:szCs w:val="24"/>
          <w:lang w:val="en-GB"/>
        </w:rPr>
        <w:br/>
      </w:r>
      <w:hyperlink r:id="rId5" w:history="1">
        <w:r w:rsidRPr="00D26AE4">
          <w:rPr>
            <w:rFonts w:ascii="Arial" w:hAnsi="Arial" w:cs="Arial"/>
            <w:color w:val="0563C1" w:themeColor="hyperlink"/>
            <w:sz w:val="24"/>
            <w:szCs w:val="24"/>
            <w:u w:val="single"/>
            <w:shd w:val="clear" w:color="auto" w:fill="FFFFFF"/>
            <w:lang w:val="en-GB"/>
          </w:rPr>
          <w:t>http://dx.doi.org/10.1037/10034-000</w:t>
        </w:r>
      </w:hyperlink>
    </w:p>
    <w:p w14:paraId="1EE3B370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>Jeffs, T. and Smith, M., 2010. Youth Work Practice. 1st ed. Hampshire: Macmillan Publishers Limited, p.17.</w:t>
      </w:r>
    </w:p>
    <w:p w14:paraId="20678AE2" w14:textId="77777777" w:rsidR="00D26AE4" w:rsidRPr="00D26AE4" w:rsidRDefault="00D26AE4" w:rsidP="00D26AE4">
      <w:pPr>
        <w:spacing w:after="160" w:line="259" w:lineRule="auto"/>
        <w:rPr>
          <w:rFonts w:ascii="Arial" w:hAnsi="Arial" w:cs="Arial"/>
          <w:color w:val="303030"/>
          <w:sz w:val="24"/>
          <w:szCs w:val="24"/>
          <w:shd w:val="clear" w:color="auto" w:fill="FFFFFF"/>
          <w:lang w:val="en-GB"/>
        </w:rPr>
      </w:pPr>
      <w:r w:rsidRPr="00D26AE4">
        <w:rPr>
          <w:rFonts w:ascii="Arial" w:hAnsi="Arial" w:cs="Arial"/>
          <w:color w:val="303030"/>
          <w:sz w:val="24"/>
          <w:szCs w:val="24"/>
          <w:shd w:val="clear" w:color="auto" w:fill="FFFFFF"/>
          <w:lang w:val="en-GB"/>
        </w:rPr>
        <w:t xml:space="preserve">Lee TY, Cheung CK, </w:t>
      </w:r>
      <w:proofErr w:type="spellStart"/>
      <w:r w:rsidRPr="00D26AE4">
        <w:rPr>
          <w:rFonts w:ascii="Arial" w:hAnsi="Arial" w:cs="Arial"/>
          <w:color w:val="303030"/>
          <w:sz w:val="24"/>
          <w:szCs w:val="24"/>
          <w:shd w:val="clear" w:color="auto" w:fill="FFFFFF"/>
          <w:lang w:val="en-GB"/>
        </w:rPr>
        <w:t>Kwong</w:t>
      </w:r>
      <w:proofErr w:type="spellEnd"/>
      <w:r w:rsidRPr="00D26AE4">
        <w:rPr>
          <w:rFonts w:ascii="Arial" w:hAnsi="Arial" w:cs="Arial"/>
          <w:color w:val="303030"/>
          <w:sz w:val="24"/>
          <w:szCs w:val="24"/>
          <w:shd w:val="clear" w:color="auto" w:fill="FFFFFF"/>
          <w:lang w:val="en-GB"/>
        </w:rPr>
        <w:t xml:space="preserve"> WM. Resilience as a positive youth development construct: a conceptual review. </w:t>
      </w:r>
      <w:proofErr w:type="spellStart"/>
      <w:r w:rsidRPr="00D26AE4">
        <w:rPr>
          <w:rFonts w:ascii="Arial" w:hAnsi="Arial" w:cs="Arial"/>
          <w:color w:val="303030"/>
          <w:sz w:val="24"/>
          <w:szCs w:val="24"/>
          <w:shd w:val="clear" w:color="auto" w:fill="FFFFFF"/>
          <w:lang w:val="en-GB"/>
        </w:rPr>
        <w:t>ScientificWorldJournal</w:t>
      </w:r>
      <w:proofErr w:type="spellEnd"/>
      <w:r w:rsidRPr="00D26AE4">
        <w:rPr>
          <w:rFonts w:ascii="Arial" w:hAnsi="Arial" w:cs="Arial"/>
          <w:color w:val="303030"/>
          <w:sz w:val="24"/>
          <w:szCs w:val="24"/>
          <w:shd w:val="clear" w:color="auto" w:fill="FFFFFF"/>
          <w:lang w:val="en-GB"/>
        </w:rPr>
        <w:t>. 2012; 2012:390450. doi:10.1100/2012/390450</w:t>
      </w:r>
    </w:p>
    <w:p w14:paraId="3F47C69C" w14:textId="77777777" w:rsidR="00D26AE4" w:rsidRPr="00D26AE4" w:rsidRDefault="00D26AE4" w:rsidP="00D26AE4">
      <w:pPr>
        <w:shd w:val="clear" w:color="auto" w:fill="FFFFFF"/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</w:pPr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 xml:space="preserve">Maul, S., </w:t>
      </w:r>
      <w:proofErr w:type="spellStart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>Giegling</w:t>
      </w:r>
      <w:proofErr w:type="spellEnd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 xml:space="preserve">, I., </w:t>
      </w:r>
      <w:proofErr w:type="spellStart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>Fabbri</w:t>
      </w:r>
      <w:proofErr w:type="spellEnd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 xml:space="preserve">, C., </w:t>
      </w:r>
      <w:proofErr w:type="spellStart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>Corponi</w:t>
      </w:r>
      <w:proofErr w:type="spellEnd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 xml:space="preserve">, F., </w:t>
      </w:r>
      <w:proofErr w:type="spellStart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>Serretti</w:t>
      </w:r>
      <w:proofErr w:type="spellEnd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 xml:space="preserve">, A., &amp; </w:t>
      </w:r>
      <w:proofErr w:type="spellStart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>Rujescu</w:t>
      </w:r>
      <w:proofErr w:type="spellEnd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 xml:space="preserve">, D. (2020). Genetics of resilience: Implications from genome-wide association studies and candidate genes of the stress response system in posttraumatic stress disorder and depression. American journal of medical genetics. Part B, Neuropsychiatric </w:t>
      </w:r>
      <w:proofErr w:type="gramStart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>genetics :</w:t>
      </w:r>
      <w:proofErr w:type="gramEnd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 xml:space="preserve"> the official publication of the International Society of Psychiatric Genetics, 183(2), 77–94. </w:t>
      </w:r>
      <w:hyperlink r:id="rId6" w:history="1">
        <w:r w:rsidRPr="00D26AE4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lang w:val="en-GB" w:eastAsia="en-GB"/>
          </w:rPr>
          <w:t>https://doi.org/10.1002/ajmg.b.32763</w:t>
        </w:r>
      </w:hyperlink>
    </w:p>
    <w:p w14:paraId="3F9B2597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proofErr w:type="spellStart"/>
      <w:r w:rsidRPr="00D26AE4">
        <w:rPr>
          <w:rFonts w:ascii="Arial" w:hAnsi="Arial" w:cs="Arial"/>
          <w:sz w:val="24"/>
          <w:szCs w:val="24"/>
        </w:rPr>
        <w:t>McCashen</w:t>
      </w:r>
      <w:proofErr w:type="spellEnd"/>
      <w:r w:rsidRPr="00D26AE4">
        <w:rPr>
          <w:rFonts w:ascii="Arial" w:hAnsi="Arial" w:cs="Arial"/>
          <w:sz w:val="24"/>
          <w:szCs w:val="24"/>
        </w:rPr>
        <w:t xml:space="preserve">, W., 2005. The strengths approach in practice. 1st ed. Bendigo: St Luke's </w:t>
      </w:r>
      <w:proofErr w:type="spellStart"/>
      <w:r w:rsidRPr="00D26AE4">
        <w:rPr>
          <w:rFonts w:ascii="Arial" w:hAnsi="Arial" w:cs="Arial"/>
          <w:sz w:val="24"/>
          <w:szCs w:val="24"/>
        </w:rPr>
        <w:t>Innvative</w:t>
      </w:r>
      <w:proofErr w:type="spellEnd"/>
      <w:r w:rsidRPr="00D26AE4">
        <w:rPr>
          <w:rFonts w:ascii="Arial" w:hAnsi="Arial" w:cs="Arial"/>
          <w:sz w:val="24"/>
          <w:szCs w:val="24"/>
        </w:rPr>
        <w:t xml:space="preserve"> Resources, pp.43,44.</w:t>
      </w:r>
    </w:p>
    <w:p w14:paraId="3DFDE04E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>New Economics Foundation. 2018. Five ways to wellbeing. [online] Available at: &lt;https://neweconomics.org/2008/10/five-ways-to-wellbeing&gt; [Accessed 12 April 2022].</w:t>
      </w:r>
    </w:p>
    <w:p w14:paraId="4F92F0FE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 xml:space="preserve">Osbourn, J., 2021. From Isolation to Community: Youth work in the covid era and </w:t>
      </w:r>
      <w:proofErr w:type="gramStart"/>
      <w:r w:rsidRPr="00D26AE4">
        <w:rPr>
          <w:rFonts w:ascii="Arial" w:hAnsi="Arial" w:cs="Arial"/>
          <w:sz w:val="24"/>
          <w:szCs w:val="24"/>
        </w:rPr>
        <w:t>beyond..</w:t>
      </w:r>
      <w:proofErr w:type="gramEnd"/>
      <w:r w:rsidRPr="00D26AE4">
        <w:rPr>
          <w:rFonts w:ascii="Arial" w:hAnsi="Arial" w:cs="Arial"/>
          <w:sz w:val="24"/>
          <w:szCs w:val="24"/>
        </w:rPr>
        <w:t xml:space="preserve"> 1st ed. Glasgow: Issachar Press, pp.5,6.</w:t>
      </w:r>
    </w:p>
    <w:p w14:paraId="53342640" w14:textId="77777777" w:rsidR="00D26AE4" w:rsidRPr="00D26AE4" w:rsidRDefault="00D26AE4" w:rsidP="00D26AE4">
      <w:pPr>
        <w:spacing w:after="160" w:line="259" w:lineRule="auto"/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</w:pPr>
      <w:r w:rsidRPr="00D26AE4"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  <w:t xml:space="preserve">Park, N. (2004) ‘The Role of Subjective Well-Being in Positive Youth Development’, The ANNALS of the American Academy of Political and Social Science, 591(1), pp. 25–39. </w:t>
      </w:r>
      <w:proofErr w:type="spellStart"/>
      <w:r w:rsidRPr="00D26AE4"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  <w:t>doi</w:t>
      </w:r>
      <w:proofErr w:type="spellEnd"/>
      <w:r w:rsidRPr="00D26AE4"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  <w:t>: </w:t>
      </w:r>
      <w:hyperlink r:id="rId7" w:history="1">
        <w:r w:rsidRPr="00D26AE4">
          <w:rPr>
            <w:rFonts w:ascii="Arial" w:hAnsi="Arial" w:cs="Arial"/>
            <w:color w:val="006ACC"/>
            <w:sz w:val="24"/>
            <w:szCs w:val="24"/>
            <w:u w:val="single"/>
            <w:shd w:val="clear" w:color="auto" w:fill="FFFFFF"/>
            <w:lang w:val="en-GB"/>
          </w:rPr>
          <w:t>10.1177/0002716203260078</w:t>
        </w:r>
      </w:hyperlink>
      <w:r w:rsidRPr="00D26AE4"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  <w:t>.</w:t>
      </w:r>
    </w:p>
    <w:p w14:paraId="12AC4742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>Pringle, M., 1986. The needs of children. 3rd ed. Michigan: Hutchinson 1986.</w:t>
      </w:r>
    </w:p>
    <w:p w14:paraId="763678EE" w14:textId="77777777" w:rsidR="00D26AE4" w:rsidRPr="00D26AE4" w:rsidRDefault="00D26AE4">
      <w:pPr>
        <w:spacing w:after="264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lastRenderedPageBreak/>
        <w:t>References</w:t>
      </w:r>
    </w:p>
    <w:p w14:paraId="22CA2704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proofErr w:type="spellStart"/>
      <w:r w:rsidRPr="00D26AE4">
        <w:rPr>
          <w:rFonts w:ascii="Arial" w:hAnsi="Arial" w:cs="Arial"/>
          <w:sz w:val="24"/>
          <w:szCs w:val="24"/>
        </w:rPr>
        <w:t>Riopel</w:t>
      </w:r>
      <w:proofErr w:type="spellEnd"/>
      <w:r w:rsidRPr="00D26AE4">
        <w:rPr>
          <w:rFonts w:ascii="Arial" w:hAnsi="Arial" w:cs="Arial"/>
          <w:sz w:val="24"/>
          <w:szCs w:val="24"/>
        </w:rPr>
        <w:t>, L., 2022. Resilience Skills, Factors and Strategies of the Resilient Person. [online] PositivePsychology.com. Available at: &lt;https://positivepsychology.com/resilience-skills/&gt; [Accessed 8 April 2022].</w:t>
      </w:r>
    </w:p>
    <w:p w14:paraId="4047954D" w14:textId="77777777" w:rsidR="00D26AE4" w:rsidRPr="00D26AE4" w:rsidRDefault="00D26AE4" w:rsidP="00D26AE4">
      <w:pPr>
        <w:spacing w:after="160" w:line="259" w:lineRule="auto"/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</w:pPr>
      <w:r w:rsidRPr="00D26AE4"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  <w:t>Ruggeri, K., Garcia-Garzon, E., Maguire, Á. et al. Well-being is more than happiness and life satisfaction: a multidimensional analysis of 21 countries. Health Qual Life Outcomes </w:t>
      </w:r>
      <w:r w:rsidRPr="00D26AE4">
        <w:rPr>
          <w:rFonts w:ascii="Arial" w:hAnsi="Arial" w:cs="Arial"/>
          <w:b/>
          <w:bCs/>
          <w:color w:val="333333"/>
          <w:sz w:val="24"/>
          <w:szCs w:val="24"/>
          <w:shd w:val="clear" w:color="auto" w:fill="FFFFFF"/>
          <w:lang w:val="en-GB"/>
        </w:rPr>
        <w:t>18, </w:t>
      </w:r>
      <w:r w:rsidRPr="00D26AE4"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  <w:t xml:space="preserve">192 (2020). </w:t>
      </w:r>
      <w:hyperlink r:id="rId8" w:history="1">
        <w:r w:rsidRPr="00D26AE4">
          <w:rPr>
            <w:rFonts w:ascii="Arial" w:hAnsi="Arial" w:cs="Arial"/>
            <w:color w:val="0563C1" w:themeColor="hyperlink"/>
            <w:sz w:val="24"/>
            <w:szCs w:val="24"/>
            <w:u w:val="single"/>
            <w:shd w:val="clear" w:color="auto" w:fill="FFFFFF"/>
            <w:lang w:val="en-GB"/>
          </w:rPr>
          <w:t>https://doi.org/10.1186/s12955-020-01423-y</w:t>
        </w:r>
      </w:hyperlink>
    </w:p>
    <w:p w14:paraId="15378471" w14:textId="77777777" w:rsidR="00D26AE4" w:rsidRPr="00D26AE4" w:rsidRDefault="00D26AE4" w:rsidP="00D26AE4">
      <w:pPr>
        <w:spacing w:after="160" w:line="259" w:lineRule="auto"/>
        <w:rPr>
          <w:rFonts w:ascii="Arial" w:hAnsi="Arial" w:cs="Arial"/>
          <w:color w:val="212121"/>
          <w:sz w:val="24"/>
          <w:szCs w:val="24"/>
          <w:shd w:val="clear" w:color="auto" w:fill="FFFFFF"/>
          <w:lang w:val="en-GB"/>
        </w:rPr>
      </w:pPr>
      <w:r w:rsidRPr="00D26AE4">
        <w:rPr>
          <w:rFonts w:ascii="Arial" w:hAnsi="Arial" w:cs="Arial"/>
          <w:color w:val="212121"/>
          <w:sz w:val="24"/>
          <w:szCs w:val="24"/>
          <w:shd w:val="clear" w:color="auto" w:fill="FFFFFF"/>
          <w:lang w:val="en-GB"/>
        </w:rPr>
        <w:t xml:space="preserve">Sakai J. Core Concept: How synaptic pruning shapes neural wiring during development and, possibly, in disease. Proc Natl </w:t>
      </w:r>
      <w:proofErr w:type="spellStart"/>
      <w:r w:rsidRPr="00D26AE4">
        <w:rPr>
          <w:rFonts w:ascii="Arial" w:hAnsi="Arial" w:cs="Arial"/>
          <w:color w:val="212121"/>
          <w:sz w:val="24"/>
          <w:szCs w:val="24"/>
          <w:shd w:val="clear" w:color="auto" w:fill="FFFFFF"/>
          <w:lang w:val="en-GB"/>
        </w:rPr>
        <w:t>Acad</w:t>
      </w:r>
      <w:proofErr w:type="spellEnd"/>
      <w:r w:rsidRPr="00D26AE4">
        <w:rPr>
          <w:rFonts w:ascii="Arial" w:hAnsi="Arial" w:cs="Arial"/>
          <w:color w:val="212121"/>
          <w:sz w:val="24"/>
          <w:szCs w:val="24"/>
          <w:shd w:val="clear" w:color="auto" w:fill="FFFFFF"/>
          <w:lang w:val="en-GB"/>
        </w:rPr>
        <w:t xml:space="preserve"> Sci U S A. 2020 Jul 14;117(28):16096-16099. </w:t>
      </w:r>
      <w:proofErr w:type="spellStart"/>
      <w:r w:rsidRPr="00D26AE4">
        <w:rPr>
          <w:rFonts w:ascii="Arial" w:hAnsi="Arial" w:cs="Arial"/>
          <w:color w:val="212121"/>
          <w:sz w:val="24"/>
          <w:szCs w:val="24"/>
          <w:shd w:val="clear" w:color="auto" w:fill="FFFFFF"/>
          <w:lang w:val="en-GB"/>
        </w:rPr>
        <w:t>doi</w:t>
      </w:r>
      <w:proofErr w:type="spellEnd"/>
      <w:r w:rsidRPr="00D26AE4">
        <w:rPr>
          <w:rFonts w:ascii="Arial" w:hAnsi="Arial" w:cs="Arial"/>
          <w:color w:val="212121"/>
          <w:sz w:val="24"/>
          <w:szCs w:val="24"/>
          <w:shd w:val="clear" w:color="auto" w:fill="FFFFFF"/>
          <w:lang w:val="en-GB"/>
        </w:rPr>
        <w:t xml:space="preserve">: 10.1073/pnas.2010281117. </w:t>
      </w:r>
      <w:proofErr w:type="spellStart"/>
      <w:r w:rsidRPr="00D26AE4">
        <w:rPr>
          <w:rFonts w:ascii="Arial" w:hAnsi="Arial" w:cs="Arial"/>
          <w:color w:val="212121"/>
          <w:sz w:val="24"/>
          <w:szCs w:val="24"/>
          <w:shd w:val="clear" w:color="auto" w:fill="FFFFFF"/>
          <w:lang w:val="en-GB"/>
        </w:rPr>
        <w:t>Epub</w:t>
      </w:r>
      <w:proofErr w:type="spellEnd"/>
      <w:r w:rsidRPr="00D26AE4">
        <w:rPr>
          <w:rFonts w:ascii="Arial" w:hAnsi="Arial" w:cs="Arial"/>
          <w:color w:val="212121"/>
          <w:sz w:val="24"/>
          <w:szCs w:val="24"/>
          <w:shd w:val="clear" w:color="auto" w:fill="FFFFFF"/>
          <w:lang w:val="en-GB"/>
        </w:rPr>
        <w:t xml:space="preserve"> 2020 Jun 24. PMID: 32581125; PMCID: PMC7368197.</w:t>
      </w:r>
    </w:p>
    <w:p w14:paraId="0DE091E2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proofErr w:type="spellStart"/>
      <w:r w:rsidRPr="00D26AE4">
        <w:rPr>
          <w:rFonts w:ascii="Arial" w:hAnsi="Arial" w:cs="Arial"/>
          <w:sz w:val="24"/>
          <w:szCs w:val="24"/>
        </w:rPr>
        <w:t>Sapin</w:t>
      </w:r>
      <w:proofErr w:type="spellEnd"/>
      <w:r w:rsidRPr="00D26AE4">
        <w:rPr>
          <w:rFonts w:ascii="Arial" w:hAnsi="Arial" w:cs="Arial"/>
          <w:sz w:val="24"/>
          <w:szCs w:val="24"/>
        </w:rPr>
        <w:t>, K., 2013. Essential skills for youth work practice. 2nd ed. Los Angeles, Calif.: SAGE, pp.60,</w:t>
      </w:r>
      <w:proofErr w:type="gramStart"/>
      <w:r w:rsidRPr="00D26AE4">
        <w:rPr>
          <w:rFonts w:ascii="Arial" w:hAnsi="Arial" w:cs="Arial"/>
          <w:sz w:val="24"/>
          <w:szCs w:val="24"/>
        </w:rPr>
        <w:t>61,64,.</w:t>
      </w:r>
      <w:proofErr w:type="gramEnd"/>
    </w:p>
    <w:p w14:paraId="7B4952BB" w14:textId="77777777" w:rsidR="00D26AE4" w:rsidRPr="00D26AE4" w:rsidRDefault="00D26AE4" w:rsidP="00D26AE4">
      <w:pPr>
        <w:spacing w:after="160" w:line="259" w:lineRule="auto"/>
        <w:rPr>
          <w:rFonts w:ascii="Arial" w:hAnsi="Arial" w:cs="Arial"/>
          <w:color w:val="303030"/>
          <w:sz w:val="24"/>
          <w:szCs w:val="24"/>
          <w:shd w:val="clear" w:color="auto" w:fill="FFFFFF"/>
          <w:lang w:val="en-GB"/>
        </w:rPr>
      </w:pPr>
      <w:r w:rsidRPr="00D26AE4">
        <w:rPr>
          <w:rFonts w:ascii="Arial" w:hAnsi="Arial" w:cs="Arial"/>
          <w:color w:val="303030"/>
          <w:sz w:val="24"/>
          <w:szCs w:val="24"/>
          <w:shd w:val="clear" w:color="auto" w:fill="FFFFFF"/>
          <w:lang w:val="en-GB"/>
        </w:rPr>
        <w:t xml:space="preserve">Steinberg L. (2008). A Social Neuroscience Perspective on Adolescent Risk-Taking. Developmental </w:t>
      </w:r>
      <w:proofErr w:type="gramStart"/>
      <w:r w:rsidRPr="00D26AE4">
        <w:rPr>
          <w:rFonts w:ascii="Arial" w:hAnsi="Arial" w:cs="Arial"/>
          <w:color w:val="303030"/>
          <w:sz w:val="24"/>
          <w:szCs w:val="24"/>
          <w:shd w:val="clear" w:color="auto" w:fill="FFFFFF"/>
          <w:lang w:val="en-GB"/>
        </w:rPr>
        <w:t>review :</w:t>
      </w:r>
      <w:proofErr w:type="gramEnd"/>
      <w:r w:rsidRPr="00D26AE4">
        <w:rPr>
          <w:rFonts w:ascii="Arial" w:hAnsi="Arial" w:cs="Arial"/>
          <w:color w:val="303030"/>
          <w:sz w:val="24"/>
          <w:szCs w:val="24"/>
          <w:shd w:val="clear" w:color="auto" w:fill="FFFFFF"/>
          <w:lang w:val="en-GB"/>
        </w:rPr>
        <w:t xml:space="preserve"> DR, 28(1), 78–106. </w:t>
      </w:r>
      <w:hyperlink r:id="rId9" w:history="1">
        <w:r w:rsidRPr="00D26AE4">
          <w:rPr>
            <w:rFonts w:ascii="Arial" w:hAnsi="Arial" w:cs="Arial"/>
            <w:color w:val="0563C1" w:themeColor="hyperlink"/>
            <w:sz w:val="24"/>
            <w:szCs w:val="24"/>
            <w:u w:val="single"/>
            <w:shd w:val="clear" w:color="auto" w:fill="FFFFFF"/>
            <w:lang w:val="en-GB"/>
          </w:rPr>
          <w:t>https://doi.org/10.1016/j.dr.2007.08.002</w:t>
        </w:r>
      </w:hyperlink>
    </w:p>
    <w:p w14:paraId="46F7C2A6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proofErr w:type="spellStart"/>
      <w:r w:rsidRPr="00D26AE4">
        <w:rPr>
          <w:rFonts w:ascii="Arial" w:hAnsi="Arial" w:cs="Arial"/>
          <w:sz w:val="24"/>
          <w:szCs w:val="24"/>
        </w:rPr>
        <w:t>ThemPra</w:t>
      </w:r>
      <w:proofErr w:type="spellEnd"/>
      <w:r w:rsidRPr="00D26AE4">
        <w:rPr>
          <w:rFonts w:ascii="Arial" w:hAnsi="Arial" w:cs="Arial"/>
          <w:sz w:val="24"/>
          <w:szCs w:val="24"/>
        </w:rPr>
        <w:t xml:space="preserve"> Social Pedagogy. 2015. </w:t>
      </w:r>
      <w:proofErr w:type="spellStart"/>
      <w:r w:rsidRPr="00D26AE4">
        <w:rPr>
          <w:rFonts w:ascii="Arial" w:hAnsi="Arial" w:cs="Arial"/>
          <w:sz w:val="24"/>
          <w:szCs w:val="24"/>
        </w:rPr>
        <w:t>ThemPra's</w:t>
      </w:r>
      <w:proofErr w:type="spellEnd"/>
      <w:r w:rsidRPr="00D26AE4">
        <w:rPr>
          <w:rFonts w:ascii="Arial" w:hAnsi="Arial" w:cs="Arial"/>
          <w:sz w:val="24"/>
          <w:szCs w:val="24"/>
        </w:rPr>
        <w:t xml:space="preserve"> Diamond Model - </w:t>
      </w:r>
      <w:proofErr w:type="spellStart"/>
      <w:r w:rsidRPr="00D26AE4">
        <w:rPr>
          <w:rFonts w:ascii="Arial" w:hAnsi="Arial" w:cs="Arial"/>
          <w:sz w:val="24"/>
          <w:szCs w:val="24"/>
        </w:rPr>
        <w:t>ThemPra</w:t>
      </w:r>
      <w:proofErr w:type="spellEnd"/>
      <w:r w:rsidRPr="00D26AE4">
        <w:rPr>
          <w:rFonts w:ascii="Arial" w:hAnsi="Arial" w:cs="Arial"/>
          <w:sz w:val="24"/>
          <w:szCs w:val="24"/>
        </w:rPr>
        <w:t xml:space="preserve"> Social Pedagogy. [online] Available at: &lt;http://www.thempra.org.uk/social-pedagogy/key-concepts-in-social-pedagogy/thempras-diamond-model/&gt; [Accessed 11 April 2022].</w:t>
      </w:r>
    </w:p>
    <w:p w14:paraId="29F337BE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>Tones, K. and Green, J., 2004. Health Promotion: planning and strategies. 1st ed. London: Sage publications, pp.8, 9,13.</w:t>
      </w:r>
    </w:p>
    <w:p w14:paraId="72AE3AE7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proofErr w:type="spellStart"/>
      <w:r w:rsidRPr="00D26AE4">
        <w:rPr>
          <w:rFonts w:ascii="Arial" w:hAnsi="Arial" w:cs="Arial"/>
          <w:sz w:val="24"/>
          <w:szCs w:val="24"/>
        </w:rPr>
        <w:t>Trajkoska</w:t>
      </w:r>
      <w:proofErr w:type="spellEnd"/>
      <w:r w:rsidRPr="00D26AE4">
        <w:rPr>
          <w:rFonts w:ascii="Arial" w:hAnsi="Arial" w:cs="Arial"/>
          <w:sz w:val="24"/>
          <w:szCs w:val="24"/>
        </w:rPr>
        <w:t>, B., 2020. How youth workers support the development of youth’s resilience? - Positive Mental Health. [online] Positive Mental Health. Available at: &lt;https://positivementalhealth.eu/2020/12/15/how-youth-workers-support-the-development-of-youths-resilience/&gt; [Accessed 12 April 2022].</w:t>
      </w:r>
    </w:p>
    <w:p w14:paraId="2116A9AE" w14:textId="77777777" w:rsidR="00D26AE4" w:rsidRPr="00D26AE4" w:rsidRDefault="00D26AE4" w:rsidP="00D26AE4">
      <w:pPr>
        <w:shd w:val="clear" w:color="auto" w:fill="FFFFFF"/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</w:pPr>
      <w:r w:rsidRPr="00D26AE4"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  <w:t xml:space="preserve">Ungar, </w:t>
      </w:r>
      <w:proofErr w:type="gramStart"/>
      <w:r w:rsidRPr="00D26AE4"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  <w:t>Michael  (</w:t>
      </w:r>
      <w:proofErr w:type="gramEnd"/>
      <w:r w:rsidRPr="00D26AE4"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  <w:t xml:space="preserve">2013) ‘Resilience, Trauma, Context, and Culture’, Trauma, Violence, &amp; Abuse, 14(3), pp. 255–266. </w:t>
      </w:r>
      <w:proofErr w:type="spellStart"/>
      <w:r w:rsidRPr="00D26AE4"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  <w:t>doi</w:t>
      </w:r>
      <w:proofErr w:type="spellEnd"/>
      <w:r w:rsidRPr="00D26AE4"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  <w:t>: </w:t>
      </w:r>
      <w:hyperlink r:id="rId10" w:history="1">
        <w:r w:rsidRPr="00D26AE4">
          <w:rPr>
            <w:rFonts w:ascii="Arial" w:hAnsi="Arial" w:cs="Arial"/>
            <w:color w:val="006ACC"/>
            <w:sz w:val="24"/>
            <w:szCs w:val="24"/>
            <w:u w:val="single"/>
            <w:shd w:val="clear" w:color="auto" w:fill="FFFFFF"/>
            <w:lang w:val="en-GB"/>
          </w:rPr>
          <w:t>10.1177/1524838013487805</w:t>
        </w:r>
      </w:hyperlink>
      <w:r w:rsidRPr="00D26AE4">
        <w:rPr>
          <w:rFonts w:ascii="Arial" w:hAnsi="Arial" w:cs="Arial"/>
          <w:color w:val="333333"/>
          <w:sz w:val="24"/>
          <w:szCs w:val="24"/>
          <w:shd w:val="clear" w:color="auto" w:fill="FFFFFF"/>
          <w:lang w:val="en-GB"/>
        </w:rPr>
        <w:t>.</w:t>
      </w:r>
    </w:p>
    <w:p w14:paraId="7D783221" w14:textId="77777777" w:rsidR="00D26AE4" w:rsidRPr="00D26AE4" w:rsidRDefault="00D26AE4" w:rsidP="00D26AE4">
      <w:pPr>
        <w:shd w:val="clear" w:color="auto" w:fill="FFFFFF"/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</w:pPr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 xml:space="preserve">Ungar, Michael. (2006). Nurturing Hidden Resilience in At-Risk Youth in Different Cultures. Journal of the Canadian Academy of Child and Adolescent Psychiatry = Journal de </w:t>
      </w:r>
      <w:proofErr w:type="spellStart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>l'Académie</w:t>
      </w:r>
      <w:proofErr w:type="spellEnd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 xml:space="preserve"> </w:t>
      </w:r>
      <w:proofErr w:type="spellStart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>canadienne</w:t>
      </w:r>
      <w:proofErr w:type="spellEnd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 xml:space="preserve"> de </w:t>
      </w:r>
      <w:proofErr w:type="spellStart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>psychiatrie</w:t>
      </w:r>
      <w:proofErr w:type="spellEnd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 xml:space="preserve"> de </w:t>
      </w:r>
      <w:proofErr w:type="spellStart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>l'enfant</w:t>
      </w:r>
      <w:proofErr w:type="spellEnd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 xml:space="preserve"> et de </w:t>
      </w:r>
      <w:proofErr w:type="spellStart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>l'adolescent</w:t>
      </w:r>
      <w:proofErr w:type="spellEnd"/>
      <w:r w:rsidRPr="00D26AE4">
        <w:rPr>
          <w:rFonts w:ascii="Arial" w:eastAsia="Times New Roman" w:hAnsi="Arial" w:cs="Arial"/>
          <w:color w:val="212121"/>
          <w:sz w:val="24"/>
          <w:szCs w:val="24"/>
          <w:lang w:val="en-GB" w:eastAsia="en-GB"/>
        </w:rPr>
        <w:t>. 15. 53-8.</w:t>
      </w:r>
    </w:p>
    <w:p w14:paraId="0728057E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proofErr w:type="spellStart"/>
      <w:r w:rsidRPr="00D26AE4">
        <w:rPr>
          <w:rFonts w:ascii="Arial" w:hAnsi="Arial" w:cs="Arial"/>
          <w:sz w:val="24"/>
          <w:szCs w:val="24"/>
        </w:rPr>
        <w:lastRenderedPageBreak/>
        <w:t>Unicef</w:t>
      </w:r>
      <w:proofErr w:type="spellEnd"/>
      <w:r w:rsidRPr="00D26AE4">
        <w:rPr>
          <w:rFonts w:ascii="Arial" w:hAnsi="Arial" w:cs="Arial"/>
          <w:sz w:val="24"/>
          <w:szCs w:val="24"/>
        </w:rPr>
        <w:t xml:space="preserve"> UK. 1989. UN Convention on the Rights of the Child - UNICEF UK. [online] Available at: &lt;https://www.unicef.org.uk/what-we-do/un-convention-child-rights/&gt; [Accessed 8 April 2022].</w:t>
      </w:r>
    </w:p>
    <w:p w14:paraId="25675CA9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proofErr w:type="spellStart"/>
      <w:r w:rsidRPr="00D26AE4">
        <w:rPr>
          <w:rFonts w:ascii="Arial" w:hAnsi="Arial" w:cs="Arial"/>
          <w:sz w:val="24"/>
          <w:szCs w:val="24"/>
        </w:rPr>
        <w:t>Valamis</w:t>
      </w:r>
      <w:proofErr w:type="spellEnd"/>
      <w:r w:rsidRPr="00D26AE4">
        <w:rPr>
          <w:rFonts w:ascii="Arial" w:hAnsi="Arial" w:cs="Arial"/>
          <w:sz w:val="24"/>
          <w:szCs w:val="24"/>
        </w:rPr>
        <w:t>. 2022. What is Lifelong Learning? Its Importance, Benefits &amp; Examples. [online] Available at: &lt;https://www.valamis.com/hub/lifelong-learning&gt; [Accessed 12 April 2022].</w:t>
      </w:r>
    </w:p>
    <w:p w14:paraId="095A877B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 xml:space="preserve">Western, M. and Tomaszewski, W., 2016. Subjective Wellbeing, Objective </w:t>
      </w:r>
      <w:proofErr w:type="gramStart"/>
      <w:r w:rsidRPr="00D26AE4">
        <w:rPr>
          <w:rFonts w:ascii="Arial" w:hAnsi="Arial" w:cs="Arial"/>
          <w:sz w:val="24"/>
          <w:szCs w:val="24"/>
        </w:rPr>
        <w:t>Wellbeing</w:t>
      </w:r>
      <w:proofErr w:type="gramEnd"/>
      <w:r w:rsidRPr="00D26AE4">
        <w:rPr>
          <w:rFonts w:ascii="Arial" w:hAnsi="Arial" w:cs="Arial"/>
          <w:sz w:val="24"/>
          <w:szCs w:val="24"/>
        </w:rPr>
        <w:t xml:space="preserve"> and Inequality in Australia. PLOS ONE, [online] 11(10), p.e0163345. Available at: &lt;https://journals.plos.org/plosone/article?id=10.1371/journal.pone.0163345&gt; [Accessed 12 April 2022].</w:t>
      </w:r>
    </w:p>
    <w:p w14:paraId="710C231E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>Who.int. 2022. Health and Well-Being. [online] Available at: &lt;https://www.who.int/data/gho/data/major-themes/health-and-well-being&gt; [Accessed 7 April 2022].</w:t>
      </w:r>
    </w:p>
    <w:p w14:paraId="79AC20E5" w14:textId="77777777" w:rsidR="00D26AE4" w:rsidRPr="00D26AE4" w:rsidRDefault="00D26AE4">
      <w:pPr>
        <w:spacing w:after="336" w:line="360" w:lineRule="auto"/>
        <w:rPr>
          <w:rFonts w:ascii="Arial" w:hAnsi="Arial" w:cs="Arial"/>
          <w:sz w:val="24"/>
          <w:szCs w:val="24"/>
        </w:rPr>
      </w:pPr>
      <w:r w:rsidRPr="00D26AE4">
        <w:rPr>
          <w:rFonts w:ascii="Arial" w:hAnsi="Arial" w:cs="Arial"/>
          <w:sz w:val="24"/>
          <w:szCs w:val="24"/>
        </w:rPr>
        <w:t>Youthaccess.org.uk. 2021. Social Prescribing. [online] Available at: &lt;https://www.youthaccess.org.uk/downloads/social-prescribing-briefing-final-updated.pdf&gt; [Accessed 8 April 2022].</w:t>
      </w:r>
      <w:bookmarkEnd w:id="0"/>
    </w:p>
    <w:sectPr w:rsidR="00D26AE4" w:rsidRPr="00D26AE4" w:rsidSect="00FC30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17F62"/>
    <w:rsid w:val="001915A3"/>
    <w:rsid w:val="00217F62"/>
    <w:rsid w:val="00A906D8"/>
    <w:rsid w:val="00AB5A74"/>
    <w:rsid w:val="00C24613"/>
    <w:rsid w:val="00D26AE4"/>
    <w:rsid w:val="00F071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492CE0"/>
  <w15:docId w15:val="{62EEFAB5-7D8B-42E8-AE01-17E45434A0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465E"/>
  </w:style>
  <w:style w:type="paragraph" w:styleId="Heading1">
    <w:name w:val="heading 1"/>
    <w:basedOn w:val="Normal"/>
    <w:next w:val="Normal"/>
    <w:uiPriority w:val="9"/>
    <w:qFormat/>
    <w:rsid w:val="00263428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63428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63428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63428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63428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263428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263428"/>
    <w:pPr>
      <w:keepNext/>
      <w:keepLines/>
      <w:spacing w:before="20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263428"/>
    <w:pPr>
      <w:keepNext/>
      <w:keepLines/>
      <w:spacing w:before="20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263428"/>
    <w:pPr>
      <w:keepNext/>
      <w:keepLines/>
      <w:spacing w:before="20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63428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63428"/>
    <w:rPr>
      <w:rFonts w:asciiTheme="majorHAnsi" w:eastAsiaTheme="majorEastAsia" w:hAnsiTheme="majorHAnsi" w:cstheme="majorBidi"/>
      <w:b/>
      <w:bCs/>
      <w:color w:val="4472C4" w:themeColor="accent1"/>
    </w:rPr>
  </w:style>
  <w:style w:type="character" w:customStyle="1" w:styleId="Heading4Char">
    <w:name w:val="Heading 4 Char"/>
    <w:basedOn w:val="DefaultParagraphFont"/>
    <w:link w:val="Heading4"/>
    <w:uiPriority w:val="9"/>
    <w:rsid w:val="00263428"/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character" w:customStyle="1" w:styleId="Heading5Char">
    <w:name w:val="Heading 5 Char"/>
    <w:basedOn w:val="DefaultParagraphFont"/>
    <w:link w:val="Heading5"/>
    <w:uiPriority w:val="9"/>
    <w:rsid w:val="00263428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rsid w:val="00263428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sid w:val="00263428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rsid w:val="00263428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sid w:val="00263428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86/s12955-020-01423-y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177/0002716203260078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002/ajmg.b.32763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dx.doi.org/10.1037/10034-000" TargetMode="External"/><Relationship Id="rId10" Type="http://schemas.openxmlformats.org/officeDocument/2006/relationships/hyperlink" Target="https://doi.org/10.1177/1524838013487805" TargetMode="External"/><Relationship Id="rId4" Type="http://schemas.openxmlformats.org/officeDocument/2006/relationships/hyperlink" Target="https://doi.org/10.1177/070674371105600504" TargetMode="External"/><Relationship Id="rId9" Type="http://schemas.openxmlformats.org/officeDocument/2006/relationships/hyperlink" Target="https://doi.org/10.1016/j.dr.2007.08.00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1568</Words>
  <Characters>8939</Characters>
  <Application>Microsoft Office Word</Application>
  <DocSecurity>0</DocSecurity>
  <Lines>74</Lines>
  <Paragraphs>20</Paragraphs>
  <ScaleCrop>false</ScaleCrop>
  <Company/>
  <LinksUpToDate>false</LinksUpToDate>
  <CharactersWithSpaces>10487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laura morrissey john</cp:lastModifiedBy>
  <cp:revision>2</cp:revision>
  <dcterms:created xsi:type="dcterms:W3CDTF">2022-04-12T13:21:00Z</dcterms:created>
  <dcterms:modified xsi:type="dcterms:W3CDTF">2022-04-12T13:27:00Z</dcterms:modified>
</cp:coreProperties>
</file>