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C0354" w14:textId="4EFAF538" w:rsidR="0031643F" w:rsidRDefault="0031643F" w:rsidP="0031643F">
      <w:pPr>
        <w:rPr>
          <w:rFonts w:ascii="Arial" w:hAnsi="Arial" w:cs="Arial"/>
          <w:b/>
          <w:bCs/>
          <w:sz w:val="36"/>
          <w:szCs w:val="36"/>
        </w:rPr>
      </w:pPr>
      <w:r>
        <w:rPr>
          <w:rFonts w:ascii="Arial" w:hAnsi="Arial" w:cs="Arial"/>
          <w:b/>
          <w:bCs/>
          <w:noProof/>
          <w:sz w:val="36"/>
          <w:szCs w:val="36"/>
        </w:rPr>
        <w:drawing>
          <wp:inline distT="0" distB="0" distL="0" distR="0" wp14:anchorId="00740E81" wp14:editId="27E54386">
            <wp:extent cx="2914951" cy="1530350"/>
            <wp:effectExtent l="0" t="0" r="0" b="0"/>
            <wp:docPr id="18386758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6081" cy="1551943"/>
                    </a:xfrm>
                    <a:prstGeom prst="rect">
                      <a:avLst/>
                    </a:prstGeom>
                    <a:noFill/>
                  </pic:spPr>
                </pic:pic>
              </a:graphicData>
            </a:graphic>
          </wp:inline>
        </w:drawing>
      </w:r>
    </w:p>
    <w:p w14:paraId="172E787E" w14:textId="77777777" w:rsidR="0031643F" w:rsidRDefault="0031643F" w:rsidP="002D509E">
      <w:pPr>
        <w:jc w:val="center"/>
        <w:rPr>
          <w:rFonts w:ascii="Arial" w:hAnsi="Arial" w:cs="Arial"/>
          <w:b/>
          <w:bCs/>
          <w:sz w:val="36"/>
          <w:szCs w:val="36"/>
        </w:rPr>
      </w:pPr>
    </w:p>
    <w:p w14:paraId="006F0DDE" w14:textId="77777777" w:rsidR="004C1555" w:rsidRDefault="004C1555" w:rsidP="0031643F">
      <w:pPr>
        <w:rPr>
          <w:rFonts w:ascii="Arial" w:hAnsi="Arial" w:cs="Arial"/>
          <w:b/>
          <w:bCs/>
          <w:sz w:val="36"/>
          <w:szCs w:val="36"/>
        </w:rPr>
      </w:pPr>
    </w:p>
    <w:p w14:paraId="52A9FDF4" w14:textId="77777777" w:rsidR="004C1555" w:rsidRDefault="004C1555" w:rsidP="0031643F">
      <w:pPr>
        <w:rPr>
          <w:rFonts w:ascii="Arial" w:hAnsi="Arial" w:cs="Arial"/>
          <w:b/>
          <w:bCs/>
          <w:sz w:val="36"/>
          <w:szCs w:val="36"/>
        </w:rPr>
      </w:pPr>
    </w:p>
    <w:p w14:paraId="0AD73280" w14:textId="3F73A5BC" w:rsidR="0031643F" w:rsidRPr="004C1555" w:rsidRDefault="004C1555" w:rsidP="0031643F">
      <w:pPr>
        <w:rPr>
          <w:rFonts w:ascii="Arial" w:hAnsi="Arial" w:cs="Arial"/>
          <w:b/>
          <w:bCs/>
          <w:sz w:val="22"/>
          <w:szCs w:val="22"/>
        </w:rPr>
      </w:pPr>
      <w:r w:rsidRPr="004C1555">
        <w:rPr>
          <w:rFonts w:ascii="Arial" w:hAnsi="Arial" w:cs="Arial"/>
          <w:b/>
          <w:bCs/>
          <w:sz w:val="22"/>
          <w:szCs w:val="22"/>
        </w:rPr>
        <w:t xml:space="preserve">Module: Introduction to Independente </w:t>
      </w:r>
      <w:r>
        <w:rPr>
          <w:rFonts w:ascii="Arial" w:hAnsi="Arial" w:cs="Arial"/>
          <w:b/>
          <w:bCs/>
          <w:sz w:val="22"/>
          <w:szCs w:val="22"/>
        </w:rPr>
        <w:t>Research Skills</w:t>
      </w:r>
    </w:p>
    <w:p w14:paraId="4C1EBF30" w14:textId="1489F05F" w:rsidR="0031643F" w:rsidRPr="004C1555" w:rsidRDefault="0031643F" w:rsidP="0031643F">
      <w:pPr>
        <w:rPr>
          <w:rFonts w:ascii="Arial" w:hAnsi="Arial" w:cs="Arial"/>
          <w:b/>
          <w:bCs/>
          <w:sz w:val="22"/>
          <w:szCs w:val="22"/>
          <w:lang w:val="pt-PT"/>
        </w:rPr>
      </w:pPr>
      <w:r w:rsidRPr="004C1555">
        <w:rPr>
          <w:rFonts w:ascii="Arial" w:hAnsi="Arial" w:cs="Arial"/>
          <w:b/>
          <w:bCs/>
          <w:sz w:val="22"/>
          <w:szCs w:val="22"/>
          <w:lang w:val="pt-PT"/>
        </w:rPr>
        <w:t>Student Name: Ana Raquel Veloso De Sousa</w:t>
      </w:r>
    </w:p>
    <w:p w14:paraId="7861D739" w14:textId="37C09858" w:rsidR="0031643F" w:rsidRDefault="0031643F" w:rsidP="0031643F">
      <w:pPr>
        <w:rPr>
          <w:rFonts w:ascii="Arial" w:hAnsi="Arial" w:cs="Arial"/>
          <w:b/>
          <w:bCs/>
          <w:sz w:val="22"/>
          <w:szCs w:val="22"/>
        </w:rPr>
      </w:pPr>
      <w:r w:rsidRPr="0031643F">
        <w:rPr>
          <w:rFonts w:ascii="Arial" w:hAnsi="Arial" w:cs="Arial"/>
          <w:b/>
          <w:bCs/>
          <w:sz w:val="22"/>
          <w:szCs w:val="22"/>
        </w:rPr>
        <w:t>Student ID: 2414272</w:t>
      </w:r>
    </w:p>
    <w:p w14:paraId="60F8DCFD" w14:textId="0422AD3C" w:rsidR="0031643F" w:rsidRPr="0031643F" w:rsidRDefault="0031643F" w:rsidP="0031643F">
      <w:pPr>
        <w:rPr>
          <w:rFonts w:ascii="Arial" w:hAnsi="Arial" w:cs="Arial"/>
          <w:b/>
          <w:bCs/>
          <w:sz w:val="22"/>
          <w:szCs w:val="22"/>
        </w:rPr>
      </w:pPr>
      <w:r w:rsidRPr="0031643F">
        <w:rPr>
          <w:rFonts w:ascii="Arial" w:hAnsi="Arial" w:cs="Arial"/>
          <w:b/>
          <w:bCs/>
          <w:sz w:val="22"/>
          <w:szCs w:val="22"/>
        </w:rPr>
        <w:t>Lecturer’s name: Eleni Koutsogeorgou</w:t>
      </w:r>
    </w:p>
    <w:p w14:paraId="657B70B1" w14:textId="3A01AD05" w:rsidR="0031643F" w:rsidRPr="0031643F" w:rsidRDefault="0031643F" w:rsidP="0031643F">
      <w:pPr>
        <w:rPr>
          <w:rFonts w:ascii="Arial" w:hAnsi="Arial" w:cs="Arial"/>
          <w:b/>
          <w:bCs/>
          <w:sz w:val="22"/>
          <w:szCs w:val="22"/>
        </w:rPr>
      </w:pPr>
      <w:r w:rsidRPr="0031643F">
        <w:rPr>
          <w:rFonts w:ascii="Arial" w:hAnsi="Arial" w:cs="Arial"/>
          <w:b/>
          <w:bCs/>
          <w:sz w:val="22"/>
          <w:szCs w:val="22"/>
        </w:rPr>
        <w:t>Date of submission: 1</w:t>
      </w:r>
      <w:r w:rsidR="004C1555">
        <w:rPr>
          <w:rFonts w:ascii="Arial" w:hAnsi="Arial" w:cs="Arial"/>
          <w:b/>
          <w:bCs/>
          <w:sz w:val="22"/>
          <w:szCs w:val="22"/>
        </w:rPr>
        <w:t>4</w:t>
      </w:r>
      <w:r w:rsidRPr="0031643F">
        <w:rPr>
          <w:rFonts w:ascii="Arial" w:hAnsi="Arial" w:cs="Arial"/>
          <w:b/>
          <w:bCs/>
          <w:sz w:val="22"/>
          <w:szCs w:val="22"/>
        </w:rPr>
        <w:t>.0</w:t>
      </w:r>
      <w:r w:rsidR="004C1555">
        <w:rPr>
          <w:rFonts w:ascii="Arial" w:hAnsi="Arial" w:cs="Arial"/>
          <w:b/>
          <w:bCs/>
          <w:sz w:val="22"/>
          <w:szCs w:val="22"/>
        </w:rPr>
        <w:t>8</w:t>
      </w:r>
      <w:r w:rsidRPr="0031643F">
        <w:rPr>
          <w:rFonts w:ascii="Arial" w:hAnsi="Arial" w:cs="Arial"/>
          <w:b/>
          <w:bCs/>
          <w:sz w:val="22"/>
          <w:szCs w:val="22"/>
        </w:rPr>
        <w:t>.2026</w:t>
      </w:r>
    </w:p>
    <w:p w14:paraId="4B9F2CFD" w14:textId="77777777" w:rsidR="0031643F" w:rsidRPr="0031643F" w:rsidRDefault="0031643F" w:rsidP="0031643F">
      <w:pPr>
        <w:rPr>
          <w:rFonts w:ascii="Arial" w:hAnsi="Arial" w:cs="Arial"/>
          <w:b/>
          <w:bCs/>
          <w:sz w:val="22"/>
          <w:szCs w:val="22"/>
        </w:rPr>
      </w:pPr>
    </w:p>
    <w:p w14:paraId="19C53DD4" w14:textId="6EB14A93" w:rsidR="004C1555" w:rsidRDefault="004C1555" w:rsidP="004C1555">
      <w:pPr>
        <w:jc w:val="center"/>
        <w:rPr>
          <w:rFonts w:ascii="Arial" w:hAnsi="Arial" w:cs="Arial"/>
          <w:b/>
          <w:bCs/>
          <w:sz w:val="36"/>
          <w:szCs w:val="36"/>
        </w:rPr>
      </w:pPr>
      <w:r w:rsidRPr="002D509E">
        <w:rPr>
          <w:rFonts w:ascii="Arial" w:hAnsi="Arial" w:cs="Arial"/>
          <w:b/>
          <w:bCs/>
          <w:sz w:val="36"/>
          <w:szCs w:val="36"/>
        </w:rPr>
        <w:t>Patient Wellbeing During Prolonged NHS Waiting Times: A Scoping Review of UK Evidence</w:t>
      </w:r>
    </w:p>
    <w:p w14:paraId="1D156CE5" w14:textId="77777777" w:rsidR="002D509E" w:rsidRDefault="002D509E" w:rsidP="00ED7F8A">
      <w:pPr>
        <w:rPr>
          <w:rFonts w:ascii="Arial" w:hAnsi="Arial" w:cs="Arial"/>
          <w:b/>
          <w:bCs/>
          <w:sz w:val="22"/>
          <w:szCs w:val="22"/>
        </w:rPr>
      </w:pPr>
    </w:p>
    <w:p w14:paraId="33E18972" w14:textId="77777777" w:rsidR="002D509E" w:rsidRDefault="002D509E" w:rsidP="00ED7F8A">
      <w:pPr>
        <w:rPr>
          <w:rFonts w:ascii="Arial" w:hAnsi="Arial" w:cs="Arial"/>
          <w:b/>
          <w:bCs/>
          <w:sz w:val="22"/>
          <w:szCs w:val="22"/>
        </w:rPr>
      </w:pPr>
    </w:p>
    <w:p w14:paraId="58A1D634" w14:textId="77777777" w:rsidR="002D509E" w:rsidRDefault="002D509E" w:rsidP="00ED7F8A">
      <w:pPr>
        <w:rPr>
          <w:rFonts w:ascii="Arial" w:hAnsi="Arial" w:cs="Arial"/>
          <w:b/>
          <w:bCs/>
          <w:sz w:val="22"/>
          <w:szCs w:val="22"/>
        </w:rPr>
      </w:pPr>
    </w:p>
    <w:p w14:paraId="3E03F220" w14:textId="77777777" w:rsidR="002D509E" w:rsidRDefault="002D509E" w:rsidP="00ED7F8A">
      <w:pPr>
        <w:rPr>
          <w:rFonts w:ascii="Arial" w:hAnsi="Arial" w:cs="Arial"/>
          <w:b/>
          <w:bCs/>
          <w:sz w:val="22"/>
          <w:szCs w:val="22"/>
        </w:rPr>
      </w:pPr>
    </w:p>
    <w:p w14:paraId="34700071" w14:textId="77777777" w:rsidR="002D509E" w:rsidRDefault="002D509E" w:rsidP="00ED7F8A">
      <w:pPr>
        <w:rPr>
          <w:rFonts w:ascii="Arial" w:hAnsi="Arial" w:cs="Arial"/>
          <w:b/>
          <w:bCs/>
          <w:sz w:val="22"/>
          <w:szCs w:val="22"/>
        </w:rPr>
      </w:pPr>
    </w:p>
    <w:p w14:paraId="3CA0A480" w14:textId="77777777" w:rsidR="002D509E" w:rsidRDefault="002D509E" w:rsidP="00ED7F8A">
      <w:pPr>
        <w:rPr>
          <w:rFonts w:ascii="Arial" w:hAnsi="Arial" w:cs="Arial"/>
          <w:b/>
          <w:bCs/>
          <w:sz w:val="22"/>
          <w:szCs w:val="22"/>
        </w:rPr>
      </w:pPr>
    </w:p>
    <w:p w14:paraId="4610480E" w14:textId="77777777" w:rsidR="002D509E" w:rsidRDefault="002D509E" w:rsidP="00ED7F8A">
      <w:pPr>
        <w:rPr>
          <w:rFonts w:ascii="Arial" w:hAnsi="Arial" w:cs="Arial"/>
          <w:b/>
          <w:bCs/>
          <w:sz w:val="22"/>
          <w:szCs w:val="22"/>
        </w:rPr>
      </w:pPr>
    </w:p>
    <w:p w14:paraId="655E6015" w14:textId="77777777" w:rsidR="002D509E" w:rsidRDefault="002D509E" w:rsidP="00ED7F8A">
      <w:pPr>
        <w:rPr>
          <w:rFonts w:ascii="Arial" w:hAnsi="Arial" w:cs="Arial"/>
          <w:b/>
          <w:bCs/>
          <w:sz w:val="22"/>
          <w:szCs w:val="22"/>
        </w:rPr>
      </w:pPr>
    </w:p>
    <w:p w14:paraId="34D5C3DA" w14:textId="77777777" w:rsidR="002D509E" w:rsidRDefault="002D509E" w:rsidP="00ED7F8A">
      <w:pPr>
        <w:rPr>
          <w:rFonts w:ascii="Arial" w:hAnsi="Arial" w:cs="Arial"/>
          <w:b/>
          <w:bCs/>
          <w:sz w:val="22"/>
          <w:szCs w:val="22"/>
        </w:rPr>
      </w:pPr>
    </w:p>
    <w:p w14:paraId="044B2C28" w14:textId="77777777" w:rsidR="002D509E" w:rsidRDefault="002D509E" w:rsidP="00ED7F8A">
      <w:pPr>
        <w:rPr>
          <w:rFonts w:ascii="Arial" w:hAnsi="Arial" w:cs="Arial"/>
          <w:b/>
          <w:bCs/>
          <w:sz w:val="22"/>
          <w:szCs w:val="22"/>
        </w:rPr>
      </w:pPr>
    </w:p>
    <w:p w14:paraId="6780AE85" w14:textId="77777777" w:rsidR="002D509E" w:rsidRDefault="002D509E" w:rsidP="00ED7F8A">
      <w:pPr>
        <w:rPr>
          <w:rFonts w:ascii="Arial" w:hAnsi="Arial" w:cs="Arial"/>
          <w:b/>
          <w:bCs/>
          <w:sz w:val="22"/>
          <w:szCs w:val="22"/>
        </w:rPr>
      </w:pPr>
    </w:p>
    <w:p w14:paraId="6E1DE8AE" w14:textId="77777777" w:rsidR="002D509E" w:rsidRDefault="002D509E" w:rsidP="00ED7F8A">
      <w:pPr>
        <w:rPr>
          <w:rFonts w:ascii="Arial" w:hAnsi="Arial" w:cs="Arial"/>
          <w:b/>
          <w:bCs/>
          <w:sz w:val="22"/>
          <w:szCs w:val="22"/>
        </w:rPr>
      </w:pPr>
    </w:p>
    <w:p w14:paraId="6226B9D4" w14:textId="77777777" w:rsidR="002D509E" w:rsidRDefault="002D509E" w:rsidP="00ED7F8A">
      <w:pPr>
        <w:rPr>
          <w:rFonts w:ascii="Arial" w:hAnsi="Arial" w:cs="Arial"/>
          <w:b/>
          <w:bCs/>
          <w:sz w:val="22"/>
          <w:szCs w:val="22"/>
        </w:rPr>
      </w:pPr>
    </w:p>
    <w:p w14:paraId="4AB608FE" w14:textId="77777777" w:rsidR="002D509E" w:rsidRDefault="002D509E" w:rsidP="00ED7F8A">
      <w:pPr>
        <w:rPr>
          <w:rFonts w:ascii="Arial" w:hAnsi="Arial" w:cs="Arial"/>
          <w:b/>
          <w:bCs/>
          <w:sz w:val="22"/>
          <w:szCs w:val="22"/>
        </w:rPr>
      </w:pPr>
    </w:p>
    <w:p w14:paraId="125111FF" w14:textId="77777777" w:rsidR="002D509E" w:rsidRDefault="002D509E" w:rsidP="00ED7F8A">
      <w:pPr>
        <w:rPr>
          <w:rFonts w:ascii="Arial" w:hAnsi="Arial" w:cs="Arial"/>
          <w:b/>
          <w:bCs/>
          <w:sz w:val="22"/>
          <w:szCs w:val="22"/>
        </w:rPr>
      </w:pPr>
    </w:p>
    <w:p w14:paraId="74601223" w14:textId="77777777" w:rsidR="002D509E" w:rsidRDefault="002D509E" w:rsidP="00ED7F8A">
      <w:pPr>
        <w:rPr>
          <w:rFonts w:ascii="Arial" w:hAnsi="Arial" w:cs="Arial"/>
          <w:b/>
          <w:bCs/>
          <w:sz w:val="22"/>
          <w:szCs w:val="22"/>
        </w:rPr>
      </w:pPr>
    </w:p>
    <w:p w14:paraId="5F3002F7" w14:textId="77777777" w:rsidR="002D509E" w:rsidRDefault="002D509E" w:rsidP="00ED7F8A">
      <w:pPr>
        <w:rPr>
          <w:rFonts w:ascii="Arial" w:hAnsi="Arial" w:cs="Arial"/>
          <w:b/>
          <w:bCs/>
          <w:sz w:val="22"/>
          <w:szCs w:val="22"/>
        </w:rPr>
      </w:pPr>
    </w:p>
    <w:p w14:paraId="0F30EE1A" w14:textId="77777777" w:rsidR="002D509E" w:rsidRDefault="002D509E" w:rsidP="00ED7F8A">
      <w:pPr>
        <w:rPr>
          <w:rFonts w:ascii="Arial" w:hAnsi="Arial" w:cs="Arial"/>
          <w:b/>
          <w:bCs/>
          <w:sz w:val="22"/>
          <w:szCs w:val="22"/>
        </w:rPr>
      </w:pPr>
    </w:p>
    <w:p w14:paraId="07B150D9" w14:textId="77777777" w:rsidR="002D509E" w:rsidRDefault="002D509E" w:rsidP="00ED7F8A">
      <w:pPr>
        <w:rPr>
          <w:rFonts w:ascii="Arial" w:hAnsi="Arial" w:cs="Arial"/>
          <w:b/>
          <w:bCs/>
          <w:sz w:val="22"/>
          <w:szCs w:val="22"/>
        </w:rPr>
      </w:pPr>
    </w:p>
    <w:p w14:paraId="5296B673" w14:textId="77777777" w:rsidR="002D509E" w:rsidRDefault="002D509E" w:rsidP="00ED7F8A">
      <w:pPr>
        <w:rPr>
          <w:rFonts w:ascii="Arial" w:hAnsi="Arial" w:cs="Arial"/>
          <w:b/>
          <w:bCs/>
          <w:sz w:val="22"/>
          <w:szCs w:val="22"/>
        </w:rPr>
      </w:pPr>
    </w:p>
    <w:p w14:paraId="5319A39D" w14:textId="77777777" w:rsidR="002D509E" w:rsidRDefault="002D509E" w:rsidP="00ED7F8A">
      <w:pPr>
        <w:rPr>
          <w:rFonts w:ascii="Arial" w:hAnsi="Arial" w:cs="Arial"/>
          <w:b/>
          <w:bCs/>
          <w:sz w:val="22"/>
          <w:szCs w:val="22"/>
        </w:rPr>
      </w:pPr>
    </w:p>
    <w:p w14:paraId="26D28169" w14:textId="77777777" w:rsidR="002D509E" w:rsidRDefault="002D509E" w:rsidP="00ED7F8A">
      <w:pPr>
        <w:rPr>
          <w:rFonts w:ascii="Arial" w:hAnsi="Arial" w:cs="Arial"/>
          <w:b/>
          <w:bCs/>
          <w:sz w:val="22"/>
          <w:szCs w:val="22"/>
        </w:rPr>
      </w:pPr>
    </w:p>
    <w:p w14:paraId="54F50DB4" w14:textId="77777777" w:rsidR="002D509E" w:rsidRDefault="002D509E" w:rsidP="00ED7F8A">
      <w:pPr>
        <w:rPr>
          <w:rFonts w:ascii="Arial" w:hAnsi="Arial" w:cs="Arial"/>
          <w:b/>
          <w:bCs/>
          <w:sz w:val="22"/>
          <w:szCs w:val="22"/>
        </w:rPr>
      </w:pPr>
    </w:p>
    <w:p w14:paraId="3402038E" w14:textId="77777777" w:rsidR="002D509E" w:rsidRDefault="002D509E" w:rsidP="00ED7F8A">
      <w:pPr>
        <w:rPr>
          <w:rFonts w:ascii="Arial" w:hAnsi="Arial" w:cs="Arial"/>
          <w:b/>
          <w:bCs/>
          <w:sz w:val="22"/>
          <w:szCs w:val="22"/>
        </w:rPr>
      </w:pPr>
    </w:p>
    <w:p w14:paraId="1479D330" w14:textId="77777777" w:rsidR="002D509E" w:rsidRDefault="002D509E" w:rsidP="00ED7F8A">
      <w:pPr>
        <w:rPr>
          <w:rFonts w:ascii="Arial" w:hAnsi="Arial" w:cs="Arial"/>
          <w:b/>
          <w:bCs/>
          <w:sz w:val="22"/>
          <w:szCs w:val="22"/>
        </w:rPr>
      </w:pPr>
    </w:p>
    <w:p w14:paraId="59BD3E80" w14:textId="77777777" w:rsidR="002D509E" w:rsidRDefault="002D509E" w:rsidP="00ED7F8A">
      <w:pPr>
        <w:rPr>
          <w:rFonts w:ascii="Arial" w:hAnsi="Arial" w:cs="Arial"/>
          <w:b/>
          <w:bCs/>
          <w:sz w:val="22"/>
          <w:szCs w:val="22"/>
        </w:rPr>
      </w:pPr>
    </w:p>
    <w:p w14:paraId="29B4FE53" w14:textId="77777777" w:rsidR="002D509E" w:rsidRDefault="002D509E" w:rsidP="00ED7F8A">
      <w:pPr>
        <w:rPr>
          <w:rFonts w:ascii="Arial" w:hAnsi="Arial" w:cs="Arial"/>
          <w:b/>
          <w:bCs/>
          <w:sz w:val="22"/>
          <w:szCs w:val="22"/>
        </w:rPr>
      </w:pPr>
    </w:p>
    <w:sdt>
      <w:sdtPr>
        <w:rPr>
          <w:rFonts w:asciiTheme="minorHAnsi" w:eastAsiaTheme="minorHAnsi" w:hAnsiTheme="minorHAnsi" w:cstheme="minorBidi"/>
          <w:color w:val="auto"/>
          <w:kern w:val="2"/>
          <w:sz w:val="24"/>
          <w:szCs w:val="24"/>
          <w:lang w:eastAsia="en-US"/>
          <w14:ligatures w14:val="standardContextual"/>
        </w:rPr>
        <w:id w:val="-147510691"/>
        <w:docPartObj>
          <w:docPartGallery w:val="Table of Contents"/>
          <w:docPartUnique/>
        </w:docPartObj>
      </w:sdtPr>
      <w:sdtEndPr>
        <w:rPr>
          <w:b/>
          <w:bCs/>
        </w:rPr>
      </w:sdtEndPr>
      <w:sdtContent>
        <w:p w14:paraId="68AAEBAE" w14:textId="32210839" w:rsidR="002D509E" w:rsidRDefault="002D509E">
          <w:pPr>
            <w:pStyle w:val="Cabealhodondice"/>
          </w:pPr>
          <w:r>
            <w:t>Table of Contents</w:t>
          </w:r>
        </w:p>
        <w:p w14:paraId="6E05C257" w14:textId="6D44AF33" w:rsidR="002D509E" w:rsidRDefault="002D509E">
          <w:pPr>
            <w:pStyle w:val="ndice1"/>
            <w:tabs>
              <w:tab w:val="right" w:leader="dot" w:pos="9016"/>
            </w:tabs>
            <w:rPr>
              <w:noProof/>
            </w:rPr>
          </w:pPr>
          <w:r>
            <w:fldChar w:fldCharType="begin"/>
          </w:r>
          <w:r>
            <w:instrText xml:space="preserve"> TOC \o "1-3" \h \z \u </w:instrText>
          </w:r>
          <w:r>
            <w:fldChar w:fldCharType="separate"/>
          </w:r>
          <w:hyperlink w:anchor="_Toc232676563" w:history="1">
            <w:r w:rsidRPr="00856D51">
              <w:rPr>
                <w:rStyle w:val="Hiperligao"/>
                <w:noProof/>
              </w:rPr>
              <w:t>1. Introduction</w:t>
            </w:r>
            <w:r>
              <w:rPr>
                <w:noProof/>
                <w:webHidden/>
              </w:rPr>
              <w:tab/>
            </w:r>
            <w:r>
              <w:rPr>
                <w:noProof/>
                <w:webHidden/>
              </w:rPr>
              <w:fldChar w:fldCharType="begin"/>
            </w:r>
            <w:r>
              <w:rPr>
                <w:noProof/>
                <w:webHidden/>
              </w:rPr>
              <w:instrText xml:space="preserve"> PAGEREF _Toc232676563 \h </w:instrText>
            </w:r>
            <w:r>
              <w:rPr>
                <w:noProof/>
                <w:webHidden/>
              </w:rPr>
            </w:r>
            <w:r>
              <w:rPr>
                <w:noProof/>
                <w:webHidden/>
              </w:rPr>
              <w:fldChar w:fldCharType="separate"/>
            </w:r>
            <w:r>
              <w:rPr>
                <w:noProof/>
                <w:webHidden/>
              </w:rPr>
              <w:t>2</w:t>
            </w:r>
            <w:r>
              <w:rPr>
                <w:noProof/>
                <w:webHidden/>
              </w:rPr>
              <w:fldChar w:fldCharType="end"/>
            </w:r>
          </w:hyperlink>
        </w:p>
        <w:p w14:paraId="6DFD6516" w14:textId="13B08C38" w:rsidR="002D509E" w:rsidRDefault="002D509E">
          <w:pPr>
            <w:pStyle w:val="ndice1"/>
            <w:tabs>
              <w:tab w:val="right" w:leader="dot" w:pos="9016"/>
            </w:tabs>
            <w:rPr>
              <w:noProof/>
            </w:rPr>
          </w:pPr>
          <w:hyperlink w:anchor="_Toc232676564" w:history="1">
            <w:r w:rsidRPr="00856D51">
              <w:rPr>
                <w:rStyle w:val="Hiperligao"/>
                <w:noProof/>
              </w:rPr>
              <w:t>Review Question</w:t>
            </w:r>
            <w:r>
              <w:rPr>
                <w:noProof/>
                <w:webHidden/>
              </w:rPr>
              <w:tab/>
            </w:r>
            <w:r>
              <w:rPr>
                <w:noProof/>
                <w:webHidden/>
              </w:rPr>
              <w:fldChar w:fldCharType="begin"/>
            </w:r>
            <w:r>
              <w:rPr>
                <w:noProof/>
                <w:webHidden/>
              </w:rPr>
              <w:instrText xml:space="preserve"> PAGEREF _Toc232676564 \h </w:instrText>
            </w:r>
            <w:r>
              <w:rPr>
                <w:noProof/>
                <w:webHidden/>
              </w:rPr>
            </w:r>
            <w:r>
              <w:rPr>
                <w:noProof/>
                <w:webHidden/>
              </w:rPr>
              <w:fldChar w:fldCharType="separate"/>
            </w:r>
            <w:r>
              <w:rPr>
                <w:noProof/>
                <w:webHidden/>
              </w:rPr>
              <w:t>3</w:t>
            </w:r>
            <w:r>
              <w:rPr>
                <w:noProof/>
                <w:webHidden/>
              </w:rPr>
              <w:fldChar w:fldCharType="end"/>
            </w:r>
          </w:hyperlink>
        </w:p>
        <w:p w14:paraId="2D1BE2F9" w14:textId="53145E27" w:rsidR="002D509E" w:rsidRDefault="002D509E">
          <w:pPr>
            <w:pStyle w:val="ndice1"/>
            <w:tabs>
              <w:tab w:val="right" w:leader="dot" w:pos="9016"/>
            </w:tabs>
            <w:rPr>
              <w:noProof/>
            </w:rPr>
          </w:pPr>
          <w:hyperlink w:anchor="_Toc232676565" w:history="1">
            <w:r w:rsidRPr="00856D51">
              <w:rPr>
                <w:rStyle w:val="Hiperligao"/>
                <w:noProof/>
              </w:rPr>
              <w:t>Review Objectives</w:t>
            </w:r>
            <w:r>
              <w:rPr>
                <w:noProof/>
                <w:webHidden/>
              </w:rPr>
              <w:tab/>
            </w:r>
            <w:r>
              <w:rPr>
                <w:noProof/>
                <w:webHidden/>
              </w:rPr>
              <w:fldChar w:fldCharType="begin"/>
            </w:r>
            <w:r>
              <w:rPr>
                <w:noProof/>
                <w:webHidden/>
              </w:rPr>
              <w:instrText xml:space="preserve"> PAGEREF _Toc232676565 \h </w:instrText>
            </w:r>
            <w:r>
              <w:rPr>
                <w:noProof/>
                <w:webHidden/>
              </w:rPr>
            </w:r>
            <w:r>
              <w:rPr>
                <w:noProof/>
                <w:webHidden/>
              </w:rPr>
              <w:fldChar w:fldCharType="separate"/>
            </w:r>
            <w:r>
              <w:rPr>
                <w:noProof/>
                <w:webHidden/>
              </w:rPr>
              <w:t>3</w:t>
            </w:r>
            <w:r>
              <w:rPr>
                <w:noProof/>
                <w:webHidden/>
              </w:rPr>
              <w:fldChar w:fldCharType="end"/>
            </w:r>
          </w:hyperlink>
        </w:p>
        <w:p w14:paraId="21DF262D" w14:textId="1D571A06" w:rsidR="002D509E" w:rsidRDefault="002D509E">
          <w:pPr>
            <w:pStyle w:val="ndice1"/>
            <w:tabs>
              <w:tab w:val="right" w:leader="dot" w:pos="9016"/>
            </w:tabs>
            <w:rPr>
              <w:noProof/>
            </w:rPr>
          </w:pPr>
          <w:hyperlink w:anchor="_Toc232676566" w:history="1">
            <w:r w:rsidRPr="00856D51">
              <w:rPr>
                <w:rStyle w:val="Hiperligao"/>
                <w:noProof/>
              </w:rPr>
              <w:t>2. Background</w:t>
            </w:r>
            <w:r>
              <w:rPr>
                <w:noProof/>
                <w:webHidden/>
              </w:rPr>
              <w:tab/>
            </w:r>
            <w:r>
              <w:rPr>
                <w:noProof/>
                <w:webHidden/>
              </w:rPr>
              <w:fldChar w:fldCharType="begin"/>
            </w:r>
            <w:r>
              <w:rPr>
                <w:noProof/>
                <w:webHidden/>
              </w:rPr>
              <w:instrText xml:space="preserve"> PAGEREF _Toc232676566 \h </w:instrText>
            </w:r>
            <w:r>
              <w:rPr>
                <w:noProof/>
                <w:webHidden/>
              </w:rPr>
            </w:r>
            <w:r>
              <w:rPr>
                <w:noProof/>
                <w:webHidden/>
              </w:rPr>
              <w:fldChar w:fldCharType="separate"/>
            </w:r>
            <w:r>
              <w:rPr>
                <w:noProof/>
                <w:webHidden/>
              </w:rPr>
              <w:t>3</w:t>
            </w:r>
            <w:r>
              <w:rPr>
                <w:noProof/>
                <w:webHidden/>
              </w:rPr>
              <w:fldChar w:fldCharType="end"/>
            </w:r>
          </w:hyperlink>
        </w:p>
        <w:p w14:paraId="08C85D46" w14:textId="315C3DF7" w:rsidR="002D509E" w:rsidRDefault="002D509E">
          <w:pPr>
            <w:pStyle w:val="ndice1"/>
            <w:tabs>
              <w:tab w:val="right" w:leader="dot" w:pos="9016"/>
            </w:tabs>
            <w:rPr>
              <w:noProof/>
            </w:rPr>
          </w:pPr>
          <w:hyperlink w:anchor="_Toc232676567" w:history="1">
            <w:r w:rsidRPr="00856D51">
              <w:rPr>
                <w:rStyle w:val="Hiperligao"/>
                <w:noProof/>
              </w:rPr>
              <w:t>3. Methods and Ethical Considerations</w:t>
            </w:r>
            <w:r>
              <w:rPr>
                <w:noProof/>
                <w:webHidden/>
              </w:rPr>
              <w:tab/>
            </w:r>
            <w:r>
              <w:rPr>
                <w:noProof/>
                <w:webHidden/>
              </w:rPr>
              <w:fldChar w:fldCharType="begin"/>
            </w:r>
            <w:r>
              <w:rPr>
                <w:noProof/>
                <w:webHidden/>
              </w:rPr>
              <w:instrText xml:space="preserve"> PAGEREF _Toc232676567 \h </w:instrText>
            </w:r>
            <w:r>
              <w:rPr>
                <w:noProof/>
                <w:webHidden/>
              </w:rPr>
            </w:r>
            <w:r>
              <w:rPr>
                <w:noProof/>
                <w:webHidden/>
              </w:rPr>
              <w:fldChar w:fldCharType="separate"/>
            </w:r>
            <w:r>
              <w:rPr>
                <w:noProof/>
                <w:webHidden/>
              </w:rPr>
              <w:t>5</w:t>
            </w:r>
            <w:r>
              <w:rPr>
                <w:noProof/>
                <w:webHidden/>
              </w:rPr>
              <w:fldChar w:fldCharType="end"/>
            </w:r>
          </w:hyperlink>
        </w:p>
        <w:p w14:paraId="09AF0081" w14:textId="3BEE157A" w:rsidR="002D509E" w:rsidRDefault="002D509E">
          <w:pPr>
            <w:pStyle w:val="ndice2"/>
            <w:tabs>
              <w:tab w:val="right" w:leader="dot" w:pos="9016"/>
            </w:tabs>
            <w:rPr>
              <w:noProof/>
            </w:rPr>
          </w:pPr>
          <w:hyperlink w:anchor="_Toc232676568" w:history="1">
            <w:r w:rsidRPr="00856D51">
              <w:rPr>
                <w:rStyle w:val="Hiperligao"/>
                <w:noProof/>
              </w:rPr>
              <w:t>3.1 Research Design</w:t>
            </w:r>
            <w:r>
              <w:rPr>
                <w:noProof/>
                <w:webHidden/>
              </w:rPr>
              <w:tab/>
            </w:r>
            <w:r>
              <w:rPr>
                <w:noProof/>
                <w:webHidden/>
              </w:rPr>
              <w:fldChar w:fldCharType="begin"/>
            </w:r>
            <w:r>
              <w:rPr>
                <w:noProof/>
                <w:webHidden/>
              </w:rPr>
              <w:instrText xml:space="preserve"> PAGEREF _Toc232676568 \h </w:instrText>
            </w:r>
            <w:r>
              <w:rPr>
                <w:noProof/>
                <w:webHidden/>
              </w:rPr>
            </w:r>
            <w:r>
              <w:rPr>
                <w:noProof/>
                <w:webHidden/>
              </w:rPr>
              <w:fldChar w:fldCharType="separate"/>
            </w:r>
            <w:r>
              <w:rPr>
                <w:noProof/>
                <w:webHidden/>
              </w:rPr>
              <w:t>5</w:t>
            </w:r>
            <w:r>
              <w:rPr>
                <w:noProof/>
                <w:webHidden/>
              </w:rPr>
              <w:fldChar w:fldCharType="end"/>
            </w:r>
          </w:hyperlink>
        </w:p>
        <w:p w14:paraId="19B2FF93" w14:textId="11CF99BA" w:rsidR="002D509E" w:rsidRDefault="002D509E">
          <w:pPr>
            <w:pStyle w:val="ndice2"/>
            <w:tabs>
              <w:tab w:val="right" w:leader="dot" w:pos="9016"/>
            </w:tabs>
            <w:rPr>
              <w:noProof/>
            </w:rPr>
          </w:pPr>
          <w:hyperlink w:anchor="_Toc232676569" w:history="1">
            <w:r w:rsidRPr="00856D51">
              <w:rPr>
                <w:rStyle w:val="Hiperligao"/>
                <w:noProof/>
              </w:rPr>
              <w:t>3.2 Search Strategy</w:t>
            </w:r>
            <w:r>
              <w:rPr>
                <w:noProof/>
                <w:webHidden/>
              </w:rPr>
              <w:tab/>
            </w:r>
            <w:r>
              <w:rPr>
                <w:noProof/>
                <w:webHidden/>
              </w:rPr>
              <w:fldChar w:fldCharType="begin"/>
            </w:r>
            <w:r>
              <w:rPr>
                <w:noProof/>
                <w:webHidden/>
              </w:rPr>
              <w:instrText xml:space="preserve"> PAGEREF _Toc232676569 \h </w:instrText>
            </w:r>
            <w:r>
              <w:rPr>
                <w:noProof/>
                <w:webHidden/>
              </w:rPr>
            </w:r>
            <w:r>
              <w:rPr>
                <w:noProof/>
                <w:webHidden/>
              </w:rPr>
              <w:fldChar w:fldCharType="separate"/>
            </w:r>
            <w:r>
              <w:rPr>
                <w:noProof/>
                <w:webHidden/>
              </w:rPr>
              <w:t>5</w:t>
            </w:r>
            <w:r>
              <w:rPr>
                <w:noProof/>
                <w:webHidden/>
              </w:rPr>
              <w:fldChar w:fldCharType="end"/>
            </w:r>
          </w:hyperlink>
        </w:p>
        <w:p w14:paraId="0303726A" w14:textId="6610A057" w:rsidR="002D509E" w:rsidRDefault="002D509E">
          <w:pPr>
            <w:pStyle w:val="ndice2"/>
            <w:tabs>
              <w:tab w:val="right" w:leader="dot" w:pos="9016"/>
            </w:tabs>
            <w:rPr>
              <w:noProof/>
            </w:rPr>
          </w:pPr>
          <w:hyperlink w:anchor="_Toc232676570" w:history="1">
            <w:r w:rsidRPr="00856D51">
              <w:rPr>
                <w:rStyle w:val="Hiperligao"/>
                <w:noProof/>
              </w:rPr>
              <w:t>3.3 Inclusion and Exclusion Criteria</w:t>
            </w:r>
            <w:r>
              <w:rPr>
                <w:noProof/>
                <w:webHidden/>
              </w:rPr>
              <w:tab/>
            </w:r>
            <w:r>
              <w:rPr>
                <w:noProof/>
                <w:webHidden/>
              </w:rPr>
              <w:fldChar w:fldCharType="begin"/>
            </w:r>
            <w:r>
              <w:rPr>
                <w:noProof/>
                <w:webHidden/>
              </w:rPr>
              <w:instrText xml:space="preserve"> PAGEREF _Toc232676570 \h </w:instrText>
            </w:r>
            <w:r>
              <w:rPr>
                <w:noProof/>
                <w:webHidden/>
              </w:rPr>
            </w:r>
            <w:r>
              <w:rPr>
                <w:noProof/>
                <w:webHidden/>
              </w:rPr>
              <w:fldChar w:fldCharType="separate"/>
            </w:r>
            <w:r>
              <w:rPr>
                <w:noProof/>
                <w:webHidden/>
              </w:rPr>
              <w:t>6</w:t>
            </w:r>
            <w:r>
              <w:rPr>
                <w:noProof/>
                <w:webHidden/>
              </w:rPr>
              <w:fldChar w:fldCharType="end"/>
            </w:r>
          </w:hyperlink>
        </w:p>
        <w:p w14:paraId="3648EEFA" w14:textId="15E62CC2" w:rsidR="002D509E" w:rsidRDefault="002D509E">
          <w:pPr>
            <w:pStyle w:val="ndice2"/>
            <w:tabs>
              <w:tab w:val="right" w:leader="dot" w:pos="9016"/>
            </w:tabs>
            <w:rPr>
              <w:noProof/>
            </w:rPr>
          </w:pPr>
          <w:hyperlink w:anchor="_Toc232676571" w:history="1">
            <w:r w:rsidRPr="00856D51">
              <w:rPr>
                <w:rStyle w:val="Hiperligao"/>
                <w:noProof/>
              </w:rPr>
              <w:t>3.4 Data Extraction and Analysis</w:t>
            </w:r>
            <w:r>
              <w:rPr>
                <w:noProof/>
                <w:webHidden/>
              </w:rPr>
              <w:tab/>
            </w:r>
            <w:r>
              <w:rPr>
                <w:noProof/>
                <w:webHidden/>
              </w:rPr>
              <w:fldChar w:fldCharType="begin"/>
            </w:r>
            <w:r>
              <w:rPr>
                <w:noProof/>
                <w:webHidden/>
              </w:rPr>
              <w:instrText xml:space="preserve"> PAGEREF _Toc232676571 \h </w:instrText>
            </w:r>
            <w:r>
              <w:rPr>
                <w:noProof/>
                <w:webHidden/>
              </w:rPr>
            </w:r>
            <w:r>
              <w:rPr>
                <w:noProof/>
                <w:webHidden/>
              </w:rPr>
              <w:fldChar w:fldCharType="separate"/>
            </w:r>
            <w:r>
              <w:rPr>
                <w:noProof/>
                <w:webHidden/>
              </w:rPr>
              <w:t>7</w:t>
            </w:r>
            <w:r>
              <w:rPr>
                <w:noProof/>
                <w:webHidden/>
              </w:rPr>
              <w:fldChar w:fldCharType="end"/>
            </w:r>
          </w:hyperlink>
        </w:p>
        <w:p w14:paraId="2704B594" w14:textId="243A5800" w:rsidR="002D509E" w:rsidRDefault="002D509E">
          <w:pPr>
            <w:pStyle w:val="ndice2"/>
            <w:tabs>
              <w:tab w:val="right" w:leader="dot" w:pos="9016"/>
            </w:tabs>
            <w:rPr>
              <w:noProof/>
            </w:rPr>
          </w:pPr>
          <w:hyperlink w:anchor="_Toc232676572" w:history="1">
            <w:r w:rsidRPr="00856D51">
              <w:rPr>
                <w:rStyle w:val="Hiperligao"/>
                <w:noProof/>
              </w:rPr>
              <w:t>3.5 Ethical Considerations</w:t>
            </w:r>
            <w:r>
              <w:rPr>
                <w:noProof/>
                <w:webHidden/>
              </w:rPr>
              <w:tab/>
            </w:r>
            <w:r>
              <w:rPr>
                <w:noProof/>
                <w:webHidden/>
              </w:rPr>
              <w:fldChar w:fldCharType="begin"/>
            </w:r>
            <w:r>
              <w:rPr>
                <w:noProof/>
                <w:webHidden/>
              </w:rPr>
              <w:instrText xml:space="preserve"> PAGEREF _Toc232676572 \h </w:instrText>
            </w:r>
            <w:r>
              <w:rPr>
                <w:noProof/>
                <w:webHidden/>
              </w:rPr>
            </w:r>
            <w:r>
              <w:rPr>
                <w:noProof/>
                <w:webHidden/>
              </w:rPr>
              <w:fldChar w:fldCharType="separate"/>
            </w:r>
            <w:r>
              <w:rPr>
                <w:noProof/>
                <w:webHidden/>
              </w:rPr>
              <w:t>7</w:t>
            </w:r>
            <w:r>
              <w:rPr>
                <w:noProof/>
                <w:webHidden/>
              </w:rPr>
              <w:fldChar w:fldCharType="end"/>
            </w:r>
          </w:hyperlink>
        </w:p>
        <w:p w14:paraId="7AB6C78D" w14:textId="7FFDE301" w:rsidR="002D509E" w:rsidRDefault="002D509E">
          <w:pPr>
            <w:pStyle w:val="ndice1"/>
            <w:tabs>
              <w:tab w:val="right" w:leader="dot" w:pos="9016"/>
            </w:tabs>
            <w:rPr>
              <w:noProof/>
            </w:rPr>
          </w:pPr>
          <w:hyperlink w:anchor="_Toc232676573" w:history="1">
            <w:r w:rsidRPr="00856D51">
              <w:rPr>
                <w:rStyle w:val="Hiperligao"/>
                <w:noProof/>
              </w:rPr>
              <w:t>4. Results</w:t>
            </w:r>
            <w:r>
              <w:rPr>
                <w:noProof/>
                <w:webHidden/>
              </w:rPr>
              <w:tab/>
            </w:r>
            <w:r>
              <w:rPr>
                <w:noProof/>
                <w:webHidden/>
              </w:rPr>
              <w:fldChar w:fldCharType="begin"/>
            </w:r>
            <w:r>
              <w:rPr>
                <w:noProof/>
                <w:webHidden/>
              </w:rPr>
              <w:instrText xml:space="preserve"> PAGEREF _Toc232676573 \h </w:instrText>
            </w:r>
            <w:r>
              <w:rPr>
                <w:noProof/>
                <w:webHidden/>
              </w:rPr>
            </w:r>
            <w:r>
              <w:rPr>
                <w:noProof/>
                <w:webHidden/>
              </w:rPr>
              <w:fldChar w:fldCharType="separate"/>
            </w:r>
            <w:r>
              <w:rPr>
                <w:noProof/>
                <w:webHidden/>
              </w:rPr>
              <w:t>8</w:t>
            </w:r>
            <w:r>
              <w:rPr>
                <w:noProof/>
                <w:webHidden/>
              </w:rPr>
              <w:fldChar w:fldCharType="end"/>
            </w:r>
          </w:hyperlink>
        </w:p>
        <w:p w14:paraId="511275CA" w14:textId="2CE92788" w:rsidR="002D509E" w:rsidRDefault="002D509E">
          <w:pPr>
            <w:pStyle w:val="ndice1"/>
            <w:tabs>
              <w:tab w:val="right" w:leader="dot" w:pos="9016"/>
            </w:tabs>
            <w:rPr>
              <w:noProof/>
            </w:rPr>
          </w:pPr>
          <w:hyperlink w:anchor="_Toc232676574" w:history="1">
            <w:r w:rsidRPr="00856D51">
              <w:rPr>
                <w:rStyle w:val="Hiperligao"/>
                <w:noProof/>
              </w:rPr>
              <w:t>5. Discussion</w:t>
            </w:r>
            <w:r>
              <w:rPr>
                <w:noProof/>
                <w:webHidden/>
              </w:rPr>
              <w:tab/>
            </w:r>
            <w:r>
              <w:rPr>
                <w:noProof/>
                <w:webHidden/>
              </w:rPr>
              <w:fldChar w:fldCharType="begin"/>
            </w:r>
            <w:r>
              <w:rPr>
                <w:noProof/>
                <w:webHidden/>
              </w:rPr>
              <w:instrText xml:space="preserve"> PAGEREF _Toc232676574 \h </w:instrText>
            </w:r>
            <w:r>
              <w:rPr>
                <w:noProof/>
                <w:webHidden/>
              </w:rPr>
            </w:r>
            <w:r>
              <w:rPr>
                <w:noProof/>
                <w:webHidden/>
              </w:rPr>
              <w:fldChar w:fldCharType="separate"/>
            </w:r>
            <w:r>
              <w:rPr>
                <w:noProof/>
                <w:webHidden/>
              </w:rPr>
              <w:t>10</w:t>
            </w:r>
            <w:r>
              <w:rPr>
                <w:noProof/>
                <w:webHidden/>
              </w:rPr>
              <w:fldChar w:fldCharType="end"/>
            </w:r>
          </w:hyperlink>
        </w:p>
        <w:p w14:paraId="4C3DB31A" w14:textId="5E3924EF" w:rsidR="002D509E" w:rsidRDefault="002D509E">
          <w:pPr>
            <w:pStyle w:val="ndice1"/>
            <w:tabs>
              <w:tab w:val="right" w:leader="dot" w:pos="9016"/>
            </w:tabs>
            <w:rPr>
              <w:noProof/>
            </w:rPr>
          </w:pPr>
          <w:hyperlink w:anchor="_Toc232676575" w:history="1">
            <w:r w:rsidRPr="00856D51">
              <w:rPr>
                <w:rStyle w:val="Hiperligao"/>
                <w:noProof/>
              </w:rPr>
              <w:t>6. Conclusion and Recommendations</w:t>
            </w:r>
            <w:r>
              <w:rPr>
                <w:noProof/>
                <w:webHidden/>
              </w:rPr>
              <w:tab/>
            </w:r>
            <w:r>
              <w:rPr>
                <w:noProof/>
                <w:webHidden/>
              </w:rPr>
              <w:fldChar w:fldCharType="begin"/>
            </w:r>
            <w:r>
              <w:rPr>
                <w:noProof/>
                <w:webHidden/>
              </w:rPr>
              <w:instrText xml:space="preserve"> PAGEREF _Toc232676575 \h </w:instrText>
            </w:r>
            <w:r>
              <w:rPr>
                <w:noProof/>
                <w:webHidden/>
              </w:rPr>
            </w:r>
            <w:r>
              <w:rPr>
                <w:noProof/>
                <w:webHidden/>
              </w:rPr>
              <w:fldChar w:fldCharType="separate"/>
            </w:r>
            <w:r>
              <w:rPr>
                <w:noProof/>
                <w:webHidden/>
              </w:rPr>
              <w:t>11</w:t>
            </w:r>
            <w:r>
              <w:rPr>
                <w:noProof/>
                <w:webHidden/>
              </w:rPr>
              <w:fldChar w:fldCharType="end"/>
            </w:r>
          </w:hyperlink>
        </w:p>
        <w:p w14:paraId="760CDBC9" w14:textId="3E5890B6" w:rsidR="002D509E" w:rsidRDefault="002D509E">
          <w:pPr>
            <w:pStyle w:val="ndice1"/>
            <w:tabs>
              <w:tab w:val="right" w:leader="dot" w:pos="9016"/>
            </w:tabs>
            <w:rPr>
              <w:noProof/>
            </w:rPr>
          </w:pPr>
          <w:hyperlink w:anchor="_Toc232676576" w:history="1">
            <w:r w:rsidRPr="00856D51">
              <w:rPr>
                <w:rStyle w:val="Hiperligao"/>
                <w:noProof/>
              </w:rPr>
              <w:t>Reference List</w:t>
            </w:r>
            <w:r>
              <w:rPr>
                <w:noProof/>
                <w:webHidden/>
              </w:rPr>
              <w:tab/>
            </w:r>
            <w:r>
              <w:rPr>
                <w:noProof/>
                <w:webHidden/>
              </w:rPr>
              <w:fldChar w:fldCharType="begin"/>
            </w:r>
            <w:r>
              <w:rPr>
                <w:noProof/>
                <w:webHidden/>
              </w:rPr>
              <w:instrText xml:space="preserve"> PAGEREF _Toc232676576 \h </w:instrText>
            </w:r>
            <w:r>
              <w:rPr>
                <w:noProof/>
                <w:webHidden/>
              </w:rPr>
            </w:r>
            <w:r>
              <w:rPr>
                <w:noProof/>
                <w:webHidden/>
              </w:rPr>
              <w:fldChar w:fldCharType="separate"/>
            </w:r>
            <w:r>
              <w:rPr>
                <w:noProof/>
                <w:webHidden/>
              </w:rPr>
              <w:t>13</w:t>
            </w:r>
            <w:r>
              <w:rPr>
                <w:noProof/>
                <w:webHidden/>
              </w:rPr>
              <w:fldChar w:fldCharType="end"/>
            </w:r>
          </w:hyperlink>
        </w:p>
        <w:p w14:paraId="0020581E" w14:textId="49DCF8A1" w:rsidR="002D509E" w:rsidRDefault="002D509E">
          <w:r>
            <w:rPr>
              <w:b/>
              <w:bCs/>
            </w:rPr>
            <w:fldChar w:fldCharType="end"/>
          </w:r>
        </w:p>
      </w:sdtContent>
    </w:sdt>
    <w:p w14:paraId="0F6CD031" w14:textId="49DCF8A1" w:rsidR="00ED7F8A" w:rsidRPr="002D509E" w:rsidRDefault="00ED7F8A" w:rsidP="002D509E">
      <w:pPr>
        <w:pStyle w:val="Ttulo1"/>
      </w:pPr>
      <w:bookmarkStart w:id="0" w:name="_Toc232676563"/>
      <w:r w:rsidRPr="002D509E">
        <w:lastRenderedPageBreak/>
        <w:t>1. Introduction</w:t>
      </w:r>
      <w:bookmarkEnd w:id="0"/>
    </w:p>
    <w:p w14:paraId="5C7B9B0D"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Long waiting lists within the National Health Service (NHS) have become one of the most pressing challenges facing healthcare in the United Kingdom. Although waiting lists have historically been used to manage demand for healthcare services, the unprecedented growth in the number of patients waiting for treatment has raised serious concerns about the consequences for patient health and wellbeing. Recent evidence indicates that more than 7.5 million referrals are currently waiting for treatment across NHS services, representing one of the highest levels ever recorded (Royal College of Psychiatrists, 2025). At the same time, many patients are experiencing increasingly lengthy delays before receiving diagnostic tests, specialist appointments, surgical procedures and mental health interventions.</w:t>
      </w:r>
    </w:p>
    <w:p w14:paraId="0CF824DB"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Patient wellbeing is a broad and multidimensional concept that refers to an individual's physical, psychological and social health. The World Health Organization (WHO, 2022) defines health as a state of complete physical, mental and social wellbeing rather than merely the absence of disease. Consequently, prolonged periods of waiting for healthcare may affect patients in numerous ways, including worsening physical symptoms, increased anxiety and depression, reduced quality of life, social isolation and financial hardship. Waiting for treatment is therefore not simply an administrative process but a lived experience that may significantly influence an individual's overall wellbeing.</w:t>
      </w:r>
    </w:p>
    <w:p w14:paraId="26AAA4F3"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Within the NHS, waiting lists exist across a wide range of services, including elective surgery, mental health care, diagnostic investigations and community services. While considerable attention has been given to reducing waiting times and improving service efficiency, less attention has historically been paid to understanding how patients experience waiting and what impact prolonged waits have on their lives. The Health Foundation (2025) has highlighted an important evidence gap concerning the health effects of long waiting times and the characteristics of patients who are most vulnerable to harm while waiting.</w:t>
      </w:r>
    </w:p>
    <w:p w14:paraId="7B86CB60"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Emerging evidence suggests that waiting is associated with a range of negative consequences. A qualitative study conducted in a London NHS Trust found that patients awaiting orthopaedic treatment experienced persistent pain, declining physical function, emotional distress, disruption to family life and reduced trust in healthcare services (Chan et al., 2025). Similarly, evidence from mental health services demonstrates that prolonged waiting periods are associated with deterioration in mental wellbeing and an increased risk of crisis situations among vulnerable individuals (Rethink Mental Illness, 2025). These findings indicate that waiting is an active experience that can influence health outcomes long before treatment begins.</w:t>
      </w:r>
    </w:p>
    <w:p w14:paraId="7D351E8D"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lastRenderedPageBreak/>
        <w:t>The issue of waiting lists has become increasingly important within health and social care because of demographic changes, increasing healthcare demand, workforce shortages and the ongoing pressures experienced by the NHS following the COVID-19 pandemic. Long waits may also contribute to health inequalities, as patients with fewer financial resources, poorer health status or limited social support may be less able to cope with the physical and emotional consequences of delayed treatment. Therefore, understanding the impact of waiting lists is essential for improving patient-centred care and developing supportive interventions during waiting periods.</w:t>
      </w:r>
    </w:p>
    <w:p w14:paraId="79E21103"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This study adopts a scoping review approach to explore the available evidence regarding the impact of long waiting lists on patient wellbeing within the UK healthcare system. Scoping reviews are particularly appropriate when the purpose is to map a broad area of research, identify key concepts and examine gaps in the existing literature (Arksey and O'Malley, 2005).</w:t>
      </w:r>
    </w:p>
    <w:p w14:paraId="70B3A1CA" w14:textId="77777777" w:rsidR="00ED7F8A" w:rsidRPr="002D509E" w:rsidRDefault="00ED7F8A" w:rsidP="002D509E">
      <w:pPr>
        <w:pStyle w:val="Ttulo1"/>
      </w:pPr>
      <w:bookmarkStart w:id="1" w:name="_Toc232676564"/>
      <w:r w:rsidRPr="002D509E">
        <w:t>Review Question</w:t>
      </w:r>
      <w:bookmarkEnd w:id="1"/>
    </w:p>
    <w:p w14:paraId="3652AC68"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What does existing literature reveal about the impact of long waiting lists on patient wellbeing in the United Kingdom, and what are the key dimensions of this impact?</w:t>
      </w:r>
    </w:p>
    <w:p w14:paraId="1CACEC86" w14:textId="77777777" w:rsidR="00ED7F8A" w:rsidRPr="002D509E" w:rsidRDefault="00ED7F8A" w:rsidP="002D509E">
      <w:pPr>
        <w:pStyle w:val="Ttulo1"/>
      </w:pPr>
      <w:bookmarkStart w:id="2" w:name="_Toc232676565"/>
      <w:r w:rsidRPr="002D509E">
        <w:t>Review Objectives</w:t>
      </w:r>
      <w:bookmarkEnd w:id="2"/>
    </w:p>
    <w:p w14:paraId="30FA82E2"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objectives of this scoping review are:</w:t>
      </w:r>
    </w:p>
    <w:p w14:paraId="157BE668" w14:textId="77777777" w:rsidR="00ED7F8A" w:rsidRPr="002D509E" w:rsidRDefault="00ED7F8A" w:rsidP="004C1555">
      <w:pPr>
        <w:numPr>
          <w:ilvl w:val="0"/>
          <w:numId w:val="1"/>
        </w:numPr>
        <w:spacing w:line="360" w:lineRule="auto"/>
        <w:rPr>
          <w:rFonts w:ascii="Arial" w:hAnsi="Arial" w:cs="Arial"/>
          <w:sz w:val="22"/>
          <w:szCs w:val="22"/>
        </w:rPr>
      </w:pPr>
      <w:r w:rsidRPr="002D509E">
        <w:rPr>
          <w:rFonts w:ascii="Arial" w:hAnsi="Arial" w:cs="Arial"/>
          <w:sz w:val="22"/>
          <w:szCs w:val="22"/>
        </w:rPr>
        <w:t>To identify and map the physical, psychological and social wellbeing impacts experienced by patients awaiting NHS treatment.</w:t>
      </w:r>
    </w:p>
    <w:p w14:paraId="4D42D023" w14:textId="77777777" w:rsidR="00ED7F8A" w:rsidRPr="002D509E" w:rsidRDefault="00ED7F8A" w:rsidP="004C1555">
      <w:pPr>
        <w:numPr>
          <w:ilvl w:val="0"/>
          <w:numId w:val="1"/>
        </w:numPr>
        <w:spacing w:line="360" w:lineRule="auto"/>
        <w:rPr>
          <w:rFonts w:ascii="Arial" w:hAnsi="Arial" w:cs="Arial"/>
          <w:sz w:val="22"/>
          <w:szCs w:val="22"/>
        </w:rPr>
      </w:pPr>
      <w:r w:rsidRPr="002D509E">
        <w:rPr>
          <w:rFonts w:ascii="Arial" w:hAnsi="Arial" w:cs="Arial"/>
          <w:sz w:val="22"/>
          <w:szCs w:val="22"/>
        </w:rPr>
        <w:t>To explore demographic and socioeconomic factors influencing the severity of these impacts.</w:t>
      </w:r>
    </w:p>
    <w:p w14:paraId="5057FE15" w14:textId="25640232" w:rsidR="00ED7F8A" w:rsidRPr="002D509E" w:rsidRDefault="00ED7F8A" w:rsidP="004C1555">
      <w:pPr>
        <w:numPr>
          <w:ilvl w:val="0"/>
          <w:numId w:val="1"/>
        </w:numPr>
        <w:spacing w:line="360" w:lineRule="auto"/>
        <w:rPr>
          <w:rFonts w:ascii="Arial" w:hAnsi="Arial" w:cs="Arial"/>
          <w:sz w:val="22"/>
          <w:szCs w:val="22"/>
        </w:rPr>
      </w:pPr>
      <w:r w:rsidRPr="002D509E">
        <w:rPr>
          <w:rFonts w:ascii="Arial" w:hAnsi="Arial" w:cs="Arial"/>
          <w:sz w:val="22"/>
          <w:szCs w:val="22"/>
        </w:rPr>
        <w:t>To identify gaps in the existing evidence base and suggest priorities for future research and practice.</w:t>
      </w:r>
    </w:p>
    <w:p w14:paraId="57AA41CB" w14:textId="77777777" w:rsidR="004C1555" w:rsidRDefault="004C1555" w:rsidP="002D509E">
      <w:pPr>
        <w:pStyle w:val="Ttulo1"/>
      </w:pPr>
      <w:bookmarkStart w:id="3" w:name="_Toc232676566"/>
    </w:p>
    <w:p w14:paraId="62094BFE" w14:textId="77777777" w:rsidR="004C1555" w:rsidRDefault="004C1555" w:rsidP="002D509E">
      <w:pPr>
        <w:pStyle w:val="Ttulo1"/>
      </w:pPr>
    </w:p>
    <w:p w14:paraId="5ABB3CA0" w14:textId="5C7A7C8E" w:rsidR="00ED7F8A" w:rsidRPr="002D509E" w:rsidRDefault="00ED7F8A" w:rsidP="002D509E">
      <w:pPr>
        <w:pStyle w:val="Ttulo1"/>
      </w:pPr>
      <w:r w:rsidRPr="002D509E">
        <w:t>2. Background</w:t>
      </w:r>
      <w:bookmarkEnd w:id="3"/>
    </w:p>
    <w:p w14:paraId="5C11AD86"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NHS was founded in 1948 on the principle that healthcare should be provided according to clinical need rather than the ability to pay. However, increasing demand for healthcare services has created significant challenges for maintaining timely access to treatment. Over recent decades, waiting lists have become a persistent feature of NHS care delivery, with substantial growth observed following the COVID-19 pandemic.</w:t>
      </w:r>
    </w:p>
    <w:p w14:paraId="2D3AE0FF"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According to the Office for National Statistics (2025), approximately 16.1 per cent of adults in England reported being on an NHS waiting list. The Royal College of Psychiatrists (2025) further reported that more than 7.5 million referrals were awaiting treatment across NHS services, excluding many individuals waiting for mental health interventions. These figures illustrate the considerable scale of the issue and highlight the importance of understanding how prolonged waiting affects patients beyond clinical outcomes alone.</w:t>
      </w:r>
    </w:p>
    <w:p w14:paraId="46D65F04"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causes of long waiting lists are complex and multifactorial. Population growth, increased life expectancy and rising rates of chronic illness have contributed to greater demand for healthcare services. Simultaneously, workforce shortages across medical, nursing and allied health professions have reduced healthcare capacity. The COVID-19 pandemic further exacerbated these pressures through cancelled procedures, delayed appointments and disruptions to routine healthcare services. As a result, many patients have experienced substantially longer waiting periods than previously observed.</w:t>
      </w:r>
    </w:p>
    <w:p w14:paraId="29080820"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Within UK healthcare policy, reducing waiting times has remained a national priority for many years. The NHS Constitution for England establishes the right of patients to begin consultant-led treatment within 18 weeks of referral for non-urgent conditions where clinically appropriate (Department of Health and Social Care, 2023). However, increasing demand and service pressures have made achieving this target increasingly difficult. Recent NHS statistics indicate that many patients continue to wait beyond recommended timescales for elective procedures, diagnostic tests and specialist consultations.</w:t>
      </w:r>
    </w:p>
    <w:p w14:paraId="342C8E24"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 xml:space="preserve">Although waiting times are often measured through administrative targets, there is growing recognition that waiting has important consequences for patient wellbeing. Physical wellbeing may deteriorate during prolonged waiting periods due to worsening symptoms, </w:t>
      </w:r>
      <w:r w:rsidRPr="002D509E">
        <w:rPr>
          <w:rFonts w:ascii="Arial" w:hAnsi="Arial" w:cs="Arial"/>
          <w:sz w:val="22"/>
          <w:szCs w:val="22"/>
        </w:rPr>
        <w:lastRenderedPageBreak/>
        <w:t>increasing pain and reduced mobility. Patients awaiting orthopaedic procedures, for example, frequently report increased discomfort, reduced physical functioning and limitations in their ability to carry out everyday activities (Chan et al., 2025). Delays in treatment may therefore lead to poorer health outcomes and increased healthcare needs over time.</w:t>
      </w:r>
    </w:p>
    <w:p w14:paraId="2C55BEBD"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Psychological wellbeing is another important dimension affected by waiting lists. Research indicates that uncertainty regarding treatment dates, concerns about disease progression and prolonged suffering may contribute to anxiety, depression and emotional distress. Patients often describe feelings of helplessness, frustration and loss of control while waiting for treatment. Oudhoff et al. (2007) found that patients awaiting elective surgery reported lower quality of life and higher levels of psychological distress compared with the general population. These findings suggest that waiting can have significant emotional consequences even before clinical treatment begins.</w:t>
      </w:r>
    </w:p>
    <w:p w14:paraId="70833352"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Long waiting times may also affect social wellbeing and family life. Patients with chronic pain or worsening health conditions may struggle to maintain employment, participate in social activities or fulfil caring responsibilities. Financial difficulties may arise due to reduced work capacity or increased reliance on informal care from family members. In addition, prolonged waiting can create emotional strain within households and alter family relationships. Chan et al. (2025) reported that many patients experienced disruption to future plans, social isolation and increased dependence on relatives while awaiting treatment.</w:t>
      </w:r>
    </w:p>
    <w:p w14:paraId="7454C8BF"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Mental health waiting lists present additional concerns within UK healthcare. The Royal College of Psychiatrists (2025) has warned that many individuals experience considerable deterioration while waiting for mental health services. Delays in receiving psychological therapies or specialist interventions may increase the risk of worsening symptoms and crisis situations. Rethink Mental Illness (2025) reported that many service users experienced declining mental health while waiting for treatment, emphasising the urgent need for timely interventions and supportive services.</w:t>
      </w:r>
    </w:p>
    <w:p w14:paraId="73A6403E"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In response to these challenges, healthcare organisations are increasingly exploring innovative approaches to supporting patients while they wait. Digital health technologies, including remote patient monitoring, telehealth consultations and online self-management programmes, have been introduced to improve patient support outside traditional healthcare settings. The Department of Health and Social Care (2025) has highlighted the growing role of home-based digital care in enabling patients to receive monitoring and support without frequent hospital attendance. Such approaches may help reduce anxiety, improve patient engagement and enhance wellbeing during waiting periods.</w:t>
      </w:r>
    </w:p>
    <w:p w14:paraId="4BFB8A47"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lastRenderedPageBreak/>
        <w:t>Despite increasing interest in these interventions, important evidence gaps remain. Existing studies vary considerably in terms of patient populations, healthcare settings and wellbeing outcomes measured. Furthermore, there is limited understanding of how demographic and socioeconomic factors influence the experience of waiting. Patients from disadvantaged backgrounds may experience greater harm because of financial pressures, poorer baseline health or limited access to support services.</w:t>
      </w:r>
    </w:p>
    <w:p w14:paraId="0BF49419"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Therefore, there is a clear need to synthesise existing evidence concerning the impact of long NHS waiting lists on patient wellbeing. A scoping review provides an appropriate approach for mapping this evidence, identifying common themes and highlighting areas requiring further investigation within UK health and social care practice.</w:t>
      </w:r>
    </w:p>
    <w:p w14:paraId="45164FEF" w14:textId="77777777" w:rsidR="00ED7F8A" w:rsidRPr="002D509E" w:rsidRDefault="00ED7F8A" w:rsidP="002D509E">
      <w:pPr>
        <w:pStyle w:val="Ttulo1"/>
      </w:pPr>
      <w:bookmarkStart w:id="4" w:name="_Toc232676567"/>
      <w:r w:rsidRPr="002D509E">
        <w:t>3. Methods and Ethical Considerations</w:t>
      </w:r>
      <w:bookmarkEnd w:id="4"/>
    </w:p>
    <w:p w14:paraId="040557AC" w14:textId="77777777" w:rsidR="00ED7F8A" w:rsidRPr="002D509E" w:rsidRDefault="00ED7F8A" w:rsidP="002D509E">
      <w:pPr>
        <w:pStyle w:val="Ttulo2"/>
      </w:pPr>
      <w:bookmarkStart w:id="5" w:name="_Toc232676568"/>
      <w:r w:rsidRPr="002D509E">
        <w:t>3.1 Research Design</w:t>
      </w:r>
      <w:bookmarkEnd w:id="5"/>
    </w:p>
    <w:p w14:paraId="5C011EC6"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This study adopted a scoping review methodology to explore the existing evidence relating to the impact of long NHS waiting lists on patient wellbeing within the United Kingdom. A scoping review is a form of secondary research that systematically maps the available literature on a broad topic, identifies key concepts and summarises gaps in the evidence base (Arksey and O'Malley, 2005). This approach was considered appropriate because the topic encompasses multiple dimensions of wellbeing, including physical, psychological and social outcomes, and the literature contains both qualitative and quantitative studies.</w:t>
      </w:r>
    </w:p>
    <w:p w14:paraId="32068219"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review followed the five-stage framework developed by Arksey and O'Malley (2005), consisting of:</w:t>
      </w:r>
    </w:p>
    <w:p w14:paraId="3EB9CFB3" w14:textId="77777777" w:rsidR="00ED7F8A" w:rsidRPr="002D509E" w:rsidRDefault="00ED7F8A" w:rsidP="004C1555">
      <w:pPr>
        <w:numPr>
          <w:ilvl w:val="0"/>
          <w:numId w:val="2"/>
        </w:numPr>
        <w:spacing w:line="360" w:lineRule="auto"/>
        <w:rPr>
          <w:rFonts w:ascii="Arial" w:hAnsi="Arial" w:cs="Arial"/>
          <w:sz w:val="22"/>
          <w:szCs w:val="22"/>
        </w:rPr>
      </w:pPr>
      <w:r w:rsidRPr="002D509E">
        <w:rPr>
          <w:rFonts w:ascii="Arial" w:hAnsi="Arial" w:cs="Arial"/>
          <w:sz w:val="22"/>
          <w:szCs w:val="22"/>
        </w:rPr>
        <w:t>Identifying the review question.</w:t>
      </w:r>
    </w:p>
    <w:p w14:paraId="7961DEF7" w14:textId="77777777" w:rsidR="00ED7F8A" w:rsidRPr="002D509E" w:rsidRDefault="00ED7F8A" w:rsidP="004C1555">
      <w:pPr>
        <w:numPr>
          <w:ilvl w:val="0"/>
          <w:numId w:val="2"/>
        </w:numPr>
        <w:spacing w:line="360" w:lineRule="auto"/>
        <w:rPr>
          <w:rFonts w:ascii="Arial" w:hAnsi="Arial" w:cs="Arial"/>
          <w:sz w:val="22"/>
          <w:szCs w:val="22"/>
        </w:rPr>
      </w:pPr>
      <w:r w:rsidRPr="002D509E">
        <w:rPr>
          <w:rFonts w:ascii="Arial" w:hAnsi="Arial" w:cs="Arial"/>
          <w:sz w:val="22"/>
          <w:szCs w:val="22"/>
        </w:rPr>
        <w:t>Identifying relevant studies.</w:t>
      </w:r>
    </w:p>
    <w:p w14:paraId="3AB39ADF" w14:textId="77777777" w:rsidR="00ED7F8A" w:rsidRPr="002D509E" w:rsidRDefault="00ED7F8A" w:rsidP="004C1555">
      <w:pPr>
        <w:numPr>
          <w:ilvl w:val="0"/>
          <w:numId w:val="2"/>
        </w:numPr>
        <w:spacing w:line="360" w:lineRule="auto"/>
        <w:rPr>
          <w:rFonts w:ascii="Arial" w:hAnsi="Arial" w:cs="Arial"/>
          <w:sz w:val="22"/>
          <w:szCs w:val="22"/>
        </w:rPr>
      </w:pPr>
      <w:r w:rsidRPr="002D509E">
        <w:rPr>
          <w:rFonts w:ascii="Arial" w:hAnsi="Arial" w:cs="Arial"/>
          <w:sz w:val="22"/>
          <w:szCs w:val="22"/>
        </w:rPr>
        <w:t>Selecting studies according to inclusion criteria.</w:t>
      </w:r>
    </w:p>
    <w:p w14:paraId="174941A5" w14:textId="77777777" w:rsidR="00ED7F8A" w:rsidRPr="002D509E" w:rsidRDefault="00ED7F8A" w:rsidP="004C1555">
      <w:pPr>
        <w:numPr>
          <w:ilvl w:val="0"/>
          <w:numId w:val="2"/>
        </w:numPr>
        <w:spacing w:line="360" w:lineRule="auto"/>
        <w:rPr>
          <w:rFonts w:ascii="Arial" w:hAnsi="Arial" w:cs="Arial"/>
          <w:sz w:val="22"/>
          <w:szCs w:val="22"/>
        </w:rPr>
      </w:pPr>
      <w:r w:rsidRPr="002D509E">
        <w:rPr>
          <w:rFonts w:ascii="Arial" w:hAnsi="Arial" w:cs="Arial"/>
          <w:sz w:val="22"/>
          <w:szCs w:val="22"/>
        </w:rPr>
        <w:t>Charting and extracting data.</w:t>
      </w:r>
    </w:p>
    <w:p w14:paraId="7068083E" w14:textId="77777777" w:rsidR="00ED7F8A" w:rsidRPr="002D509E" w:rsidRDefault="00ED7F8A" w:rsidP="004C1555">
      <w:pPr>
        <w:numPr>
          <w:ilvl w:val="0"/>
          <w:numId w:val="2"/>
        </w:numPr>
        <w:spacing w:line="360" w:lineRule="auto"/>
        <w:rPr>
          <w:rFonts w:ascii="Arial" w:hAnsi="Arial" w:cs="Arial"/>
          <w:sz w:val="22"/>
          <w:szCs w:val="22"/>
        </w:rPr>
      </w:pPr>
      <w:r w:rsidRPr="002D509E">
        <w:rPr>
          <w:rFonts w:ascii="Arial" w:hAnsi="Arial" w:cs="Arial"/>
          <w:sz w:val="22"/>
          <w:szCs w:val="22"/>
        </w:rPr>
        <w:t>Collating, summarising and reporting findings.</w:t>
      </w:r>
    </w:p>
    <w:p w14:paraId="66C27626" w14:textId="77777777" w:rsidR="002D509E" w:rsidRDefault="00ED7F8A" w:rsidP="004C1555">
      <w:pPr>
        <w:spacing w:line="360" w:lineRule="auto"/>
        <w:rPr>
          <w:rFonts w:ascii="Arial" w:hAnsi="Arial" w:cs="Arial"/>
          <w:sz w:val="22"/>
          <w:szCs w:val="22"/>
        </w:rPr>
      </w:pPr>
      <w:r w:rsidRPr="002D509E">
        <w:rPr>
          <w:rFonts w:ascii="Arial" w:hAnsi="Arial" w:cs="Arial"/>
          <w:sz w:val="22"/>
          <w:szCs w:val="22"/>
        </w:rPr>
        <w:t>The review question guiding the study was:</w:t>
      </w:r>
    </w:p>
    <w:p w14:paraId="4610BB22" w14:textId="241F7B1B" w:rsidR="00ED7F8A" w:rsidRPr="002D509E" w:rsidRDefault="00ED7F8A" w:rsidP="00ED7F8A">
      <w:pPr>
        <w:rPr>
          <w:rFonts w:ascii="Arial" w:hAnsi="Arial" w:cs="Arial"/>
          <w:sz w:val="22"/>
          <w:szCs w:val="22"/>
        </w:rPr>
      </w:pPr>
      <w:r w:rsidRPr="002D509E">
        <w:rPr>
          <w:rFonts w:ascii="Arial" w:hAnsi="Arial" w:cs="Arial"/>
          <w:b/>
          <w:bCs/>
          <w:sz w:val="22"/>
          <w:szCs w:val="22"/>
        </w:rPr>
        <w:t>What does existing literature reveal about the impact of long waiting lists on patient wellbeing in the United Kingdom, and what are the key dimensions of this impact?</w:t>
      </w:r>
    </w:p>
    <w:p w14:paraId="0AE7D1AF" w14:textId="0E7E4032" w:rsidR="00ED7F8A" w:rsidRPr="002D509E" w:rsidRDefault="00ED7F8A" w:rsidP="00ED7F8A">
      <w:pPr>
        <w:rPr>
          <w:rFonts w:ascii="Arial" w:hAnsi="Arial" w:cs="Arial"/>
          <w:sz w:val="22"/>
          <w:szCs w:val="22"/>
        </w:rPr>
      </w:pPr>
    </w:p>
    <w:p w14:paraId="7A63E13D" w14:textId="77777777" w:rsidR="00ED7F8A" w:rsidRPr="002D509E" w:rsidRDefault="00ED7F8A" w:rsidP="002D509E">
      <w:pPr>
        <w:pStyle w:val="Ttulo2"/>
      </w:pPr>
      <w:bookmarkStart w:id="6" w:name="_Toc232676569"/>
      <w:r w:rsidRPr="002D509E">
        <w:lastRenderedPageBreak/>
        <w:t>3.2 Search Strategy</w:t>
      </w:r>
      <w:bookmarkEnd w:id="6"/>
    </w:p>
    <w:p w14:paraId="64C4E9FA"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Relevant literature was identified through systematic searches of major academic databases including:</w:t>
      </w:r>
    </w:p>
    <w:p w14:paraId="71510FBB" w14:textId="77777777" w:rsidR="00ED7F8A" w:rsidRPr="002D509E" w:rsidRDefault="00ED7F8A" w:rsidP="004C1555">
      <w:pPr>
        <w:numPr>
          <w:ilvl w:val="0"/>
          <w:numId w:val="3"/>
        </w:numPr>
        <w:spacing w:line="360" w:lineRule="auto"/>
        <w:rPr>
          <w:rFonts w:ascii="Arial" w:hAnsi="Arial" w:cs="Arial"/>
          <w:sz w:val="22"/>
          <w:szCs w:val="22"/>
        </w:rPr>
      </w:pPr>
      <w:r w:rsidRPr="002D509E">
        <w:rPr>
          <w:rFonts w:ascii="Arial" w:hAnsi="Arial" w:cs="Arial"/>
          <w:sz w:val="22"/>
          <w:szCs w:val="22"/>
        </w:rPr>
        <w:t>PubMed</w:t>
      </w:r>
    </w:p>
    <w:p w14:paraId="4DD5790F" w14:textId="77777777" w:rsidR="00ED7F8A" w:rsidRPr="002D509E" w:rsidRDefault="00ED7F8A" w:rsidP="004C1555">
      <w:pPr>
        <w:numPr>
          <w:ilvl w:val="0"/>
          <w:numId w:val="3"/>
        </w:numPr>
        <w:spacing w:line="360" w:lineRule="auto"/>
        <w:rPr>
          <w:rFonts w:ascii="Arial" w:hAnsi="Arial" w:cs="Arial"/>
          <w:sz w:val="22"/>
          <w:szCs w:val="22"/>
        </w:rPr>
      </w:pPr>
      <w:r w:rsidRPr="002D509E">
        <w:rPr>
          <w:rFonts w:ascii="Arial" w:hAnsi="Arial" w:cs="Arial"/>
          <w:sz w:val="22"/>
          <w:szCs w:val="22"/>
        </w:rPr>
        <w:t>CINAHL</w:t>
      </w:r>
    </w:p>
    <w:p w14:paraId="119225AB" w14:textId="77777777" w:rsidR="00ED7F8A" w:rsidRPr="002D509E" w:rsidRDefault="00ED7F8A" w:rsidP="004C1555">
      <w:pPr>
        <w:numPr>
          <w:ilvl w:val="0"/>
          <w:numId w:val="3"/>
        </w:numPr>
        <w:spacing w:line="360" w:lineRule="auto"/>
        <w:rPr>
          <w:rFonts w:ascii="Arial" w:hAnsi="Arial" w:cs="Arial"/>
          <w:sz w:val="22"/>
          <w:szCs w:val="22"/>
        </w:rPr>
      </w:pPr>
      <w:r w:rsidRPr="002D509E">
        <w:rPr>
          <w:rFonts w:ascii="Arial" w:hAnsi="Arial" w:cs="Arial"/>
          <w:sz w:val="22"/>
          <w:szCs w:val="22"/>
        </w:rPr>
        <w:t>Scopus</w:t>
      </w:r>
    </w:p>
    <w:p w14:paraId="2EBBD635" w14:textId="77777777" w:rsidR="00ED7F8A" w:rsidRPr="002D509E" w:rsidRDefault="00ED7F8A" w:rsidP="004C1555">
      <w:pPr>
        <w:numPr>
          <w:ilvl w:val="0"/>
          <w:numId w:val="3"/>
        </w:numPr>
        <w:spacing w:line="360" w:lineRule="auto"/>
        <w:rPr>
          <w:rFonts w:ascii="Arial" w:hAnsi="Arial" w:cs="Arial"/>
          <w:sz w:val="22"/>
          <w:szCs w:val="22"/>
        </w:rPr>
      </w:pPr>
      <w:r w:rsidRPr="002D509E">
        <w:rPr>
          <w:rFonts w:ascii="Arial" w:hAnsi="Arial" w:cs="Arial"/>
          <w:sz w:val="22"/>
          <w:szCs w:val="22"/>
        </w:rPr>
        <w:t>Google Scholar</w:t>
      </w:r>
    </w:p>
    <w:p w14:paraId="771574DC" w14:textId="77777777" w:rsidR="00ED7F8A" w:rsidRPr="002D509E" w:rsidRDefault="00ED7F8A" w:rsidP="004C1555">
      <w:pPr>
        <w:numPr>
          <w:ilvl w:val="0"/>
          <w:numId w:val="3"/>
        </w:numPr>
        <w:spacing w:line="360" w:lineRule="auto"/>
        <w:rPr>
          <w:rFonts w:ascii="Arial" w:hAnsi="Arial" w:cs="Arial"/>
          <w:sz w:val="22"/>
          <w:szCs w:val="22"/>
        </w:rPr>
      </w:pPr>
      <w:r w:rsidRPr="002D509E">
        <w:rPr>
          <w:rFonts w:ascii="Arial" w:hAnsi="Arial" w:cs="Arial"/>
          <w:sz w:val="22"/>
          <w:szCs w:val="22"/>
        </w:rPr>
        <w:t>UWTSD Library databases</w:t>
      </w:r>
    </w:p>
    <w:p w14:paraId="0D311250"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Searches were undertaken using combinations of keywords and Boolean operators, including:</w:t>
      </w:r>
    </w:p>
    <w:p w14:paraId="2E983A3D"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"NHS waiting lists"</w:t>
      </w:r>
    </w:p>
    <w:p w14:paraId="20FF1253"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"patient wellbeing"</w:t>
      </w:r>
    </w:p>
    <w:p w14:paraId="746EBDA9"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"elective waiting times"</w:t>
      </w:r>
    </w:p>
    <w:p w14:paraId="576EEF7C"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"mental health waiting lists"</w:t>
      </w:r>
    </w:p>
    <w:p w14:paraId="55E641E3"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"quality of life"</w:t>
      </w:r>
    </w:p>
    <w:p w14:paraId="7D7A7322"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"health outcomes"</w:t>
      </w:r>
    </w:p>
    <w:p w14:paraId="5D9FDF1A"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"waiting and wellbeing"</w:t>
      </w:r>
    </w:p>
    <w:p w14:paraId="593EDD1C" w14:textId="77777777" w:rsidR="00ED7F8A" w:rsidRPr="002D509E" w:rsidRDefault="00ED7F8A" w:rsidP="004C1555">
      <w:pPr>
        <w:numPr>
          <w:ilvl w:val="0"/>
          <w:numId w:val="4"/>
        </w:numPr>
        <w:spacing w:line="360" w:lineRule="auto"/>
        <w:rPr>
          <w:rFonts w:ascii="Arial" w:hAnsi="Arial" w:cs="Arial"/>
          <w:sz w:val="22"/>
          <w:szCs w:val="22"/>
        </w:rPr>
      </w:pPr>
      <w:r w:rsidRPr="002D509E">
        <w:rPr>
          <w:rFonts w:ascii="Arial" w:hAnsi="Arial" w:cs="Arial"/>
          <w:sz w:val="22"/>
          <w:szCs w:val="22"/>
        </w:rPr>
        <w:t>"United Kingdom"</w:t>
      </w:r>
    </w:p>
    <w:p w14:paraId="5BB54DE4"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Example search:</w:t>
      </w:r>
    </w:p>
    <w:p w14:paraId="557A120C"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("NHS waiting list*" OR "elective waiting") AND ("wellbeing" OR "quality of life" OR "mental health") AND ("United Kingdom" OR "UK")</w:t>
      </w:r>
    </w:p>
    <w:p w14:paraId="4713379E"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search was restricted to:</w:t>
      </w:r>
    </w:p>
    <w:p w14:paraId="47497965" w14:textId="77777777" w:rsidR="00ED7F8A" w:rsidRPr="002D509E" w:rsidRDefault="00ED7F8A" w:rsidP="004C1555">
      <w:pPr>
        <w:numPr>
          <w:ilvl w:val="0"/>
          <w:numId w:val="5"/>
        </w:numPr>
        <w:spacing w:line="360" w:lineRule="auto"/>
        <w:rPr>
          <w:rFonts w:ascii="Arial" w:hAnsi="Arial" w:cs="Arial"/>
          <w:sz w:val="22"/>
          <w:szCs w:val="22"/>
        </w:rPr>
      </w:pPr>
      <w:r w:rsidRPr="002D509E">
        <w:rPr>
          <w:rFonts w:ascii="Arial" w:hAnsi="Arial" w:cs="Arial"/>
          <w:sz w:val="22"/>
          <w:szCs w:val="22"/>
        </w:rPr>
        <w:t>English language articles.</w:t>
      </w:r>
    </w:p>
    <w:p w14:paraId="68C2FF17" w14:textId="77777777" w:rsidR="00ED7F8A" w:rsidRPr="002D509E" w:rsidRDefault="00ED7F8A" w:rsidP="004C1555">
      <w:pPr>
        <w:numPr>
          <w:ilvl w:val="0"/>
          <w:numId w:val="5"/>
        </w:numPr>
        <w:spacing w:line="360" w:lineRule="auto"/>
        <w:rPr>
          <w:rFonts w:ascii="Arial" w:hAnsi="Arial" w:cs="Arial"/>
          <w:sz w:val="22"/>
          <w:szCs w:val="22"/>
        </w:rPr>
      </w:pPr>
      <w:r w:rsidRPr="002D509E">
        <w:rPr>
          <w:rFonts w:ascii="Arial" w:hAnsi="Arial" w:cs="Arial"/>
          <w:sz w:val="22"/>
          <w:szCs w:val="22"/>
        </w:rPr>
        <w:t>Peer-reviewed journal articles.</w:t>
      </w:r>
    </w:p>
    <w:p w14:paraId="1BC108AC" w14:textId="77777777" w:rsidR="00ED7F8A" w:rsidRPr="002D509E" w:rsidRDefault="00ED7F8A" w:rsidP="004C1555">
      <w:pPr>
        <w:numPr>
          <w:ilvl w:val="0"/>
          <w:numId w:val="5"/>
        </w:numPr>
        <w:spacing w:line="360" w:lineRule="auto"/>
        <w:rPr>
          <w:rFonts w:ascii="Arial" w:hAnsi="Arial" w:cs="Arial"/>
          <w:sz w:val="22"/>
          <w:szCs w:val="22"/>
        </w:rPr>
      </w:pPr>
      <w:r w:rsidRPr="002D509E">
        <w:rPr>
          <w:rFonts w:ascii="Arial" w:hAnsi="Arial" w:cs="Arial"/>
          <w:sz w:val="22"/>
          <w:szCs w:val="22"/>
        </w:rPr>
        <w:t>Studies published between 2015 and 2025 where possible.</w:t>
      </w:r>
    </w:p>
    <w:p w14:paraId="76BAE7F4" w14:textId="2A7D35AD" w:rsidR="00ED7F8A" w:rsidRPr="002D509E" w:rsidRDefault="00ED7F8A" w:rsidP="004C1555">
      <w:pPr>
        <w:numPr>
          <w:ilvl w:val="0"/>
          <w:numId w:val="5"/>
        </w:numPr>
        <w:spacing w:line="360" w:lineRule="auto"/>
        <w:rPr>
          <w:rFonts w:ascii="Arial" w:hAnsi="Arial" w:cs="Arial"/>
          <w:sz w:val="22"/>
          <w:szCs w:val="22"/>
        </w:rPr>
      </w:pPr>
      <w:r w:rsidRPr="002D509E">
        <w:rPr>
          <w:rFonts w:ascii="Arial" w:hAnsi="Arial" w:cs="Arial"/>
          <w:sz w:val="22"/>
          <w:szCs w:val="22"/>
        </w:rPr>
        <w:t>UK healthcare settings.</w:t>
      </w:r>
    </w:p>
    <w:p w14:paraId="7B617C84" w14:textId="77777777" w:rsidR="00ED7F8A" w:rsidRPr="002D509E" w:rsidRDefault="00ED7F8A" w:rsidP="002D509E">
      <w:pPr>
        <w:pStyle w:val="Ttulo2"/>
      </w:pPr>
      <w:bookmarkStart w:id="7" w:name="_Toc232676570"/>
      <w:r w:rsidRPr="002D509E">
        <w:lastRenderedPageBreak/>
        <w:t>3.3 Inclusion and Exclusion Criteria</w:t>
      </w:r>
      <w:bookmarkEnd w:id="7"/>
    </w:p>
    <w:p w14:paraId="65F2BDFA" w14:textId="77777777" w:rsidR="00ED7F8A" w:rsidRPr="002D509E" w:rsidRDefault="00ED7F8A" w:rsidP="00ED7F8A">
      <w:pPr>
        <w:rPr>
          <w:rFonts w:ascii="Arial" w:hAnsi="Arial" w:cs="Arial"/>
          <w:b/>
          <w:bCs/>
          <w:sz w:val="22"/>
          <w:szCs w:val="22"/>
        </w:rPr>
      </w:pPr>
      <w:r w:rsidRPr="002D509E">
        <w:rPr>
          <w:rFonts w:ascii="Arial" w:hAnsi="Arial" w:cs="Arial"/>
          <w:b/>
          <w:bCs/>
          <w:sz w:val="22"/>
          <w:szCs w:val="22"/>
        </w:rPr>
        <w:t>Inclusion Criteria</w:t>
      </w:r>
    </w:p>
    <w:p w14:paraId="2C6EFA8F"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Studies were included if they:</w:t>
      </w:r>
    </w:p>
    <w:p w14:paraId="388F1884" w14:textId="77777777" w:rsidR="00ED7F8A" w:rsidRPr="002D509E" w:rsidRDefault="00ED7F8A" w:rsidP="004C1555">
      <w:pPr>
        <w:numPr>
          <w:ilvl w:val="0"/>
          <w:numId w:val="6"/>
        </w:numPr>
        <w:spacing w:line="360" w:lineRule="auto"/>
        <w:rPr>
          <w:rFonts w:ascii="Arial" w:hAnsi="Arial" w:cs="Arial"/>
          <w:sz w:val="22"/>
          <w:szCs w:val="22"/>
        </w:rPr>
      </w:pPr>
      <w:r w:rsidRPr="002D509E">
        <w:rPr>
          <w:rFonts w:ascii="Arial" w:hAnsi="Arial" w:cs="Arial"/>
          <w:sz w:val="22"/>
          <w:szCs w:val="22"/>
        </w:rPr>
        <w:t>Examined NHS waiting lists or treatment delays.</w:t>
      </w:r>
    </w:p>
    <w:p w14:paraId="64AC4E40" w14:textId="77777777" w:rsidR="00ED7F8A" w:rsidRPr="002D509E" w:rsidRDefault="00ED7F8A" w:rsidP="004C1555">
      <w:pPr>
        <w:numPr>
          <w:ilvl w:val="0"/>
          <w:numId w:val="6"/>
        </w:numPr>
        <w:spacing w:line="360" w:lineRule="auto"/>
        <w:rPr>
          <w:rFonts w:ascii="Arial" w:hAnsi="Arial" w:cs="Arial"/>
          <w:sz w:val="22"/>
          <w:szCs w:val="22"/>
        </w:rPr>
      </w:pPr>
      <w:r w:rsidRPr="002D509E">
        <w:rPr>
          <w:rFonts w:ascii="Arial" w:hAnsi="Arial" w:cs="Arial"/>
          <w:sz w:val="22"/>
          <w:szCs w:val="22"/>
        </w:rPr>
        <w:t>Investigated physical, mental or social wellbeing outcomes.</w:t>
      </w:r>
    </w:p>
    <w:p w14:paraId="4142E656" w14:textId="77777777" w:rsidR="00ED7F8A" w:rsidRPr="002D509E" w:rsidRDefault="00ED7F8A" w:rsidP="004C1555">
      <w:pPr>
        <w:numPr>
          <w:ilvl w:val="0"/>
          <w:numId w:val="6"/>
        </w:numPr>
        <w:spacing w:line="360" w:lineRule="auto"/>
        <w:rPr>
          <w:rFonts w:ascii="Arial" w:hAnsi="Arial" w:cs="Arial"/>
          <w:sz w:val="22"/>
          <w:szCs w:val="22"/>
        </w:rPr>
      </w:pPr>
      <w:r w:rsidRPr="002D509E">
        <w:rPr>
          <w:rFonts w:ascii="Arial" w:hAnsi="Arial" w:cs="Arial"/>
          <w:sz w:val="22"/>
          <w:szCs w:val="22"/>
        </w:rPr>
        <w:t>Were conducted within the UK healthcare context.</w:t>
      </w:r>
    </w:p>
    <w:p w14:paraId="3E8B3919" w14:textId="77777777" w:rsidR="00ED7F8A" w:rsidRPr="002D509E" w:rsidRDefault="00ED7F8A" w:rsidP="004C1555">
      <w:pPr>
        <w:numPr>
          <w:ilvl w:val="0"/>
          <w:numId w:val="6"/>
        </w:numPr>
        <w:spacing w:line="360" w:lineRule="auto"/>
        <w:rPr>
          <w:rFonts w:ascii="Arial" w:hAnsi="Arial" w:cs="Arial"/>
          <w:sz w:val="22"/>
          <w:szCs w:val="22"/>
        </w:rPr>
      </w:pPr>
      <w:r w:rsidRPr="002D509E">
        <w:rPr>
          <w:rFonts w:ascii="Arial" w:hAnsi="Arial" w:cs="Arial"/>
          <w:sz w:val="22"/>
          <w:szCs w:val="22"/>
        </w:rPr>
        <w:t>Used qualitative, quantitative or mixed-method approaches.</w:t>
      </w:r>
    </w:p>
    <w:p w14:paraId="7E1A5556" w14:textId="77777777" w:rsidR="00ED7F8A" w:rsidRPr="002D509E" w:rsidRDefault="00ED7F8A" w:rsidP="004C1555">
      <w:pPr>
        <w:numPr>
          <w:ilvl w:val="0"/>
          <w:numId w:val="6"/>
        </w:numPr>
        <w:spacing w:line="360" w:lineRule="auto"/>
        <w:rPr>
          <w:rFonts w:ascii="Arial" w:hAnsi="Arial" w:cs="Arial"/>
          <w:sz w:val="22"/>
          <w:szCs w:val="22"/>
        </w:rPr>
      </w:pPr>
      <w:r w:rsidRPr="002D509E">
        <w:rPr>
          <w:rFonts w:ascii="Arial" w:hAnsi="Arial" w:cs="Arial"/>
          <w:sz w:val="22"/>
          <w:szCs w:val="22"/>
        </w:rPr>
        <w:t>Were published in peer-reviewed academic journals.</w:t>
      </w:r>
    </w:p>
    <w:p w14:paraId="5348BB9A" w14:textId="77777777" w:rsidR="00ED7F8A" w:rsidRPr="002D509E" w:rsidRDefault="00ED7F8A" w:rsidP="00ED7F8A">
      <w:pPr>
        <w:rPr>
          <w:rFonts w:ascii="Arial" w:hAnsi="Arial" w:cs="Arial"/>
          <w:b/>
          <w:bCs/>
          <w:sz w:val="22"/>
          <w:szCs w:val="22"/>
        </w:rPr>
      </w:pPr>
      <w:r w:rsidRPr="002D509E">
        <w:rPr>
          <w:rFonts w:ascii="Arial" w:hAnsi="Arial" w:cs="Arial"/>
          <w:b/>
          <w:bCs/>
          <w:sz w:val="22"/>
          <w:szCs w:val="22"/>
        </w:rPr>
        <w:t>Exclusion Criteria</w:t>
      </w:r>
    </w:p>
    <w:p w14:paraId="2851EA6C"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Studies were excluded if they:</w:t>
      </w:r>
    </w:p>
    <w:p w14:paraId="699B0527" w14:textId="77777777" w:rsidR="00ED7F8A" w:rsidRPr="002D509E" w:rsidRDefault="00ED7F8A" w:rsidP="004C1555">
      <w:pPr>
        <w:numPr>
          <w:ilvl w:val="0"/>
          <w:numId w:val="7"/>
        </w:numPr>
        <w:spacing w:line="360" w:lineRule="auto"/>
        <w:rPr>
          <w:rFonts w:ascii="Arial" w:hAnsi="Arial" w:cs="Arial"/>
          <w:sz w:val="22"/>
          <w:szCs w:val="22"/>
        </w:rPr>
      </w:pPr>
      <w:r w:rsidRPr="002D509E">
        <w:rPr>
          <w:rFonts w:ascii="Arial" w:hAnsi="Arial" w:cs="Arial"/>
          <w:sz w:val="22"/>
          <w:szCs w:val="22"/>
        </w:rPr>
        <w:t>Were policy reports or government guidance only.</w:t>
      </w:r>
    </w:p>
    <w:p w14:paraId="7B2193CA" w14:textId="77777777" w:rsidR="00ED7F8A" w:rsidRPr="002D509E" w:rsidRDefault="00ED7F8A" w:rsidP="004C1555">
      <w:pPr>
        <w:numPr>
          <w:ilvl w:val="0"/>
          <w:numId w:val="7"/>
        </w:numPr>
        <w:spacing w:line="360" w:lineRule="auto"/>
        <w:rPr>
          <w:rFonts w:ascii="Arial" w:hAnsi="Arial" w:cs="Arial"/>
          <w:sz w:val="22"/>
          <w:szCs w:val="22"/>
        </w:rPr>
      </w:pPr>
      <w:r w:rsidRPr="002D509E">
        <w:rPr>
          <w:rFonts w:ascii="Arial" w:hAnsi="Arial" w:cs="Arial"/>
          <w:sz w:val="22"/>
          <w:szCs w:val="22"/>
        </w:rPr>
        <w:t>Were editorials or opinion pieces.</w:t>
      </w:r>
    </w:p>
    <w:p w14:paraId="522F986E" w14:textId="77777777" w:rsidR="00ED7F8A" w:rsidRPr="002D509E" w:rsidRDefault="00ED7F8A" w:rsidP="004C1555">
      <w:pPr>
        <w:numPr>
          <w:ilvl w:val="0"/>
          <w:numId w:val="7"/>
        </w:numPr>
        <w:spacing w:line="360" w:lineRule="auto"/>
        <w:rPr>
          <w:rFonts w:ascii="Arial" w:hAnsi="Arial" w:cs="Arial"/>
          <w:sz w:val="22"/>
          <w:szCs w:val="22"/>
        </w:rPr>
      </w:pPr>
      <w:r w:rsidRPr="002D509E">
        <w:rPr>
          <w:rFonts w:ascii="Arial" w:hAnsi="Arial" w:cs="Arial"/>
          <w:sz w:val="22"/>
          <w:szCs w:val="22"/>
        </w:rPr>
        <w:t>Were conference abstracts.</w:t>
      </w:r>
    </w:p>
    <w:p w14:paraId="06F78B1B" w14:textId="77777777" w:rsidR="00ED7F8A" w:rsidRPr="002D509E" w:rsidRDefault="00ED7F8A" w:rsidP="004C1555">
      <w:pPr>
        <w:numPr>
          <w:ilvl w:val="0"/>
          <w:numId w:val="7"/>
        </w:numPr>
        <w:spacing w:line="360" w:lineRule="auto"/>
        <w:rPr>
          <w:rFonts w:ascii="Arial" w:hAnsi="Arial" w:cs="Arial"/>
          <w:sz w:val="22"/>
          <w:szCs w:val="22"/>
        </w:rPr>
      </w:pPr>
      <w:r w:rsidRPr="002D509E">
        <w:rPr>
          <w:rFonts w:ascii="Arial" w:hAnsi="Arial" w:cs="Arial"/>
          <w:sz w:val="22"/>
          <w:szCs w:val="22"/>
        </w:rPr>
        <w:t>Did not examine patient wellbeing.</w:t>
      </w:r>
    </w:p>
    <w:p w14:paraId="5CEF57C4" w14:textId="3740E2DA" w:rsidR="00ED7F8A" w:rsidRPr="002D509E" w:rsidRDefault="00ED7F8A" w:rsidP="004C1555">
      <w:pPr>
        <w:numPr>
          <w:ilvl w:val="0"/>
          <w:numId w:val="7"/>
        </w:numPr>
        <w:spacing w:line="360" w:lineRule="auto"/>
        <w:rPr>
          <w:rFonts w:ascii="Arial" w:hAnsi="Arial" w:cs="Arial"/>
          <w:sz w:val="22"/>
          <w:szCs w:val="22"/>
        </w:rPr>
      </w:pPr>
      <w:r w:rsidRPr="002D509E">
        <w:rPr>
          <w:rFonts w:ascii="Arial" w:hAnsi="Arial" w:cs="Arial"/>
          <w:sz w:val="22"/>
          <w:szCs w:val="22"/>
        </w:rPr>
        <w:t>Focused on non-UK healthcare systems.</w:t>
      </w:r>
    </w:p>
    <w:p w14:paraId="6506E14D" w14:textId="77777777" w:rsidR="00ED7F8A" w:rsidRPr="002D509E" w:rsidRDefault="00ED7F8A" w:rsidP="002D509E">
      <w:pPr>
        <w:pStyle w:val="Ttulo2"/>
      </w:pPr>
      <w:bookmarkStart w:id="8" w:name="_Toc232676571"/>
      <w:r w:rsidRPr="002D509E">
        <w:t>3.4 Data Extraction and Analysis</w:t>
      </w:r>
      <w:bookmarkEnd w:id="8"/>
    </w:p>
    <w:p w14:paraId="53FE44C7"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Data extraction was undertaken using a standard charting framework.</w:t>
      </w:r>
    </w:p>
    <w:p w14:paraId="5CA15F28"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following information was collected:</w:t>
      </w:r>
    </w:p>
    <w:p w14:paraId="35CC6BB5"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Author and year</w:t>
      </w:r>
    </w:p>
    <w:p w14:paraId="7E4CC0FD"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Study design</w:t>
      </w:r>
    </w:p>
    <w:p w14:paraId="619499A0"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Population</w:t>
      </w:r>
    </w:p>
    <w:p w14:paraId="1CD688BC"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Healthcare setting</w:t>
      </w:r>
    </w:p>
    <w:p w14:paraId="6D486691"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Type of waiting list</w:t>
      </w:r>
    </w:p>
    <w:p w14:paraId="0D93B374"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Main wellbeing outcomes</w:t>
      </w:r>
    </w:p>
    <w:p w14:paraId="76581678" w14:textId="77777777" w:rsidR="00ED7F8A" w:rsidRPr="002D509E" w:rsidRDefault="00ED7F8A" w:rsidP="004C1555">
      <w:pPr>
        <w:numPr>
          <w:ilvl w:val="0"/>
          <w:numId w:val="8"/>
        </w:numPr>
        <w:spacing w:line="360" w:lineRule="auto"/>
        <w:rPr>
          <w:rFonts w:ascii="Arial" w:hAnsi="Arial" w:cs="Arial"/>
          <w:sz w:val="22"/>
          <w:szCs w:val="22"/>
        </w:rPr>
      </w:pPr>
      <w:r w:rsidRPr="002D509E">
        <w:rPr>
          <w:rFonts w:ascii="Arial" w:hAnsi="Arial" w:cs="Arial"/>
          <w:sz w:val="22"/>
          <w:szCs w:val="22"/>
        </w:rPr>
        <w:t>Key findings</w:t>
      </w:r>
    </w:p>
    <w:p w14:paraId="2C62F5AD"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extracted data were analysed using thematic analysis.</w:t>
      </w:r>
    </w:p>
    <w:p w14:paraId="6C098A0F" w14:textId="204F6E68"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lastRenderedPageBreak/>
        <w:t>This method enabled the identification of common themes across the studies and provided an overview of how waiting affects patients physically, psychologically and socially.</w:t>
      </w:r>
    </w:p>
    <w:p w14:paraId="45024195" w14:textId="77777777" w:rsidR="00ED7F8A" w:rsidRPr="002D509E" w:rsidRDefault="00ED7F8A" w:rsidP="002D509E">
      <w:pPr>
        <w:pStyle w:val="Ttulo2"/>
      </w:pPr>
      <w:bookmarkStart w:id="9" w:name="_Toc232676572"/>
      <w:r w:rsidRPr="002D509E">
        <w:t>3.5 Ethical Considerations</w:t>
      </w:r>
      <w:bookmarkEnd w:id="9"/>
    </w:p>
    <w:p w14:paraId="029ACCC5"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Ethical approval was not required because this research involved secondary analysis of previously published studies.</w:t>
      </w:r>
    </w:p>
    <w:p w14:paraId="07AE5AAA"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Nevertheless, several ethical principles were followed:</w:t>
      </w:r>
    </w:p>
    <w:p w14:paraId="46D8EEF9" w14:textId="77777777" w:rsidR="00ED7F8A" w:rsidRPr="002D509E" w:rsidRDefault="00ED7F8A" w:rsidP="004C1555">
      <w:pPr>
        <w:numPr>
          <w:ilvl w:val="0"/>
          <w:numId w:val="9"/>
        </w:numPr>
        <w:spacing w:line="360" w:lineRule="auto"/>
        <w:rPr>
          <w:rFonts w:ascii="Arial" w:hAnsi="Arial" w:cs="Arial"/>
          <w:sz w:val="22"/>
          <w:szCs w:val="22"/>
        </w:rPr>
      </w:pPr>
      <w:r w:rsidRPr="002D509E">
        <w:rPr>
          <w:rFonts w:ascii="Arial" w:hAnsi="Arial" w:cs="Arial"/>
          <w:sz w:val="22"/>
          <w:szCs w:val="22"/>
        </w:rPr>
        <w:t>Accurate representation of original findings.</w:t>
      </w:r>
    </w:p>
    <w:p w14:paraId="0B548E4F" w14:textId="77777777" w:rsidR="00ED7F8A" w:rsidRPr="002D509E" w:rsidRDefault="00ED7F8A" w:rsidP="004C1555">
      <w:pPr>
        <w:numPr>
          <w:ilvl w:val="0"/>
          <w:numId w:val="9"/>
        </w:numPr>
        <w:spacing w:line="360" w:lineRule="auto"/>
        <w:rPr>
          <w:rFonts w:ascii="Arial" w:hAnsi="Arial" w:cs="Arial"/>
          <w:sz w:val="22"/>
          <w:szCs w:val="22"/>
        </w:rPr>
      </w:pPr>
      <w:r w:rsidRPr="002D509E">
        <w:rPr>
          <w:rFonts w:ascii="Arial" w:hAnsi="Arial" w:cs="Arial"/>
          <w:sz w:val="22"/>
          <w:szCs w:val="22"/>
        </w:rPr>
        <w:t>Respect for study participants represented in the literature.</w:t>
      </w:r>
    </w:p>
    <w:p w14:paraId="45E4184F" w14:textId="77777777" w:rsidR="00ED7F8A" w:rsidRPr="002D509E" w:rsidRDefault="00ED7F8A" w:rsidP="004C1555">
      <w:pPr>
        <w:numPr>
          <w:ilvl w:val="0"/>
          <w:numId w:val="9"/>
        </w:numPr>
        <w:spacing w:line="360" w:lineRule="auto"/>
        <w:rPr>
          <w:rFonts w:ascii="Arial" w:hAnsi="Arial" w:cs="Arial"/>
          <w:sz w:val="22"/>
          <w:szCs w:val="22"/>
        </w:rPr>
      </w:pPr>
      <w:r w:rsidRPr="002D509E">
        <w:rPr>
          <w:rFonts w:ascii="Arial" w:hAnsi="Arial" w:cs="Arial"/>
          <w:sz w:val="22"/>
          <w:szCs w:val="22"/>
        </w:rPr>
        <w:t>Transparent reporting of search and selection methods.</w:t>
      </w:r>
    </w:p>
    <w:p w14:paraId="5A855D99" w14:textId="77777777" w:rsidR="00ED7F8A" w:rsidRPr="002D509E" w:rsidRDefault="00ED7F8A" w:rsidP="004C1555">
      <w:pPr>
        <w:numPr>
          <w:ilvl w:val="0"/>
          <w:numId w:val="9"/>
        </w:numPr>
        <w:spacing w:line="360" w:lineRule="auto"/>
        <w:rPr>
          <w:rFonts w:ascii="Arial" w:hAnsi="Arial" w:cs="Arial"/>
          <w:sz w:val="22"/>
          <w:szCs w:val="22"/>
        </w:rPr>
      </w:pPr>
      <w:r w:rsidRPr="002D509E">
        <w:rPr>
          <w:rFonts w:ascii="Arial" w:hAnsi="Arial" w:cs="Arial"/>
          <w:sz w:val="22"/>
          <w:szCs w:val="22"/>
        </w:rPr>
        <w:t>Avoidance of misleading interpretations.</w:t>
      </w:r>
    </w:p>
    <w:p w14:paraId="49649AB0" w14:textId="77777777" w:rsidR="00ED7F8A" w:rsidRPr="002D509E" w:rsidRDefault="00ED7F8A" w:rsidP="004C1555">
      <w:pPr>
        <w:numPr>
          <w:ilvl w:val="0"/>
          <w:numId w:val="9"/>
        </w:numPr>
        <w:spacing w:line="360" w:lineRule="auto"/>
        <w:rPr>
          <w:rFonts w:ascii="Arial" w:hAnsi="Arial" w:cs="Arial"/>
          <w:sz w:val="22"/>
          <w:szCs w:val="22"/>
        </w:rPr>
      </w:pPr>
      <w:r w:rsidRPr="002D509E">
        <w:rPr>
          <w:rFonts w:ascii="Arial" w:hAnsi="Arial" w:cs="Arial"/>
          <w:sz w:val="22"/>
          <w:szCs w:val="22"/>
        </w:rPr>
        <w:t>Acknowledgement of limitations within the evidence.</w:t>
      </w:r>
    </w:p>
    <w:p w14:paraId="14AC58B2" w14:textId="642BD25E"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review aimed to present findings fairly and objectively without exaggerating conclusions or overlooking contradictory evidence.</w:t>
      </w:r>
    </w:p>
    <w:p w14:paraId="32D3597D" w14:textId="77777777" w:rsidR="00ED7F8A" w:rsidRPr="002D509E" w:rsidRDefault="00ED7F8A" w:rsidP="002D509E">
      <w:pPr>
        <w:pStyle w:val="Ttulo1"/>
      </w:pPr>
      <w:bookmarkStart w:id="10" w:name="_Toc232676573"/>
      <w:r w:rsidRPr="002D509E">
        <w:t>4. Results</w:t>
      </w:r>
      <w:bookmarkEnd w:id="10"/>
    </w:p>
    <w:p w14:paraId="711CEC6B"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A total of five peer-reviewed studies were selected for inclusion in the scoping review. The studies consisted of qualitative and quantitative research investigating patient experiences of waiting for treatment, quality of life, psychological wellbeing and social consequences of delayed healthcare.</w:t>
      </w:r>
    </w:p>
    <w:p w14:paraId="0FF28E3D" w14:textId="77777777" w:rsidR="004C1555" w:rsidRDefault="004C1555" w:rsidP="00ED7F8A">
      <w:pPr>
        <w:rPr>
          <w:rFonts w:ascii="Arial" w:hAnsi="Arial" w:cs="Arial"/>
          <w:b/>
          <w:bCs/>
          <w:sz w:val="22"/>
          <w:szCs w:val="22"/>
        </w:rPr>
      </w:pPr>
    </w:p>
    <w:p w14:paraId="3CD53A67" w14:textId="77777777" w:rsidR="004C1555" w:rsidRDefault="004C1555" w:rsidP="00ED7F8A">
      <w:pPr>
        <w:rPr>
          <w:rFonts w:ascii="Arial" w:hAnsi="Arial" w:cs="Arial"/>
          <w:b/>
          <w:bCs/>
          <w:sz w:val="22"/>
          <w:szCs w:val="22"/>
        </w:rPr>
      </w:pPr>
    </w:p>
    <w:p w14:paraId="198A2604" w14:textId="77777777" w:rsidR="004C1555" w:rsidRDefault="004C1555" w:rsidP="00ED7F8A">
      <w:pPr>
        <w:rPr>
          <w:rFonts w:ascii="Arial" w:hAnsi="Arial" w:cs="Arial"/>
          <w:b/>
          <w:bCs/>
          <w:sz w:val="22"/>
          <w:szCs w:val="22"/>
        </w:rPr>
      </w:pPr>
    </w:p>
    <w:p w14:paraId="7DA6C72B" w14:textId="037690D4" w:rsidR="00ED7F8A" w:rsidRPr="002D509E" w:rsidRDefault="00ED7F8A" w:rsidP="00ED7F8A">
      <w:pPr>
        <w:rPr>
          <w:rFonts w:ascii="Arial" w:hAnsi="Arial" w:cs="Arial"/>
          <w:b/>
          <w:bCs/>
          <w:sz w:val="22"/>
          <w:szCs w:val="22"/>
        </w:rPr>
      </w:pPr>
      <w:r w:rsidRPr="002D509E">
        <w:rPr>
          <w:rFonts w:ascii="Arial" w:hAnsi="Arial" w:cs="Arial"/>
          <w:b/>
          <w:bCs/>
          <w:sz w:val="22"/>
          <w:szCs w:val="22"/>
        </w:rPr>
        <w:t>Table 1: Summary of Included Studies</w:t>
      </w:r>
    </w:p>
    <w:tbl>
      <w:tblPr>
        <w:tblStyle w:val="TabeladeGrelha5Escura-Destaque1"/>
        <w:tblW w:w="0" w:type="auto"/>
        <w:tblLook w:val="04A0" w:firstRow="1" w:lastRow="0" w:firstColumn="1" w:lastColumn="0" w:noHBand="0" w:noVBand="1"/>
      </w:tblPr>
      <w:tblGrid>
        <w:gridCol w:w="1635"/>
        <w:gridCol w:w="1391"/>
        <w:gridCol w:w="2446"/>
        <w:gridCol w:w="3544"/>
      </w:tblGrid>
      <w:tr w:rsidR="00ED7F8A" w:rsidRPr="002D509E" w14:paraId="67F34CD7" w14:textId="77777777" w:rsidTr="002D50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3B808" w14:textId="77777777" w:rsidR="00ED7F8A" w:rsidRPr="002D509E" w:rsidRDefault="00ED7F8A" w:rsidP="00ED7F8A">
            <w:pPr>
              <w:rPr>
                <w:rFonts w:ascii="Arial" w:hAnsi="Arial" w:cs="Arial"/>
                <w:b w:val="0"/>
                <w:bCs w:val="0"/>
                <w:sz w:val="22"/>
                <w:szCs w:val="22"/>
              </w:rPr>
            </w:pPr>
            <w:r w:rsidRPr="002D509E">
              <w:rPr>
                <w:rFonts w:ascii="Arial" w:hAnsi="Arial" w:cs="Arial"/>
                <w:sz w:val="22"/>
                <w:szCs w:val="22"/>
              </w:rPr>
              <w:t>Author</w:t>
            </w:r>
          </w:p>
        </w:tc>
        <w:tc>
          <w:tcPr>
            <w:tcW w:w="0" w:type="auto"/>
            <w:hideMark/>
          </w:tcPr>
          <w:p w14:paraId="1527C4AE" w14:textId="77777777" w:rsidR="00ED7F8A" w:rsidRPr="002D509E" w:rsidRDefault="00ED7F8A" w:rsidP="00ED7F8A">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D509E">
              <w:rPr>
                <w:rFonts w:ascii="Arial" w:hAnsi="Arial" w:cs="Arial"/>
                <w:sz w:val="22"/>
                <w:szCs w:val="22"/>
              </w:rPr>
              <w:t>Design</w:t>
            </w:r>
          </w:p>
        </w:tc>
        <w:tc>
          <w:tcPr>
            <w:tcW w:w="0" w:type="auto"/>
            <w:hideMark/>
          </w:tcPr>
          <w:p w14:paraId="31B0FC6A" w14:textId="77777777" w:rsidR="00ED7F8A" w:rsidRPr="002D509E" w:rsidRDefault="00ED7F8A" w:rsidP="00ED7F8A">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D509E">
              <w:rPr>
                <w:rFonts w:ascii="Arial" w:hAnsi="Arial" w:cs="Arial"/>
                <w:sz w:val="22"/>
                <w:szCs w:val="22"/>
              </w:rPr>
              <w:t>Population</w:t>
            </w:r>
          </w:p>
        </w:tc>
        <w:tc>
          <w:tcPr>
            <w:tcW w:w="0" w:type="auto"/>
            <w:hideMark/>
          </w:tcPr>
          <w:p w14:paraId="6DD037A3" w14:textId="77777777" w:rsidR="00ED7F8A" w:rsidRPr="002D509E" w:rsidRDefault="00ED7F8A" w:rsidP="00ED7F8A">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D509E">
              <w:rPr>
                <w:rFonts w:ascii="Arial" w:hAnsi="Arial" w:cs="Arial"/>
                <w:sz w:val="22"/>
                <w:szCs w:val="22"/>
              </w:rPr>
              <w:t>Main Findings</w:t>
            </w:r>
          </w:p>
        </w:tc>
      </w:tr>
      <w:tr w:rsidR="00ED7F8A" w:rsidRPr="002D509E" w14:paraId="4E49B1A5" w14:textId="77777777" w:rsidTr="002D5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D7D235" w14:textId="77777777" w:rsidR="00ED7F8A" w:rsidRPr="002D509E" w:rsidRDefault="00ED7F8A" w:rsidP="00ED7F8A">
            <w:pPr>
              <w:rPr>
                <w:rFonts w:ascii="Arial" w:hAnsi="Arial" w:cs="Arial"/>
                <w:sz w:val="22"/>
                <w:szCs w:val="22"/>
              </w:rPr>
            </w:pPr>
            <w:r w:rsidRPr="002D509E">
              <w:rPr>
                <w:rFonts w:ascii="Arial" w:hAnsi="Arial" w:cs="Arial"/>
                <w:sz w:val="22"/>
                <w:szCs w:val="22"/>
              </w:rPr>
              <w:t>Chan et al. (2025)</w:t>
            </w:r>
          </w:p>
        </w:tc>
        <w:tc>
          <w:tcPr>
            <w:tcW w:w="0" w:type="auto"/>
            <w:hideMark/>
          </w:tcPr>
          <w:p w14:paraId="21A82FFF"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Qualitative</w:t>
            </w:r>
          </w:p>
        </w:tc>
        <w:tc>
          <w:tcPr>
            <w:tcW w:w="0" w:type="auto"/>
            <w:hideMark/>
          </w:tcPr>
          <w:p w14:paraId="4C45FD1D"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Orthopaedic NHS patients</w:t>
            </w:r>
          </w:p>
        </w:tc>
        <w:tc>
          <w:tcPr>
            <w:tcW w:w="0" w:type="auto"/>
            <w:hideMark/>
          </w:tcPr>
          <w:p w14:paraId="340C1335"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Pain, anxiety, social disruption and reduced trust</w:t>
            </w:r>
          </w:p>
        </w:tc>
      </w:tr>
      <w:tr w:rsidR="00ED7F8A" w:rsidRPr="002D509E" w14:paraId="56932D8C" w14:textId="77777777" w:rsidTr="002D509E">
        <w:tc>
          <w:tcPr>
            <w:cnfStyle w:val="001000000000" w:firstRow="0" w:lastRow="0" w:firstColumn="1" w:lastColumn="0" w:oddVBand="0" w:evenVBand="0" w:oddHBand="0" w:evenHBand="0" w:firstRowFirstColumn="0" w:firstRowLastColumn="0" w:lastRowFirstColumn="0" w:lastRowLastColumn="0"/>
            <w:tcW w:w="0" w:type="auto"/>
            <w:hideMark/>
          </w:tcPr>
          <w:p w14:paraId="7C30D52A" w14:textId="77777777" w:rsidR="00ED7F8A" w:rsidRPr="002D509E" w:rsidRDefault="00ED7F8A" w:rsidP="00ED7F8A">
            <w:pPr>
              <w:rPr>
                <w:rFonts w:ascii="Arial" w:hAnsi="Arial" w:cs="Arial"/>
                <w:sz w:val="22"/>
                <w:szCs w:val="22"/>
              </w:rPr>
            </w:pPr>
            <w:r w:rsidRPr="002D509E">
              <w:rPr>
                <w:rFonts w:ascii="Arial" w:hAnsi="Arial" w:cs="Arial"/>
                <w:sz w:val="22"/>
                <w:szCs w:val="22"/>
              </w:rPr>
              <w:t>Oudhoff et al. (2007)</w:t>
            </w:r>
          </w:p>
        </w:tc>
        <w:tc>
          <w:tcPr>
            <w:tcW w:w="0" w:type="auto"/>
            <w:hideMark/>
          </w:tcPr>
          <w:p w14:paraId="786E9E5F" w14:textId="77777777" w:rsidR="00ED7F8A" w:rsidRPr="002D509E" w:rsidRDefault="00ED7F8A" w:rsidP="00ED7F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D509E">
              <w:rPr>
                <w:rFonts w:ascii="Arial" w:hAnsi="Arial" w:cs="Arial"/>
                <w:sz w:val="22"/>
                <w:szCs w:val="22"/>
              </w:rPr>
              <w:t>Quantitative</w:t>
            </w:r>
          </w:p>
        </w:tc>
        <w:tc>
          <w:tcPr>
            <w:tcW w:w="0" w:type="auto"/>
            <w:hideMark/>
          </w:tcPr>
          <w:p w14:paraId="46BE94ED" w14:textId="77777777" w:rsidR="00ED7F8A" w:rsidRPr="002D509E" w:rsidRDefault="00ED7F8A" w:rsidP="00ED7F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D509E">
              <w:rPr>
                <w:rFonts w:ascii="Arial" w:hAnsi="Arial" w:cs="Arial"/>
                <w:sz w:val="22"/>
                <w:szCs w:val="22"/>
              </w:rPr>
              <w:t>Elective surgery patients</w:t>
            </w:r>
          </w:p>
        </w:tc>
        <w:tc>
          <w:tcPr>
            <w:tcW w:w="0" w:type="auto"/>
            <w:hideMark/>
          </w:tcPr>
          <w:p w14:paraId="18643007" w14:textId="77777777" w:rsidR="00ED7F8A" w:rsidRPr="002D509E" w:rsidRDefault="00ED7F8A" w:rsidP="00ED7F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D509E">
              <w:rPr>
                <w:rFonts w:ascii="Arial" w:hAnsi="Arial" w:cs="Arial"/>
                <w:sz w:val="22"/>
                <w:szCs w:val="22"/>
              </w:rPr>
              <w:t>Reduced quality of life and increased psychological distress</w:t>
            </w:r>
          </w:p>
        </w:tc>
      </w:tr>
      <w:tr w:rsidR="00ED7F8A" w:rsidRPr="002D509E" w14:paraId="2E1A75B9" w14:textId="77777777" w:rsidTr="002D5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725C1" w14:textId="77777777" w:rsidR="00ED7F8A" w:rsidRPr="002D509E" w:rsidRDefault="00ED7F8A" w:rsidP="00ED7F8A">
            <w:pPr>
              <w:rPr>
                <w:rFonts w:ascii="Arial" w:hAnsi="Arial" w:cs="Arial"/>
                <w:sz w:val="22"/>
                <w:szCs w:val="22"/>
              </w:rPr>
            </w:pPr>
            <w:r w:rsidRPr="002D509E">
              <w:rPr>
                <w:rFonts w:ascii="Arial" w:hAnsi="Arial" w:cs="Arial"/>
                <w:sz w:val="22"/>
                <w:szCs w:val="22"/>
              </w:rPr>
              <w:t>Chan et al. (2025)</w:t>
            </w:r>
          </w:p>
        </w:tc>
        <w:tc>
          <w:tcPr>
            <w:tcW w:w="0" w:type="auto"/>
            <w:hideMark/>
          </w:tcPr>
          <w:p w14:paraId="2F804B69"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Qualitative</w:t>
            </w:r>
          </w:p>
        </w:tc>
        <w:tc>
          <w:tcPr>
            <w:tcW w:w="0" w:type="auto"/>
            <w:hideMark/>
          </w:tcPr>
          <w:p w14:paraId="67D9BD01"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NHS waiting patients</w:t>
            </w:r>
          </w:p>
        </w:tc>
        <w:tc>
          <w:tcPr>
            <w:tcW w:w="0" w:type="auto"/>
            <w:hideMark/>
          </w:tcPr>
          <w:p w14:paraId="2734C29B"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Need for emotional and practical support</w:t>
            </w:r>
          </w:p>
        </w:tc>
      </w:tr>
      <w:tr w:rsidR="00ED7F8A" w:rsidRPr="002D509E" w14:paraId="1DF059B1" w14:textId="77777777" w:rsidTr="002D509E">
        <w:tc>
          <w:tcPr>
            <w:cnfStyle w:val="001000000000" w:firstRow="0" w:lastRow="0" w:firstColumn="1" w:lastColumn="0" w:oddVBand="0" w:evenVBand="0" w:oddHBand="0" w:evenHBand="0" w:firstRowFirstColumn="0" w:firstRowLastColumn="0" w:lastRowFirstColumn="0" w:lastRowLastColumn="0"/>
            <w:tcW w:w="0" w:type="auto"/>
            <w:hideMark/>
          </w:tcPr>
          <w:p w14:paraId="482303A3" w14:textId="77777777" w:rsidR="00ED7F8A" w:rsidRPr="002D509E" w:rsidRDefault="00ED7F8A" w:rsidP="00ED7F8A">
            <w:pPr>
              <w:rPr>
                <w:rFonts w:ascii="Arial" w:hAnsi="Arial" w:cs="Arial"/>
                <w:sz w:val="22"/>
                <w:szCs w:val="22"/>
              </w:rPr>
            </w:pPr>
            <w:r w:rsidRPr="002D509E">
              <w:rPr>
                <w:rFonts w:ascii="Arial" w:hAnsi="Arial" w:cs="Arial"/>
                <w:sz w:val="22"/>
                <w:szCs w:val="22"/>
              </w:rPr>
              <w:t>Chan et al. (2025)</w:t>
            </w:r>
          </w:p>
        </w:tc>
        <w:tc>
          <w:tcPr>
            <w:tcW w:w="0" w:type="auto"/>
            <w:hideMark/>
          </w:tcPr>
          <w:p w14:paraId="024F5E5C" w14:textId="77777777" w:rsidR="00ED7F8A" w:rsidRPr="002D509E" w:rsidRDefault="00ED7F8A" w:rsidP="00ED7F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D509E">
              <w:rPr>
                <w:rFonts w:ascii="Arial" w:hAnsi="Arial" w:cs="Arial"/>
                <w:sz w:val="22"/>
                <w:szCs w:val="22"/>
              </w:rPr>
              <w:t>Qualitative</w:t>
            </w:r>
          </w:p>
        </w:tc>
        <w:tc>
          <w:tcPr>
            <w:tcW w:w="0" w:type="auto"/>
            <w:hideMark/>
          </w:tcPr>
          <w:p w14:paraId="39E3903E" w14:textId="77777777" w:rsidR="00ED7F8A" w:rsidRPr="002D509E" w:rsidRDefault="00ED7F8A" w:rsidP="00ED7F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D509E">
              <w:rPr>
                <w:rFonts w:ascii="Arial" w:hAnsi="Arial" w:cs="Arial"/>
                <w:sz w:val="22"/>
                <w:szCs w:val="22"/>
              </w:rPr>
              <w:t>Patients from different social groups</w:t>
            </w:r>
          </w:p>
        </w:tc>
        <w:tc>
          <w:tcPr>
            <w:tcW w:w="0" w:type="auto"/>
            <w:hideMark/>
          </w:tcPr>
          <w:p w14:paraId="6A21636E" w14:textId="77777777" w:rsidR="00ED7F8A" w:rsidRPr="002D509E" w:rsidRDefault="00ED7F8A" w:rsidP="00ED7F8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D509E">
              <w:rPr>
                <w:rFonts w:ascii="Arial" w:hAnsi="Arial" w:cs="Arial"/>
                <w:sz w:val="22"/>
                <w:szCs w:val="22"/>
              </w:rPr>
              <w:t>Health inequalities influenced waiting experiences</w:t>
            </w:r>
          </w:p>
        </w:tc>
      </w:tr>
      <w:tr w:rsidR="00ED7F8A" w:rsidRPr="002D509E" w14:paraId="72448EB2" w14:textId="77777777" w:rsidTr="002D50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AD8FE7" w14:textId="77777777" w:rsidR="00ED7F8A" w:rsidRPr="002D509E" w:rsidRDefault="00ED7F8A" w:rsidP="00ED7F8A">
            <w:pPr>
              <w:rPr>
                <w:rFonts w:ascii="Arial" w:hAnsi="Arial" w:cs="Arial"/>
                <w:sz w:val="22"/>
                <w:szCs w:val="22"/>
              </w:rPr>
            </w:pPr>
            <w:r w:rsidRPr="002D509E">
              <w:rPr>
                <w:rFonts w:ascii="Arial" w:hAnsi="Arial" w:cs="Arial"/>
                <w:sz w:val="22"/>
                <w:szCs w:val="22"/>
              </w:rPr>
              <w:t>Oudhoff et al. (2007)</w:t>
            </w:r>
          </w:p>
        </w:tc>
        <w:tc>
          <w:tcPr>
            <w:tcW w:w="0" w:type="auto"/>
            <w:hideMark/>
          </w:tcPr>
          <w:p w14:paraId="25765807"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Quantitative</w:t>
            </w:r>
          </w:p>
        </w:tc>
        <w:tc>
          <w:tcPr>
            <w:tcW w:w="0" w:type="auto"/>
            <w:hideMark/>
          </w:tcPr>
          <w:p w14:paraId="481BC67B"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Elective patients</w:t>
            </w:r>
          </w:p>
        </w:tc>
        <w:tc>
          <w:tcPr>
            <w:tcW w:w="0" w:type="auto"/>
            <w:hideMark/>
          </w:tcPr>
          <w:p w14:paraId="6C9A3087" w14:textId="77777777" w:rsidR="00ED7F8A" w:rsidRPr="002D509E" w:rsidRDefault="00ED7F8A" w:rsidP="00ED7F8A">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D509E">
              <w:rPr>
                <w:rFonts w:ascii="Arial" w:hAnsi="Arial" w:cs="Arial"/>
                <w:sz w:val="22"/>
                <w:szCs w:val="22"/>
              </w:rPr>
              <w:t>Longer waits associated with poorer wellbeing</w:t>
            </w:r>
          </w:p>
        </w:tc>
      </w:tr>
    </w:tbl>
    <w:p w14:paraId="4B2332FB" w14:textId="77777777" w:rsidR="00ED7F8A" w:rsidRPr="002D509E" w:rsidRDefault="00000000" w:rsidP="00ED7F8A">
      <w:pPr>
        <w:rPr>
          <w:rFonts w:ascii="Arial" w:hAnsi="Arial" w:cs="Arial"/>
          <w:sz w:val="22"/>
          <w:szCs w:val="22"/>
        </w:rPr>
      </w:pPr>
      <w:r>
        <w:rPr>
          <w:rFonts w:ascii="Arial" w:hAnsi="Arial" w:cs="Arial"/>
          <w:sz w:val="22"/>
          <w:szCs w:val="22"/>
        </w:rPr>
        <w:lastRenderedPageBreak/>
        <w:pict w14:anchorId="76A30421">
          <v:rect id="_x0000_i1025" style="width:0;height:1.5pt" o:hralign="center" o:hrstd="t" o:hr="t" fillcolor="#a0a0a0" stroked="f"/>
        </w:pict>
      </w:r>
    </w:p>
    <w:p w14:paraId="2067ABD1" w14:textId="77777777" w:rsidR="00ED7F8A" w:rsidRPr="002D509E" w:rsidRDefault="00ED7F8A" w:rsidP="00ED7F8A">
      <w:pPr>
        <w:rPr>
          <w:rFonts w:ascii="Arial" w:hAnsi="Arial" w:cs="Arial"/>
          <w:b/>
          <w:bCs/>
          <w:sz w:val="22"/>
          <w:szCs w:val="22"/>
        </w:rPr>
      </w:pPr>
      <w:r w:rsidRPr="002D509E">
        <w:rPr>
          <w:rFonts w:ascii="Arial" w:hAnsi="Arial" w:cs="Arial"/>
          <w:b/>
          <w:bCs/>
          <w:sz w:val="22"/>
          <w:szCs w:val="22"/>
        </w:rPr>
        <w:t>Theme 1: Physical Deterioration During Waiting</w:t>
      </w:r>
    </w:p>
    <w:p w14:paraId="4437223B"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first major theme identified was physical deterioration while awaiting treatment.</w:t>
      </w:r>
    </w:p>
    <w:p w14:paraId="1228F8D8"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Patients frequently described increasing pain, worsening symptoms and declining mobility. Waiting often limited their ability to perform daily activities such as walking, working and caring for family members.</w:t>
      </w:r>
    </w:p>
    <w:p w14:paraId="48DF2DEA"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Chan et al. (2025) found that many orthopaedic patients experienced worsening pain throughout the waiting period. Several participants described feeling that their health was declining while waiting for surgery.</w:t>
      </w:r>
    </w:p>
    <w:p w14:paraId="34F153BC"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Similarly, Oudhoff et al. (2007) reported that longer waiting periods were associated with poorer health-related quality of life and increased physical limitations.</w:t>
      </w:r>
    </w:p>
    <w:p w14:paraId="3490B813" w14:textId="03EC1ACD"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evidence suggests that waiting is not a static period but one during which physical health may continue to deteriorate.</w:t>
      </w:r>
    </w:p>
    <w:p w14:paraId="2EF281D4" w14:textId="77777777" w:rsidR="00ED7F8A" w:rsidRPr="002D509E" w:rsidRDefault="00ED7F8A" w:rsidP="00ED7F8A">
      <w:pPr>
        <w:rPr>
          <w:rFonts w:ascii="Arial" w:hAnsi="Arial" w:cs="Arial"/>
          <w:b/>
          <w:bCs/>
          <w:sz w:val="22"/>
          <w:szCs w:val="22"/>
        </w:rPr>
      </w:pPr>
      <w:r w:rsidRPr="002D509E">
        <w:rPr>
          <w:rFonts w:ascii="Arial" w:hAnsi="Arial" w:cs="Arial"/>
          <w:b/>
          <w:bCs/>
          <w:sz w:val="22"/>
          <w:szCs w:val="22"/>
        </w:rPr>
        <w:t>Theme 2: Psychological Distress and Anxiety</w:t>
      </w:r>
    </w:p>
    <w:p w14:paraId="286B5C16"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Psychological wellbeing emerged as one of the strongest themes across the literature.</w:t>
      </w:r>
    </w:p>
    <w:p w14:paraId="39B88911"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Patients frequently experienced:</w:t>
      </w:r>
    </w:p>
    <w:p w14:paraId="776F192E" w14:textId="77777777" w:rsidR="00ED7F8A" w:rsidRPr="002D509E" w:rsidRDefault="00ED7F8A" w:rsidP="004C1555">
      <w:pPr>
        <w:numPr>
          <w:ilvl w:val="0"/>
          <w:numId w:val="10"/>
        </w:numPr>
        <w:spacing w:line="360" w:lineRule="auto"/>
        <w:rPr>
          <w:rFonts w:ascii="Arial" w:hAnsi="Arial" w:cs="Arial"/>
          <w:sz w:val="22"/>
          <w:szCs w:val="22"/>
        </w:rPr>
      </w:pPr>
      <w:r w:rsidRPr="002D509E">
        <w:rPr>
          <w:rFonts w:ascii="Arial" w:hAnsi="Arial" w:cs="Arial"/>
          <w:sz w:val="22"/>
          <w:szCs w:val="22"/>
        </w:rPr>
        <w:t>Anxiety</w:t>
      </w:r>
    </w:p>
    <w:p w14:paraId="7C25E8E7" w14:textId="77777777" w:rsidR="00ED7F8A" w:rsidRPr="002D509E" w:rsidRDefault="00ED7F8A" w:rsidP="004C1555">
      <w:pPr>
        <w:numPr>
          <w:ilvl w:val="0"/>
          <w:numId w:val="10"/>
        </w:numPr>
        <w:spacing w:line="360" w:lineRule="auto"/>
        <w:rPr>
          <w:rFonts w:ascii="Arial" w:hAnsi="Arial" w:cs="Arial"/>
          <w:sz w:val="22"/>
          <w:szCs w:val="22"/>
        </w:rPr>
      </w:pPr>
      <w:r w:rsidRPr="002D509E">
        <w:rPr>
          <w:rFonts w:ascii="Arial" w:hAnsi="Arial" w:cs="Arial"/>
          <w:sz w:val="22"/>
          <w:szCs w:val="22"/>
        </w:rPr>
        <w:t>Stress</w:t>
      </w:r>
    </w:p>
    <w:p w14:paraId="5564D509" w14:textId="77777777" w:rsidR="00ED7F8A" w:rsidRPr="002D509E" w:rsidRDefault="00ED7F8A" w:rsidP="004C1555">
      <w:pPr>
        <w:numPr>
          <w:ilvl w:val="0"/>
          <w:numId w:val="10"/>
        </w:numPr>
        <w:spacing w:line="360" w:lineRule="auto"/>
        <w:rPr>
          <w:rFonts w:ascii="Arial" w:hAnsi="Arial" w:cs="Arial"/>
          <w:sz w:val="22"/>
          <w:szCs w:val="22"/>
        </w:rPr>
      </w:pPr>
      <w:r w:rsidRPr="002D509E">
        <w:rPr>
          <w:rFonts w:ascii="Arial" w:hAnsi="Arial" w:cs="Arial"/>
          <w:sz w:val="22"/>
          <w:szCs w:val="22"/>
        </w:rPr>
        <w:t>Depression</w:t>
      </w:r>
    </w:p>
    <w:p w14:paraId="184DA27F" w14:textId="77777777" w:rsidR="00ED7F8A" w:rsidRPr="002D509E" w:rsidRDefault="00ED7F8A" w:rsidP="004C1555">
      <w:pPr>
        <w:numPr>
          <w:ilvl w:val="0"/>
          <w:numId w:val="10"/>
        </w:numPr>
        <w:spacing w:line="360" w:lineRule="auto"/>
        <w:rPr>
          <w:rFonts w:ascii="Arial" w:hAnsi="Arial" w:cs="Arial"/>
          <w:sz w:val="22"/>
          <w:szCs w:val="22"/>
        </w:rPr>
      </w:pPr>
      <w:r w:rsidRPr="002D509E">
        <w:rPr>
          <w:rFonts w:ascii="Arial" w:hAnsi="Arial" w:cs="Arial"/>
          <w:sz w:val="22"/>
          <w:szCs w:val="22"/>
        </w:rPr>
        <w:t>Fear of worsening illness</w:t>
      </w:r>
    </w:p>
    <w:p w14:paraId="755FAF03" w14:textId="77777777" w:rsidR="00ED7F8A" w:rsidRPr="002D509E" w:rsidRDefault="00ED7F8A" w:rsidP="004C1555">
      <w:pPr>
        <w:numPr>
          <w:ilvl w:val="0"/>
          <w:numId w:val="10"/>
        </w:numPr>
        <w:spacing w:line="360" w:lineRule="auto"/>
        <w:rPr>
          <w:rFonts w:ascii="Arial" w:hAnsi="Arial" w:cs="Arial"/>
          <w:sz w:val="22"/>
          <w:szCs w:val="22"/>
        </w:rPr>
      </w:pPr>
      <w:r w:rsidRPr="002D509E">
        <w:rPr>
          <w:rFonts w:ascii="Arial" w:hAnsi="Arial" w:cs="Arial"/>
          <w:sz w:val="22"/>
          <w:szCs w:val="22"/>
        </w:rPr>
        <w:t>Frustration</w:t>
      </w:r>
    </w:p>
    <w:p w14:paraId="72C9EDDD" w14:textId="77777777" w:rsidR="00ED7F8A" w:rsidRPr="002D509E" w:rsidRDefault="00ED7F8A" w:rsidP="004C1555">
      <w:pPr>
        <w:numPr>
          <w:ilvl w:val="0"/>
          <w:numId w:val="10"/>
        </w:numPr>
        <w:spacing w:line="360" w:lineRule="auto"/>
        <w:rPr>
          <w:rFonts w:ascii="Arial" w:hAnsi="Arial" w:cs="Arial"/>
          <w:sz w:val="22"/>
          <w:szCs w:val="22"/>
        </w:rPr>
      </w:pPr>
      <w:r w:rsidRPr="002D509E">
        <w:rPr>
          <w:rFonts w:ascii="Arial" w:hAnsi="Arial" w:cs="Arial"/>
          <w:sz w:val="22"/>
          <w:szCs w:val="22"/>
        </w:rPr>
        <w:t>Feelings of helplessness</w:t>
      </w:r>
    </w:p>
    <w:p w14:paraId="47B72727"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Uncertainty regarding treatment dates contributed significantly to emotional distress.</w:t>
      </w:r>
    </w:p>
    <w:p w14:paraId="5865E459"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Chan et al. (2025) reported that patients often felt forgotten by the healthcare system and expressed concerns about whether they would ever receive treatment.</w:t>
      </w:r>
    </w:p>
    <w:p w14:paraId="57F61AB9" w14:textId="77777777"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Oudhoff et al. (2007) found that waiting patients had significantly lower mental wellbeing and quality of life compared with people who had already received treatment.</w:t>
      </w:r>
    </w:p>
    <w:p w14:paraId="28B0D083" w14:textId="369F171D" w:rsidR="00ED7F8A" w:rsidRPr="002D509E" w:rsidRDefault="00ED7F8A" w:rsidP="004C1555">
      <w:pPr>
        <w:spacing w:line="360" w:lineRule="auto"/>
        <w:rPr>
          <w:rFonts w:ascii="Arial" w:hAnsi="Arial" w:cs="Arial"/>
          <w:sz w:val="22"/>
          <w:szCs w:val="22"/>
        </w:rPr>
      </w:pPr>
      <w:r w:rsidRPr="002D509E">
        <w:rPr>
          <w:rFonts w:ascii="Arial" w:hAnsi="Arial" w:cs="Arial"/>
          <w:sz w:val="22"/>
          <w:szCs w:val="22"/>
        </w:rPr>
        <w:t>The findings suggest that waiting itself can become an important psychological burden.</w:t>
      </w:r>
    </w:p>
    <w:p w14:paraId="1795F214" w14:textId="77777777" w:rsidR="004C1555" w:rsidRDefault="004C1555" w:rsidP="00ED7F8A">
      <w:pPr>
        <w:rPr>
          <w:rFonts w:ascii="Arial" w:hAnsi="Arial" w:cs="Arial"/>
          <w:b/>
          <w:bCs/>
          <w:sz w:val="22"/>
          <w:szCs w:val="22"/>
        </w:rPr>
      </w:pPr>
    </w:p>
    <w:p w14:paraId="223BFD7F" w14:textId="453EDC4B" w:rsidR="00ED7F8A" w:rsidRPr="002D509E" w:rsidRDefault="00ED7F8A" w:rsidP="00ED7F8A">
      <w:pPr>
        <w:rPr>
          <w:rFonts w:ascii="Arial" w:hAnsi="Arial" w:cs="Arial"/>
          <w:b/>
          <w:bCs/>
          <w:sz w:val="22"/>
          <w:szCs w:val="22"/>
        </w:rPr>
      </w:pPr>
      <w:r w:rsidRPr="002D509E">
        <w:rPr>
          <w:rFonts w:ascii="Arial" w:hAnsi="Arial" w:cs="Arial"/>
          <w:b/>
          <w:bCs/>
          <w:sz w:val="22"/>
          <w:szCs w:val="22"/>
        </w:rPr>
        <w:lastRenderedPageBreak/>
        <w:t>Theme 3: Social and Family Consequences</w:t>
      </w:r>
    </w:p>
    <w:p w14:paraId="7278A4AF"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Long waiting periods also affected patients' social lives and relationships.</w:t>
      </w:r>
    </w:p>
    <w:p w14:paraId="1952CC95"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Participants reported:</w:t>
      </w:r>
    </w:p>
    <w:p w14:paraId="187F1F1D" w14:textId="77777777" w:rsidR="00ED7F8A" w:rsidRPr="002D509E" w:rsidRDefault="00ED7F8A" w:rsidP="00CF280F">
      <w:pPr>
        <w:numPr>
          <w:ilvl w:val="0"/>
          <w:numId w:val="11"/>
        </w:numPr>
        <w:spacing w:line="360" w:lineRule="auto"/>
        <w:rPr>
          <w:rFonts w:ascii="Arial" w:hAnsi="Arial" w:cs="Arial"/>
          <w:sz w:val="22"/>
          <w:szCs w:val="22"/>
        </w:rPr>
      </w:pPr>
      <w:r w:rsidRPr="002D509E">
        <w:rPr>
          <w:rFonts w:ascii="Arial" w:hAnsi="Arial" w:cs="Arial"/>
          <w:sz w:val="22"/>
          <w:szCs w:val="22"/>
        </w:rPr>
        <w:t>Reduced participation in social activities.</w:t>
      </w:r>
    </w:p>
    <w:p w14:paraId="5FD94ABD" w14:textId="77777777" w:rsidR="00ED7F8A" w:rsidRPr="002D509E" w:rsidRDefault="00ED7F8A" w:rsidP="00CF280F">
      <w:pPr>
        <w:numPr>
          <w:ilvl w:val="0"/>
          <w:numId w:val="11"/>
        </w:numPr>
        <w:spacing w:line="360" w:lineRule="auto"/>
        <w:rPr>
          <w:rFonts w:ascii="Arial" w:hAnsi="Arial" w:cs="Arial"/>
          <w:sz w:val="22"/>
          <w:szCs w:val="22"/>
        </w:rPr>
      </w:pPr>
      <w:r w:rsidRPr="002D509E">
        <w:rPr>
          <w:rFonts w:ascii="Arial" w:hAnsi="Arial" w:cs="Arial"/>
          <w:sz w:val="22"/>
          <w:szCs w:val="22"/>
        </w:rPr>
        <w:t>Dependence on family members.</w:t>
      </w:r>
    </w:p>
    <w:p w14:paraId="2E151F22" w14:textId="77777777" w:rsidR="00ED7F8A" w:rsidRPr="002D509E" w:rsidRDefault="00ED7F8A" w:rsidP="00CF280F">
      <w:pPr>
        <w:numPr>
          <w:ilvl w:val="0"/>
          <w:numId w:val="11"/>
        </w:numPr>
        <w:spacing w:line="360" w:lineRule="auto"/>
        <w:rPr>
          <w:rFonts w:ascii="Arial" w:hAnsi="Arial" w:cs="Arial"/>
          <w:sz w:val="22"/>
          <w:szCs w:val="22"/>
        </w:rPr>
      </w:pPr>
      <w:r w:rsidRPr="002D509E">
        <w:rPr>
          <w:rFonts w:ascii="Arial" w:hAnsi="Arial" w:cs="Arial"/>
          <w:sz w:val="22"/>
          <w:szCs w:val="22"/>
        </w:rPr>
        <w:t>Inability to work.</w:t>
      </w:r>
    </w:p>
    <w:p w14:paraId="7B583975" w14:textId="77777777" w:rsidR="00ED7F8A" w:rsidRPr="002D509E" w:rsidRDefault="00ED7F8A" w:rsidP="00CF280F">
      <w:pPr>
        <w:numPr>
          <w:ilvl w:val="0"/>
          <w:numId w:val="11"/>
        </w:numPr>
        <w:spacing w:line="360" w:lineRule="auto"/>
        <w:rPr>
          <w:rFonts w:ascii="Arial" w:hAnsi="Arial" w:cs="Arial"/>
          <w:sz w:val="22"/>
          <w:szCs w:val="22"/>
        </w:rPr>
      </w:pPr>
      <w:r w:rsidRPr="002D509E">
        <w:rPr>
          <w:rFonts w:ascii="Arial" w:hAnsi="Arial" w:cs="Arial"/>
          <w:sz w:val="22"/>
          <w:szCs w:val="22"/>
        </w:rPr>
        <w:t>Financial difficulties.</w:t>
      </w:r>
    </w:p>
    <w:p w14:paraId="02A1431B" w14:textId="77777777" w:rsidR="00ED7F8A" w:rsidRPr="002D509E" w:rsidRDefault="00ED7F8A" w:rsidP="00CF280F">
      <w:pPr>
        <w:numPr>
          <w:ilvl w:val="0"/>
          <w:numId w:val="11"/>
        </w:numPr>
        <w:spacing w:line="360" w:lineRule="auto"/>
        <w:rPr>
          <w:rFonts w:ascii="Arial" w:hAnsi="Arial" w:cs="Arial"/>
          <w:sz w:val="22"/>
          <w:szCs w:val="22"/>
        </w:rPr>
      </w:pPr>
      <w:r w:rsidRPr="002D509E">
        <w:rPr>
          <w:rFonts w:ascii="Arial" w:hAnsi="Arial" w:cs="Arial"/>
          <w:sz w:val="22"/>
          <w:szCs w:val="22"/>
        </w:rPr>
        <w:t>Delayed life plans.</w:t>
      </w:r>
    </w:p>
    <w:p w14:paraId="7F981130"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Chan et al. (2025) found that patients frequently described feelings of isolation and frustration because they could no longer participate fully in family and social life.</w:t>
      </w:r>
    </w:p>
    <w:p w14:paraId="0F74E7B5" w14:textId="7AC1EF0A"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Many individuals postponed holidays, employment opportunities and important family decisions because of uncertainty regarding treatment.</w:t>
      </w:r>
    </w:p>
    <w:p w14:paraId="12E9BD69" w14:textId="77777777" w:rsidR="00ED7F8A" w:rsidRPr="002D509E" w:rsidRDefault="00ED7F8A" w:rsidP="00ED7F8A">
      <w:pPr>
        <w:rPr>
          <w:rFonts w:ascii="Arial" w:hAnsi="Arial" w:cs="Arial"/>
          <w:b/>
          <w:bCs/>
          <w:sz w:val="22"/>
          <w:szCs w:val="22"/>
        </w:rPr>
      </w:pPr>
      <w:r w:rsidRPr="002D509E">
        <w:rPr>
          <w:rFonts w:ascii="Arial" w:hAnsi="Arial" w:cs="Arial"/>
          <w:b/>
          <w:bCs/>
          <w:sz w:val="22"/>
          <w:szCs w:val="22"/>
        </w:rPr>
        <w:t>Theme 4: Health Inequalities</w:t>
      </w:r>
    </w:p>
    <w:p w14:paraId="2C141088"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Another important theme concerned health inequalities.</w:t>
      </w:r>
    </w:p>
    <w:p w14:paraId="18CAEB67"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Patients from disadvantaged backgrounds often experienced greater challenges during long waiting periods.</w:t>
      </w:r>
    </w:p>
    <w:p w14:paraId="3BB59886"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Financial difficulties, limited social support and poorer baseline health increased vulnerability to:</w:t>
      </w:r>
    </w:p>
    <w:p w14:paraId="40A918CF" w14:textId="77777777" w:rsidR="00ED7F8A" w:rsidRPr="002D509E" w:rsidRDefault="00ED7F8A" w:rsidP="00CF280F">
      <w:pPr>
        <w:numPr>
          <w:ilvl w:val="0"/>
          <w:numId w:val="12"/>
        </w:numPr>
        <w:spacing w:line="360" w:lineRule="auto"/>
        <w:rPr>
          <w:rFonts w:ascii="Arial" w:hAnsi="Arial" w:cs="Arial"/>
          <w:sz w:val="22"/>
          <w:szCs w:val="22"/>
        </w:rPr>
      </w:pPr>
      <w:r w:rsidRPr="002D509E">
        <w:rPr>
          <w:rFonts w:ascii="Arial" w:hAnsi="Arial" w:cs="Arial"/>
          <w:sz w:val="22"/>
          <w:szCs w:val="22"/>
        </w:rPr>
        <w:t>Psychological distress.</w:t>
      </w:r>
    </w:p>
    <w:p w14:paraId="322985A8" w14:textId="77777777" w:rsidR="00ED7F8A" w:rsidRPr="002D509E" w:rsidRDefault="00ED7F8A" w:rsidP="00CF280F">
      <w:pPr>
        <w:numPr>
          <w:ilvl w:val="0"/>
          <w:numId w:val="12"/>
        </w:numPr>
        <w:spacing w:line="360" w:lineRule="auto"/>
        <w:rPr>
          <w:rFonts w:ascii="Arial" w:hAnsi="Arial" w:cs="Arial"/>
          <w:sz w:val="22"/>
          <w:szCs w:val="22"/>
        </w:rPr>
      </w:pPr>
      <w:r w:rsidRPr="002D509E">
        <w:rPr>
          <w:rFonts w:ascii="Arial" w:hAnsi="Arial" w:cs="Arial"/>
          <w:sz w:val="22"/>
          <w:szCs w:val="22"/>
        </w:rPr>
        <w:t>Social isolation.</w:t>
      </w:r>
    </w:p>
    <w:p w14:paraId="7DF94A4E" w14:textId="77777777" w:rsidR="00ED7F8A" w:rsidRPr="002D509E" w:rsidRDefault="00ED7F8A" w:rsidP="00CF280F">
      <w:pPr>
        <w:numPr>
          <w:ilvl w:val="0"/>
          <w:numId w:val="12"/>
        </w:numPr>
        <w:spacing w:line="360" w:lineRule="auto"/>
        <w:rPr>
          <w:rFonts w:ascii="Arial" w:hAnsi="Arial" w:cs="Arial"/>
          <w:sz w:val="22"/>
          <w:szCs w:val="22"/>
        </w:rPr>
      </w:pPr>
      <w:r w:rsidRPr="002D509E">
        <w:rPr>
          <w:rFonts w:ascii="Arial" w:hAnsi="Arial" w:cs="Arial"/>
          <w:sz w:val="22"/>
          <w:szCs w:val="22"/>
        </w:rPr>
        <w:t>Reduced quality of life.</w:t>
      </w:r>
    </w:p>
    <w:p w14:paraId="5FA48F17" w14:textId="77777777" w:rsidR="00ED7F8A" w:rsidRPr="002D509E" w:rsidRDefault="00ED7F8A" w:rsidP="00CF280F">
      <w:pPr>
        <w:numPr>
          <w:ilvl w:val="0"/>
          <w:numId w:val="12"/>
        </w:numPr>
        <w:spacing w:line="360" w:lineRule="auto"/>
        <w:rPr>
          <w:rFonts w:ascii="Arial" w:hAnsi="Arial" w:cs="Arial"/>
          <w:sz w:val="22"/>
          <w:szCs w:val="22"/>
        </w:rPr>
      </w:pPr>
      <w:r w:rsidRPr="002D509E">
        <w:rPr>
          <w:rFonts w:ascii="Arial" w:hAnsi="Arial" w:cs="Arial"/>
          <w:sz w:val="22"/>
          <w:szCs w:val="22"/>
        </w:rPr>
        <w:t>Poorer coping abilities.</w:t>
      </w:r>
    </w:p>
    <w:p w14:paraId="248D5621" w14:textId="75EBDA1B"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The findings suggest that waiting lists may disproportionately affect already vulnerable groups and potentially widen existing health inequalities.</w:t>
      </w:r>
    </w:p>
    <w:p w14:paraId="3B3B9953" w14:textId="77777777" w:rsidR="00CF280F" w:rsidRDefault="00CF280F" w:rsidP="00ED7F8A">
      <w:pPr>
        <w:rPr>
          <w:rFonts w:ascii="Arial" w:hAnsi="Arial" w:cs="Arial"/>
          <w:b/>
          <w:bCs/>
          <w:sz w:val="22"/>
          <w:szCs w:val="22"/>
        </w:rPr>
      </w:pPr>
    </w:p>
    <w:p w14:paraId="5E2C1A1B" w14:textId="77777777" w:rsidR="00CF280F" w:rsidRDefault="00CF280F" w:rsidP="00ED7F8A">
      <w:pPr>
        <w:rPr>
          <w:rFonts w:ascii="Arial" w:hAnsi="Arial" w:cs="Arial"/>
          <w:b/>
          <w:bCs/>
          <w:sz w:val="22"/>
          <w:szCs w:val="22"/>
        </w:rPr>
      </w:pPr>
    </w:p>
    <w:p w14:paraId="5AF36C20" w14:textId="77777777" w:rsidR="00CF280F" w:rsidRDefault="00CF280F" w:rsidP="00ED7F8A">
      <w:pPr>
        <w:rPr>
          <w:rFonts w:ascii="Arial" w:hAnsi="Arial" w:cs="Arial"/>
          <w:b/>
          <w:bCs/>
          <w:sz w:val="22"/>
          <w:szCs w:val="22"/>
        </w:rPr>
      </w:pPr>
    </w:p>
    <w:p w14:paraId="46EC3558" w14:textId="77777777" w:rsidR="00CF280F" w:rsidRDefault="00CF280F" w:rsidP="00ED7F8A">
      <w:pPr>
        <w:rPr>
          <w:rFonts w:ascii="Arial" w:hAnsi="Arial" w:cs="Arial"/>
          <w:b/>
          <w:bCs/>
          <w:sz w:val="22"/>
          <w:szCs w:val="22"/>
        </w:rPr>
      </w:pPr>
    </w:p>
    <w:p w14:paraId="5D2DE8DB" w14:textId="4787FC70" w:rsidR="00ED7F8A" w:rsidRPr="002D509E" w:rsidRDefault="00ED7F8A" w:rsidP="00ED7F8A">
      <w:pPr>
        <w:rPr>
          <w:rFonts w:ascii="Arial" w:hAnsi="Arial" w:cs="Arial"/>
          <w:b/>
          <w:bCs/>
          <w:sz w:val="22"/>
          <w:szCs w:val="22"/>
        </w:rPr>
      </w:pPr>
      <w:r w:rsidRPr="002D509E">
        <w:rPr>
          <w:rFonts w:ascii="Arial" w:hAnsi="Arial" w:cs="Arial"/>
          <w:b/>
          <w:bCs/>
          <w:sz w:val="22"/>
          <w:szCs w:val="22"/>
        </w:rPr>
        <w:lastRenderedPageBreak/>
        <w:t>Theme 5: The Need to Support Patients While Waiting</w:t>
      </w:r>
    </w:p>
    <w:p w14:paraId="454B1497"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A final theme identified the importance of helping patients "wait well".</w:t>
      </w:r>
    </w:p>
    <w:p w14:paraId="6C61C86F"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Patients wanted:</w:t>
      </w:r>
    </w:p>
    <w:p w14:paraId="7E533385" w14:textId="77777777" w:rsidR="00ED7F8A" w:rsidRPr="002D509E" w:rsidRDefault="00ED7F8A" w:rsidP="00CF280F">
      <w:pPr>
        <w:numPr>
          <w:ilvl w:val="0"/>
          <w:numId w:val="13"/>
        </w:numPr>
        <w:spacing w:line="360" w:lineRule="auto"/>
        <w:rPr>
          <w:rFonts w:ascii="Arial" w:hAnsi="Arial" w:cs="Arial"/>
          <w:sz w:val="22"/>
          <w:szCs w:val="22"/>
        </w:rPr>
      </w:pPr>
      <w:r w:rsidRPr="002D509E">
        <w:rPr>
          <w:rFonts w:ascii="Arial" w:hAnsi="Arial" w:cs="Arial"/>
          <w:sz w:val="22"/>
          <w:szCs w:val="22"/>
        </w:rPr>
        <w:t>Better communication.</w:t>
      </w:r>
    </w:p>
    <w:p w14:paraId="58EC766B" w14:textId="77777777" w:rsidR="00ED7F8A" w:rsidRPr="002D509E" w:rsidRDefault="00ED7F8A" w:rsidP="00CF280F">
      <w:pPr>
        <w:numPr>
          <w:ilvl w:val="0"/>
          <w:numId w:val="13"/>
        </w:numPr>
        <w:spacing w:line="360" w:lineRule="auto"/>
        <w:rPr>
          <w:rFonts w:ascii="Arial" w:hAnsi="Arial" w:cs="Arial"/>
          <w:sz w:val="22"/>
          <w:szCs w:val="22"/>
        </w:rPr>
      </w:pPr>
      <w:r w:rsidRPr="002D509E">
        <w:rPr>
          <w:rFonts w:ascii="Arial" w:hAnsi="Arial" w:cs="Arial"/>
          <w:sz w:val="22"/>
          <w:szCs w:val="22"/>
        </w:rPr>
        <w:t>More regular updates.</w:t>
      </w:r>
    </w:p>
    <w:p w14:paraId="0287BF84" w14:textId="77777777" w:rsidR="00ED7F8A" w:rsidRPr="002D509E" w:rsidRDefault="00ED7F8A" w:rsidP="00CF280F">
      <w:pPr>
        <w:numPr>
          <w:ilvl w:val="0"/>
          <w:numId w:val="13"/>
        </w:numPr>
        <w:spacing w:line="360" w:lineRule="auto"/>
        <w:rPr>
          <w:rFonts w:ascii="Arial" w:hAnsi="Arial" w:cs="Arial"/>
          <w:sz w:val="22"/>
          <w:szCs w:val="22"/>
        </w:rPr>
      </w:pPr>
      <w:r w:rsidRPr="002D509E">
        <w:rPr>
          <w:rFonts w:ascii="Arial" w:hAnsi="Arial" w:cs="Arial"/>
          <w:sz w:val="22"/>
          <w:szCs w:val="22"/>
        </w:rPr>
        <w:t>Emotional support.</w:t>
      </w:r>
    </w:p>
    <w:p w14:paraId="2CCAD9DC" w14:textId="77777777" w:rsidR="00ED7F8A" w:rsidRPr="002D509E" w:rsidRDefault="00ED7F8A" w:rsidP="00CF280F">
      <w:pPr>
        <w:numPr>
          <w:ilvl w:val="0"/>
          <w:numId w:val="13"/>
        </w:numPr>
        <w:spacing w:line="360" w:lineRule="auto"/>
        <w:rPr>
          <w:rFonts w:ascii="Arial" w:hAnsi="Arial" w:cs="Arial"/>
          <w:sz w:val="22"/>
          <w:szCs w:val="22"/>
        </w:rPr>
      </w:pPr>
      <w:r w:rsidRPr="002D509E">
        <w:rPr>
          <w:rFonts w:ascii="Arial" w:hAnsi="Arial" w:cs="Arial"/>
          <w:sz w:val="22"/>
          <w:szCs w:val="22"/>
        </w:rPr>
        <w:t>Digital healthcare services.</w:t>
      </w:r>
    </w:p>
    <w:p w14:paraId="7D149B85" w14:textId="77777777" w:rsidR="00ED7F8A" w:rsidRPr="002D509E" w:rsidRDefault="00ED7F8A" w:rsidP="00CF280F">
      <w:pPr>
        <w:numPr>
          <w:ilvl w:val="0"/>
          <w:numId w:val="13"/>
        </w:numPr>
        <w:spacing w:line="360" w:lineRule="auto"/>
        <w:rPr>
          <w:rFonts w:ascii="Arial" w:hAnsi="Arial" w:cs="Arial"/>
          <w:sz w:val="22"/>
          <w:szCs w:val="22"/>
        </w:rPr>
      </w:pPr>
      <w:r w:rsidRPr="002D509E">
        <w:rPr>
          <w:rFonts w:ascii="Arial" w:hAnsi="Arial" w:cs="Arial"/>
          <w:sz w:val="22"/>
          <w:szCs w:val="22"/>
        </w:rPr>
        <w:t>Advice on symptom management.</w:t>
      </w:r>
    </w:p>
    <w:p w14:paraId="1A9F42EB" w14:textId="77777777" w:rsidR="00ED7F8A" w:rsidRPr="002D509E" w:rsidRDefault="00ED7F8A" w:rsidP="00CF280F">
      <w:pPr>
        <w:numPr>
          <w:ilvl w:val="0"/>
          <w:numId w:val="13"/>
        </w:numPr>
        <w:spacing w:line="360" w:lineRule="auto"/>
        <w:rPr>
          <w:rFonts w:ascii="Arial" w:hAnsi="Arial" w:cs="Arial"/>
          <w:sz w:val="22"/>
          <w:szCs w:val="22"/>
        </w:rPr>
      </w:pPr>
      <w:r w:rsidRPr="002D509E">
        <w:rPr>
          <w:rFonts w:ascii="Arial" w:hAnsi="Arial" w:cs="Arial"/>
          <w:sz w:val="22"/>
          <w:szCs w:val="22"/>
        </w:rPr>
        <w:t>Access to community support.</w:t>
      </w:r>
    </w:p>
    <w:p w14:paraId="6AD6DFC0"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Chan et al. (2025) found that patients highly valued clear information and reassurance while waiting for treatment.</w:t>
      </w:r>
    </w:p>
    <w:p w14:paraId="0FB54FD7" w14:textId="52D959D6"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The Department of Health and Social Care (2025) has increasingly promoted remote monitoring and digital healthcare services to improve patient support during waiting periods.</w:t>
      </w:r>
    </w:p>
    <w:p w14:paraId="39C4ADCB" w14:textId="77777777" w:rsidR="00ED7F8A" w:rsidRPr="002D509E" w:rsidRDefault="00ED7F8A" w:rsidP="002D509E">
      <w:pPr>
        <w:pStyle w:val="Ttulo1"/>
      </w:pPr>
      <w:bookmarkStart w:id="11" w:name="_Toc232676574"/>
      <w:r w:rsidRPr="002D509E">
        <w:t>5. Discussion</w:t>
      </w:r>
      <w:bookmarkEnd w:id="11"/>
    </w:p>
    <w:p w14:paraId="494C118C"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This scoping review demonstrates that long NHS waiting lists have consequences extending far beyond delayed treatment. The findings show that prolonged waiting can negatively influence physical health, psychological wellbeing and social functioning.</w:t>
      </w:r>
    </w:p>
    <w:p w14:paraId="064A08AC"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The strongest evidence relates to psychological distress. Patients frequently experienced anxiety, uncertainty and feelings of helplessness while waiting. These findings support previous research suggesting that waiting is an emotionally demanding experience rather than a neutral administrative process.</w:t>
      </w:r>
    </w:p>
    <w:p w14:paraId="613B55AC"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A particularly important finding concerns physical deterioration during the waiting period. Many patients experienced worsening symptoms and declining mobility before treatment was received. This suggests that waiting may contribute to poorer clinical outcomes and increased healthcare needs in the future.</w:t>
      </w:r>
    </w:p>
    <w:p w14:paraId="3C528140"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The review also highlights the importance of social wellbeing. Long waits disrupted employment, family responsibilities and social relationships. The impact was often wider than the patient alone, affecting carers and family members as well.</w:t>
      </w:r>
    </w:p>
    <w:p w14:paraId="44353EF4"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lastRenderedPageBreak/>
        <w:t>Health inequalities emerged as another important issue. Patients with fewer financial and social resources appeared less able to cope with prolonged waiting periods. This finding is particularly important for UK healthcare policy because it suggests that waiting lists may contribute to existing inequalities in health outcomes.</w:t>
      </w:r>
    </w:p>
    <w:p w14:paraId="49BCF427"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The review further highlights opportunities for innovation within healthcare practice. Digital health interventions, remote monitoring and structured support programmes may improve patient wellbeing during waiting periods. The NHS has increasingly invested in these approaches, but further evaluation of their effectiveness remains necessary.</w:t>
      </w:r>
    </w:p>
    <w:p w14:paraId="70EF4A04" w14:textId="77777777"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Several limitations should be acknowledged. The number of UK studies specifically examining wellbeing and waiting remains limited. Much of the recent evidence is qualitative and focuses on specific patient groups, particularly orthopaedic patients. Therefore, further research involving broader patient populations and longitudinal designs is required.</w:t>
      </w:r>
    </w:p>
    <w:p w14:paraId="2E2BA714" w14:textId="0F7FCB32" w:rsidR="00ED7F8A" w:rsidRPr="002D509E" w:rsidRDefault="00ED7F8A" w:rsidP="00CF280F">
      <w:pPr>
        <w:spacing w:line="360" w:lineRule="auto"/>
        <w:rPr>
          <w:rFonts w:ascii="Arial" w:hAnsi="Arial" w:cs="Arial"/>
          <w:sz w:val="22"/>
          <w:szCs w:val="22"/>
        </w:rPr>
      </w:pPr>
      <w:r w:rsidRPr="002D509E">
        <w:rPr>
          <w:rFonts w:ascii="Arial" w:hAnsi="Arial" w:cs="Arial"/>
          <w:sz w:val="22"/>
          <w:szCs w:val="22"/>
        </w:rPr>
        <w:t>Despite these limitations, the review demonstrates that waiting lists should be understood not only as operational challenges but also as significant determinants of patient wellbeing. Supporting patients during waiting periods should therefore become an integral component of NHS care pathways.</w:t>
      </w:r>
    </w:p>
    <w:p w14:paraId="20C96BA2" w14:textId="77777777" w:rsidR="002D509E" w:rsidRPr="002D509E" w:rsidRDefault="002D509E" w:rsidP="002D509E">
      <w:pPr>
        <w:pStyle w:val="Ttulo1"/>
      </w:pPr>
      <w:bookmarkStart w:id="12" w:name="_Toc232676575"/>
      <w:r w:rsidRPr="002D509E">
        <w:t>6. Conclusion and Recommendations</w:t>
      </w:r>
      <w:bookmarkEnd w:id="12"/>
    </w:p>
    <w:p w14:paraId="6A32F7BF" w14:textId="77777777" w:rsidR="002D509E" w:rsidRPr="002D509E" w:rsidRDefault="002D509E" w:rsidP="002D509E">
      <w:pPr>
        <w:rPr>
          <w:rFonts w:ascii="Arial" w:hAnsi="Arial" w:cs="Arial"/>
          <w:b/>
          <w:bCs/>
          <w:sz w:val="22"/>
          <w:szCs w:val="22"/>
        </w:rPr>
      </w:pPr>
      <w:r w:rsidRPr="002D509E">
        <w:rPr>
          <w:rFonts w:ascii="Arial" w:hAnsi="Arial" w:cs="Arial"/>
          <w:b/>
          <w:bCs/>
          <w:sz w:val="22"/>
          <w:szCs w:val="22"/>
        </w:rPr>
        <w:t>Conclusion</w:t>
      </w:r>
    </w:p>
    <w:p w14:paraId="405748AE"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This scoping review explored the impact of long NHS waiting lists on patient wellbeing within the United Kingdom. The review aimed to identify the physical, psychological and social consequences experienced by patients while waiting for treatment and to explore factors that influence the severity of these effects.</w:t>
      </w:r>
    </w:p>
    <w:p w14:paraId="6F8C236F"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The findings demonstrate that waiting for healthcare is not a passive or neutral experience. Instead, prolonged waiting periods can have substantial and far-reaching consequences for patients' lives. Across the reviewed studies, patients frequently reported worsening physical symptoms, increasing pain and reduced mobility while awaiting treatment. These physical changes often affected patients' independence and ability to perform everyday activities, leading to further deterioration in their quality of life.</w:t>
      </w:r>
    </w:p>
    <w:p w14:paraId="6E384C90"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 xml:space="preserve">Psychological wellbeing emerged as one of the most significant areas affected by long waiting times. Anxiety, stress, uncertainty and feelings of helplessness were common experiences among patients awaiting treatment. Many patients described concerns about disease progression, uncertainty regarding treatment dates and frustration with prolonged delays. The emotional burden associated with waiting often extended beyond the healthcare </w:t>
      </w:r>
      <w:r w:rsidRPr="002D509E">
        <w:rPr>
          <w:rFonts w:ascii="Arial" w:hAnsi="Arial" w:cs="Arial"/>
          <w:sz w:val="22"/>
          <w:szCs w:val="22"/>
        </w:rPr>
        <w:lastRenderedPageBreak/>
        <w:t>setting and affected broader aspects of life, including confidence, motivation and social engagement.</w:t>
      </w:r>
    </w:p>
    <w:p w14:paraId="00DE183E"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The review also highlighted the important social consequences of waiting lists. Patients frequently experienced social isolation, reduced participation in family activities, financial difficulties and increased dependence on relatives or carers. Delays in treatment often disrupted employment, personal plans and social relationships, demonstrating that the impact of waiting extends beyond clinical outcomes alone.</w:t>
      </w:r>
    </w:p>
    <w:p w14:paraId="6354B39A"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Furthermore, the findings indicate that health inequalities influence how patients experience long waiting periods. Individuals with limited financial resources, lower socioeconomic status or fewer support networks may be disproportionately affected by the physical and psychological consequences of waiting. This suggests that long waiting lists may contribute to widening existing inequalities within healthcare and society.</w:t>
      </w:r>
    </w:p>
    <w:p w14:paraId="437AF3D0"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Another important finding from the review concerns the need to support patients during waiting periods rather than focusing solely on reducing waiting times. Patients consistently reported a need for improved communication, emotional support and practical guidance while awaiting treatment. Emerging digital health approaches, including remote monitoring and virtual consultations, may provide opportunities to improve patient experiences and wellbeing during these periods.</w:t>
      </w:r>
    </w:p>
    <w:p w14:paraId="0F328F54" w14:textId="369C1A8D"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Overall, this review demonstrates that long NHS waiting lists should be viewed as both a healthcare delivery challenge and a significant patient wellbeing issue. Understanding the lived experiences of patients waiting for treatment is essential for developing healthcare services that are not only efficient but also compassionate, patient-centred and equitable.</w:t>
      </w:r>
    </w:p>
    <w:p w14:paraId="21B1422A" w14:textId="77777777" w:rsidR="002D509E" w:rsidRPr="002D509E" w:rsidRDefault="002D509E" w:rsidP="002D509E">
      <w:pPr>
        <w:rPr>
          <w:rFonts w:ascii="Arial" w:hAnsi="Arial" w:cs="Arial"/>
          <w:b/>
          <w:bCs/>
          <w:sz w:val="22"/>
          <w:szCs w:val="22"/>
        </w:rPr>
      </w:pPr>
      <w:r w:rsidRPr="002D509E">
        <w:rPr>
          <w:rFonts w:ascii="Arial" w:hAnsi="Arial" w:cs="Arial"/>
          <w:b/>
          <w:bCs/>
          <w:sz w:val="22"/>
          <w:szCs w:val="22"/>
        </w:rPr>
        <w:t>Recommendations</w:t>
      </w:r>
    </w:p>
    <w:p w14:paraId="28440506"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Based on the findings of this scoping review, several recommendations are proposed for future research, policy and healthcare practice.</w:t>
      </w:r>
    </w:p>
    <w:p w14:paraId="548180C2" w14:textId="77777777" w:rsidR="002D509E" w:rsidRPr="002D509E" w:rsidRDefault="002D509E" w:rsidP="002D509E">
      <w:pPr>
        <w:rPr>
          <w:rFonts w:ascii="Arial" w:hAnsi="Arial" w:cs="Arial"/>
          <w:b/>
          <w:bCs/>
          <w:sz w:val="22"/>
          <w:szCs w:val="22"/>
        </w:rPr>
      </w:pPr>
      <w:r w:rsidRPr="002D509E">
        <w:rPr>
          <w:rFonts w:ascii="Arial" w:hAnsi="Arial" w:cs="Arial"/>
          <w:b/>
          <w:bCs/>
          <w:sz w:val="22"/>
          <w:szCs w:val="22"/>
        </w:rPr>
        <w:t>Recommendations for UK Healthcare Practice</w:t>
      </w:r>
    </w:p>
    <w:p w14:paraId="07357A8E" w14:textId="77777777" w:rsidR="002D509E" w:rsidRPr="002D509E" w:rsidRDefault="002D509E" w:rsidP="002D509E">
      <w:pPr>
        <w:rPr>
          <w:rFonts w:ascii="Arial" w:hAnsi="Arial" w:cs="Arial"/>
          <w:sz w:val="22"/>
          <w:szCs w:val="22"/>
        </w:rPr>
      </w:pPr>
      <w:r w:rsidRPr="002D509E">
        <w:rPr>
          <w:rFonts w:ascii="Arial" w:hAnsi="Arial" w:cs="Arial"/>
          <w:b/>
          <w:bCs/>
          <w:sz w:val="22"/>
          <w:szCs w:val="22"/>
        </w:rPr>
        <w:t>1. Improve communication with patients</w:t>
      </w:r>
    </w:p>
    <w:p w14:paraId="29AB5887"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Healthcare providers should offer regular updates regarding expected waiting times and treatment progress. Transparent communication may reduce uncertainty and anxiety while helping patients feel more informed and supported.</w:t>
      </w:r>
    </w:p>
    <w:p w14:paraId="54B73A70" w14:textId="77777777" w:rsidR="00CF280F" w:rsidRDefault="00CF280F" w:rsidP="002D509E">
      <w:pPr>
        <w:rPr>
          <w:rFonts w:ascii="Arial" w:hAnsi="Arial" w:cs="Arial"/>
          <w:b/>
          <w:bCs/>
          <w:sz w:val="22"/>
          <w:szCs w:val="22"/>
        </w:rPr>
      </w:pPr>
    </w:p>
    <w:p w14:paraId="6BB9240A" w14:textId="77777777" w:rsidR="00CF280F" w:rsidRDefault="00CF280F" w:rsidP="002D509E">
      <w:pPr>
        <w:rPr>
          <w:rFonts w:ascii="Arial" w:hAnsi="Arial" w:cs="Arial"/>
          <w:b/>
          <w:bCs/>
          <w:sz w:val="22"/>
          <w:szCs w:val="22"/>
        </w:rPr>
      </w:pPr>
    </w:p>
    <w:p w14:paraId="3322EE2F" w14:textId="77777777" w:rsidR="00CF280F" w:rsidRDefault="00CF280F" w:rsidP="002D509E">
      <w:pPr>
        <w:rPr>
          <w:rFonts w:ascii="Arial" w:hAnsi="Arial" w:cs="Arial"/>
          <w:b/>
          <w:bCs/>
          <w:sz w:val="22"/>
          <w:szCs w:val="22"/>
        </w:rPr>
      </w:pPr>
    </w:p>
    <w:p w14:paraId="2D6FFCB3" w14:textId="38A87F28" w:rsidR="002D509E" w:rsidRPr="002D509E" w:rsidRDefault="002D509E" w:rsidP="002D509E">
      <w:pPr>
        <w:rPr>
          <w:rFonts w:ascii="Arial" w:hAnsi="Arial" w:cs="Arial"/>
          <w:sz w:val="22"/>
          <w:szCs w:val="22"/>
        </w:rPr>
      </w:pPr>
      <w:r w:rsidRPr="002D509E">
        <w:rPr>
          <w:rFonts w:ascii="Arial" w:hAnsi="Arial" w:cs="Arial"/>
          <w:b/>
          <w:bCs/>
          <w:sz w:val="22"/>
          <w:szCs w:val="22"/>
        </w:rPr>
        <w:lastRenderedPageBreak/>
        <w:t>2. Develop structured 'Waiting Well' programmes</w:t>
      </w:r>
    </w:p>
    <w:p w14:paraId="3C3E27B5"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NHS organisations should introduce programmes designed to support patients physically and psychologically while they wait. These programmes may include:</w:t>
      </w:r>
    </w:p>
    <w:p w14:paraId="37862BF0" w14:textId="77777777" w:rsidR="002D509E" w:rsidRPr="002D509E" w:rsidRDefault="002D509E" w:rsidP="00CF280F">
      <w:pPr>
        <w:numPr>
          <w:ilvl w:val="0"/>
          <w:numId w:val="14"/>
        </w:numPr>
        <w:spacing w:line="360" w:lineRule="auto"/>
        <w:rPr>
          <w:rFonts w:ascii="Arial" w:hAnsi="Arial" w:cs="Arial"/>
          <w:sz w:val="22"/>
          <w:szCs w:val="22"/>
        </w:rPr>
      </w:pPr>
      <w:r w:rsidRPr="002D509E">
        <w:rPr>
          <w:rFonts w:ascii="Arial" w:hAnsi="Arial" w:cs="Arial"/>
          <w:sz w:val="22"/>
          <w:szCs w:val="22"/>
        </w:rPr>
        <w:t>Self-management advice.</w:t>
      </w:r>
    </w:p>
    <w:p w14:paraId="31506038" w14:textId="77777777" w:rsidR="002D509E" w:rsidRPr="002D509E" w:rsidRDefault="002D509E" w:rsidP="00CF280F">
      <w:pPr>
        <w:numPr>
          <w:ilvl w:val="0"/>
          <w:numId w:val="14"/>
        </w:numPr>
        <w:spacing w:line="360" w:lineRule="auto"/>
        <w:rPr>
          <w:rFonts w:ascii="Arial" w:hAnsi="Arial" w:cs="Arial"/>
          <w:sz w:val="22"/>
          <w:szCs w:val="22"/>
        </w:rPr>
      </w:pPr>
      <w:r w:rsidRPr="002D509E">
        <w:rPr>
          <w:rFonts w:ascii="Arial" w:hAnsi="Arial" w:cs="Arial"/>
          <w:sz w:val="22"/>
          <w:szCs w:val="22"/>
        </w:rPr>
        <w:t>Pain management education.</w:t>
      </w:r>
    </w:p>
    <w:p w14:paraId="73880980" w14:textId="77777777" w:rsidR="002D509E" w:rsidRPr="002D509E" w:rsidRDefault="002D509E" w:rsidP="00CF280F">
      <w:pPr>
        <w:numPr>
          <w:ilvl w:val="0"/>
          <w:numId w:val="14"/>
        </w:numPr>
        <w:spacing w:line="360" w:lineRule="auto"/>
        <w:rPr>
          <w:rFonts w:ascii="Arial" w:hAnsi="Arial" w:cs="Arial"/>
          <w:sz w:val="22"/>
          <w:szCs w:val="22"/>
        </w:rPr>
      </w:pPr>
      <w:r w:rsidRPr="002D509E">
        <w:rPr>
          <w:rFonts w:ascii="Arial" w:hAnsi="Arial" w:cs="Arial"/>
          <w:sz w:val="22"/>
          <w:szCs w:val="22"/>
        </w:rPr>
        <w:t>Mental health support.</w:t>
      </w:r>
    </w:p>
    <w:p w14:paraId="44E16671" w14:textId="77777777" w:rsidR="002D509E" w:rsidRPr="002D509E" w:rsidRDefault="002D509E" w:rsidP="00CF280F">
      <w:pPr>
        <w:numPr>
          <w:ilvl w:val="0"/>
          <w:numId w:val="14"/>
        </w:numPr>
        <w:spacing w:line="360" w:lineRule="auto"/>
        <w:rPr>
          <w:rFonts w:ascii="Arial" w:hAnsi="Arial" w:cs="Arial"/>
          <w:sz w:val="22"/>
          <w:szCs w:val="22"/>
        </w:rPr>
      </w:pPr>
      <w:r w:rsidRPr="002D509E">
        <w:rPr>
          <w:rFonts w:ascii="Arial" w:hAnsi="Arial" w:cs="Arial"/>
          <w:sz w:val="22"/>
          <w:szCs w:val="22"/>
        </w:rPr>
        <w:t>Lifestyle guidance.</w:t>
      </w:r>
    </w:p>
    <w:p w14:paraId="1623C91B" w14:textId="77777777" w:rsidR="002D509E" w:rsidRPr="002D509E" w:rsidRDefault="002D509E" w:rsidP="00CF280F">
      <w:pPr>
        <w:numPr>
          <w:ilvl w:val="0"/>
          <w:numId w:val="14"/>
        </w:numPr>
        <w:spacing w:line="360" w:lineRule="auto"/>
        <w:rPr>
          <w:rFonts w:ascii="Arial" w:hAnsi="Arial" w:cs="Arial"/>
          <w:sz w:val="22"/>
          <w:szCs w:val="22"/>
        </w:rPr>
      </w:pPr>
      <w:r w:rsidRPr="002D509E">
        <w:rPr>
          <w:rFonts w:ascii="Arial" w:hAnsi="Arial" w:cs="Arial"/>
          <w:sz w:val="22"/>
          <w:szCs w:val="22"/>
        </w:rPr>
        <w:t>Peer support groups.</w:t>
      </w:r>
    </w:p>
    <w:p w14:paraId="75E6D24B" w14:textId="77777777" w:rsidR="002D509E" w:rsidRPr="002D509E" w:rsidRDefault="002D509E" w:rsidP="002D509E">
      <w:pPr>
        <w:rPr>
          <w:rFonts w:ascii="Arial" w:hAnsi="Arial" w:cs="Arial"/>
          <w:sz w:val="22"/>
          <w:szCs w:val="22"/>
        </w:rPr>
      </w:pPr>
      <w:r w:rsidRPr="002D509E">
        <w:rPr>
          <w:rFonts w:ascii="Arial" w:hAnsi="Arial" w:cs="Arial"/>
          <w:b/>
          <w:bCs/>
          <w:sz w:val="22"/>
          <w:szCs w:val="22"/>
        </w:rPr>
        <w:t>3. Expand digital health services</w:t>
      </w:r>
    </w:p>
    <w:p w14:paraId="331E7E02"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Digital health technologies, including remote monitoring, telehealth consultations and online support resources, should be expanded to provide ongoing support for patients awaiting treatment.</w:t>
      </w:r>
    </w:p>
    <w:p w14:paraId="33D4E8D2" w14:textId="77777777" w:rsidR="002D509E" w:rsidRPr="002D509E" w:rsidRDefault="002D509E" w:rsidP="002D509E">
      <w:pPr>
        <w:rPr>
          <w:rFonts w:ascii="Arial" w:hAnsi="Arial" w:cs="Arial"/>
          <w:sz w:val="22"/>
          <w:szCs w:val="22"/>
        </w:rPr>
      </w:pPr>
      <w:r w:rsidRPr="002D509E">
        <w:rPr>
          <w:rFonts w:ascii="Arial" w:hAnsi="Arial" w:cs="Arial"/>
          <w:b/>
          <w:bCs/>
          <w:sz w:val="22"/>
          <w:szCs w:val="22"/>
        </w:rPr>
        <w:t>4. Identify vulnerable patients early</w:t>
      </w:r>
    </w:p>
    <w:p w14:paraId="09F48ED1"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Healthcare providers should identify patients who may be at greater risk of harm while waiting, including:</w:t>
      </w:r>
    </w:p>
    <w:p w14:paraId="0617A931" w14:textId="77777777" w:rsidR="002D509E" w:rsidRPr="002D509E" w:rsidRDefault="002D509E" w:rsidP="00CF280F">
      <w:pPr>
        <w:numPr>
          <w:ilvl w:val="0"/>
          <w:numId w:val="15"/>
        </w:numPr>
        <w:spacing w:line="360" w:lineRule="auto"/>
        <w:rPr>
          <w:rFonts w:ascii="Arial" w:hAnsi="Arial" w:cs="Arial"/>
          <w:sz w:val="22"/>
          <w:szCs w:val="22"/>
        </w:rPr>
      </w:pPr>
      <w:r w:rsidRPr="002D509E">
        <w:rPr>
          <w:rFonts w:ascii="Arial" w:hAnsi="Arial" w:cs="Arial"/>
          <w:sz w:val="22"/>
          <w:szCs w:val="22"/>
        </w:rPr>
        <w:t>Older adults.</w:t>
      </w:r>
    </w:p>
    <w:p w14:paraId="54C2784B" w14:textId="77777777" w:rsidR="002D509E" w:rsidRPr="002D509E" w:rsidRDefault="002D509E" w:rsidP="00CF280F">
      <w:pPr>
        <w:numPr>
          <w:ilvl w:val="0"/>
          <w:numId w:val="15"/>
        </w:numPr>
        <w:spacing w:line="360" w:lineRule="auto"/>
        <w:rPr>
          <w:rFonts w:ascii="Arial" w:hAnsi="Arial" w:cs="Arial"/>
          <w:sz w:val="22"/>
          <w:szCs w:val="22"/>
        </w:rPr>
      </w:pPr>
      <w:r w:rsidRPr="002D509E">
        <w:rPr>
          <w:rFonts w:ascii="Arial" w:hAnsi="Arial" w:cs="Arial"/>
          <w:sz w:val="22"/>
          <w:szCs w:val="22"/>
        </w:rPr>
        <w:t>Individuals with mental health conditions.</w:t>
      </w:r>
    </w:p>
    <w:p w14:paraId="438DB7A1" w14:textId="77777777" w:rsidR="002D509E" w:rsidRPr="002D509E" w:rsidRDefault="002D509E" w:rsidP="00CF280F">
      <w:pPr>
        <w:numPr>
          <w:ilvl w:val="0"/>
          <w:numId w:val="15"/>
        </w:numPr>
        <w:spacing w:line="360" w:lineRule="auto"/>
        <w:rPr>
          <w:rFonts w:ascii="Arial" w:hAnsi="Arial" w:cs="Arial"/>
          <w:sz w:val="22"/>
          <w:szCs w:val="22"/>
        </w:rPr>
      </w:pPr>
      <w:r w:rsidRPr="002D509E">
        <w:rPr>
          <w:rFonts w:ascii="Arial" w:hAnsi="Arial" w:cs="Arial"/>
          <w:sz w:val="22"/>
          <w:szCs w:val="22"/>
        </w:rPr>
        <w:t>Patients experiencing severe pain.</w:t>
      </w:r>
    </w:p>
    <w:p w14:paraId="2ECA61EC" w14:textId="77777777" w:rsidR="002D509E" w:rsidRPr="002D509E" w:rsidRDefault="002D509E" w:rsidP="00CF280F">
      <w:pPr>
        <w:numPr>
          <w:ilvl w:val="0"/>
          <w:numId w:val="15"/>
        </w:numPr>
        <w:spacing w:line="360" w:lineRule="auto"/>
        <w:rPr>
          <w:rFonts w:ascii="Arial" w:hAnsi="Arial" w:cs="Arial"/>
          <w:sz w:val="22"/>
          <w:szCs w:val="22"/>
        </w:rPr>
      </w:pPr>
      <w:r w:rsidRPr="002D509E">
        <w:rPr>
          <w:rFonts w:ascii="Arial" w:hAnsi="Arial" w:cs="Arial"/>
          <w:sz w:val="22"/>
          <w:szCs w:val="22"/>
        </w:rPr>
        <w:t>People from disadvantaged socioeconomic backgrounds.</w:t>
      </w:r>
    </w:p>
    <w:p w14:paraId="27D88E26" w14:textId="04D3CE5D"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Targeted support can then be offered to these groups.</w:t>
      </w:r>
    </w:p>
    <w:p w14:paraId="39D201BA" w14:textId="77777777" w:rsidR="002D509E" w:rsidRPr="002D509E" w:rsidRDefault="002D509E" w:rsidP="002D509E">
      <w:pPr>
        <w:rPr>
          <w:rFonts w:ascii="Arial" w:hAnsi="Arial" w:cs="Arial"/>
          <w:b/>
          <w:bCs/>
          <w:sz w:val="22"/>
          <w:szCs w:val="22"/>
        </w:rPr>
      </w:pPr>
      <w:r w:rsidRPr="002D509E">
        <w:rPr>
          <w:rFonts w:ascii="Arial" w:hAnsi="Arial" w:cs="Arial"/>
          <w:b/>
          <w:bCs/>
          <w:sz w:val="22"/>
          <w:szCs w:val="22"/>
        </w:rPr>
        <w:t>Recommendations for Health Policy</w:t>
      </w:r>
    </w:p>
    <w:p w14:paraId="4898FFB5" w14:textId="77777777" w:rsidR="002D509E" w:rsidRPr="002D509E" w:rsidRDefault="002D509E" w:rsidP="002D509E">
      <w:pPr>
        <w:rPr>
          <w:rFonts w:ascii="Arial" w:hAnsi="Arial" w:cs="Arial"/>
          <w:sz w:val="22"/>
          <w:szCs w:val="22"/>
        </w:rPr>
      </w:pPr>
      <w:r w:rsidRPr="002D509E">
        <w:rPr>
          <w:rFonts w:ascii="Arial" w:hAnsi="Arial" w:cs="Arial"/>
          <w:b/>
          <w:bCs/>
          <w:sz w:val="22"/>
          <w:szCs w:val="22"/>
        </w:rPr>
        <w:t>1. Consider wellbeing alongside waiting-time targets</w:t>
      </w:r>
    </w:p>
    <w:p w14:paraId="30969301"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Policy makers should recognise that waiting lists affect more than service efficiency. Measures of patient wellbeing and quality of life should be considered when evaluating waiting-list performance.</w:t>
      </w:r>
    </w:p>
    <w:p w14:paraId="1B925572" w14:textId="77777777" w:rsidR="002D509E" w:rsidRPr="002D509E" w:rsidRDefault="002D509E" w:rsidP="002D509E">
      <w:pPr>
        <w:rPr>
          <w:rFonts w:ascii="Arial" w:hAnsi="Arial" w:cs="Arial"/>
          <w:sz w:val="22"/>
          <w:szCs w:val="22"/>
        </w:rPr>
      </w:pPr>
      <w:r w:rsidRPr="002D509E">
        <w:rPr>
          <w:rFonts w:ascii="Arial" w:hAnsi="Arial" w:cs="Arial"/>
          <w:b/>
          <w:bCs/>
          <w:sz w:val="22"/>
          <w:szCs w:val="22"/>
        </w:rPr>
        <w:t>2. Invest in preventive support services</w:t>
      </w:r>
    </w:p>
    <w:p w14:paraId="57E4C636"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Additional investment is needed to support patients while they await treatment, reducing the risk of deterioration and potentially improving long-term health outcomes.</w:t>
      </w:r>
    </w:p>
    <w:p w14:paraId="7FD0EDE4" w14:textId="77777777" w:rsidR="00CF280F" w:rsidRDefault="00CF280F" w:rsidP="002D509E">
      <w:pPr>
        <w:rPr>
          <w:rFonts w:ascii="Arial" w:hAnsi="Arial" w:cs="Arial"/>
          <w:b/>
          <w:bCs/>
          <w:sz w:val="22"/>
          <w:szCs w:val="22"/>
        </w:rPr>
      </w:pPr>
    </w:p>
    <w:p w14:paraId="7E94F09C" w14:textId="48DA7540" w:rsidR="002D509E" w:rsidRPr="002D509E" w:rsidRDefault="002D509E" w:rsidP="002D509E">
      <w:pPr>
        <w:rPr>
          <w:rFonts w:ascii="Arial" w:hAnsi="Arial" w:cs="Arial"/>
          <w:sz w:val="22"/>
          <w:szCs w:val="22"/>
        </w:rPr>
      </w:pPr>
      <w:r w:rsidRPr="002D509E">
        <w:rPr>
          <w:rFonts w:ascii="Arial" w:hAnsi="Arial" w:cs="Arial"/>
          <w:b/>
          <w:bCs/>
          <w:sz w:val="22"/>
          <w:szCs w:val="22"/>
        </w:rPr>
        <w:lastRenderedPageBreak/>
        <w:t>3. Address health inequalities</w:t>
      </w:r>
    </w:p>
    <w:p w14:paraId="47F919C6" w14:textId="42367E13"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Policies should aim to ensure that vulnerable and disadvantaged populations receive equitable support during prolonged waiting periods.</w:t>
      </w:r>
    </w:p>
    <w:p w14:paraId="3A5E9F31" w14:textId="77777777" w:rsidR="002D509E" w:rsidRPr="002D509E" w:rsidRDefault="002D509E" w:rsidP="002D509E">
      <w:pPr>
        <w:rPr>
          <w:rFonts w:ascii="Arial" w:hAnsi="Arial" w:cs="Arial"/>
          <w:b/>
          <w:bCs/>
          <w:sz w:val="22"/>
          <w:szCs w:val="22"/>
        </w:rPr>
      </w:pPr>
      <w:r w:rsidRPr="002D509E">
        <w:rPr>
          <w:rFonts w:ascii="Arial" w:hAnsi="Arial" w:cs="Arial"/>
          <w:b/>
          <w:bCs/>
          <w:sz w:val="22"/>
          <w:szCs w:val="22"/>
        </w:rPr>
        <w:t>Recommendations for Future Research</w:t>
      </w:r>
    </w:p>
    <w:p w14:paraId="5B0DE19B"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Although interest in this area is increasing, important gaps remain within the evidence base.</w:t>
      </w:r>
    </w:p>
    <w:p w14:paraId="3E94EA19"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Future research should:</w:t>
      </w:r>
    </w:p>
    <w:p w14:paraId="71E5A569" w14:textId="77777777" w:rsidR="002D509E" w:rsidRPr="002D509E" w:rsidRDefault="002D509E" w:rsidP="00CF280F">
      <w:pPr>
        <w:numPr>
          <w:ilvl w:val="0"/>
          <w:numId w:val="16"/>
        </w:numPr>
        <w:spacing w:line="360" w:lineRule="auto"/>
        <w:rPr>
          <w:rFonts w:ascii="Arial" w:hAnsi="Arial" w:cs="Arial"/>
          <w:sz w:val="22"/>
          <w:szCs w:val="22"/>
        </w:rPr>
      </w:pPr>
      <w:r w:rsidRPr="002D509E">
        <w:rPr>
          <w:rFonts w:ascii="Arial" w:hAnsi="Arial" w:cs="Arial"/>
          <w:sz w:val="22"/>
          <w:szCs w:val="22"/>
        </w:rPr>
        <w:t>Explore the experiences of patients across different NHS specialties.</w:t>
      </w:r>
    </w:p>
    <w:p w14:paraId="12078F4E" w14:textId="77777777" w:rsidR="002D509E" w:rsidRPr="002D509E" w:rsidRDefault="002D509E" w:rsidP="00CF280F">
      <w:pPr>
        <w:numPr>
          <w:ilvl w:val="0"/>
          <w:numId w:val="16"/>
        </w:numPr>
        <w:spacing w:line="360" w:lineRule="auto"/>
        <w:rPr>
          <w:rFonts w:ascii="Arial" w:hAnsi="Arial" w:cs="Arial"/>
          <w:sz w:val="22"/>
          <w:szCs w:val="22"/>
        </w:rPr>
      </w:pPr>
      <w:r w:rsidRPr="002D509E">
        <w:rPr>
          <w:rFonts w:ascii="Arial" w:hAnsi="Arial" w:cs="Arial"/>
          <w:sz w:val="22"/>
          <w:szCs w:val="22"/>
        </w:rPr>
        <w:t>Examine the long-term effects of waiting on physical and mental health.</w:t>
      </w:r>
    </w:p>
    <w:p w14:paraId="47115503" w14:textId="77777777" w:rsidR="002D509E" w:rsidRPr="002D509E" w:rsidRDefault="002D509E" w:rsidP="00CF280F">
      <w:pPr>
        <w:numPr>
          <w:ilvl w:val="0"/>
          <w:numId w:val="16"/>
        </w:numPr>
        <w:spacing w:line="360" w:lineRule="auto"/>
        <w:rPr>
          <w:rFonts w:ascii="Arial" w:hAnsi="Arial" w:cs="Arial"/>
          <w:sz w:val="22"/>
          <w:szCs w:val="22"/>
        </w:rPr>
      </w:pPr>
      <w:r w:rsidRPr="002D509E">
        <w:rPr>
          <w:rFonts w:ascii="Arial" w:hAnsi="Arial" w:cs="Arial"/>
          <w:sz w:val="22"/>
          <w:szCs w:val="22"/>
        </w:rPr>
        <w:t>Investigate the effectiveness of digital health interventions during waiting periods.</w:t>
      </w:r>
    </w:p>
    <w:p w14:paraId="7EF73E56" w14:textId="77777777" w:rsidR="002D509E" w:rsidRPr="002D509E" w:rsidRDefault="002D509E" w:rsidP="00CF280F">
      <w:pPr>
        <w:numPr>
          <w:ilvl w:val="0"/>
          <w:numId w:val="16"/>
        </w:numPr>
        <w:spacing w:line="360" w:lineRule="auto"/>
        <w:rPr>
          <w:rFonts w:ascii="Arial" w:hAnsi="Arial" w:cs="Arial"/>
          <w:sz w:val="22"/>
          <w:szCs w:val="22"/>
        </w:rPr>
      </w:pPr>
      <w:r w:rsidRPr="002D509E">
        <w:rPr>
          <w:rFonts w:ascii="Arial" w:hAnsi="Arial" w:cs="Arial"/>
          <w:sz w:val="22"/>
          <w:szCs w:val="22"/>
        </w:rPr>
        <w:t>Conduct longitudinal studies examining changes in wellbeing over time.</w:t>
      </w:r>
    </w:p>
    <w:p w14:paraId="6E1F58CF" w14:textId="77777777" w:rsidR="002D509E" w:rsidRPr="002D509E" w:rsidRDefault="002D509E" w:rsidP="00CF280F">
      <w:pPr>
        <w:numPr>
          <w:ilvl w:val="0"/>
          <w:numId w:val="16"/>
        </w:numPr>
        <w:spacing w:line="360" w:lineRule="auto"/>
        <w:rPr>
          <w:rFonts w:ascii="Arial" w:hAnsi="Arial" w:cs="Arial"/>
          <w:sz w:val="22"/>
          <w:szCs w:val="22"/>
        </w:rPr>
      </w:pPr>
      <w:r w:rsidRPr="002D509E">
        <w:rPr>
          <w:rFonts w:ascii="Arial" w:hAnsi="Arial" w:cs="Arial"/>
          <w:sz w:val="22"/>
          <w:szCs w:val="22"/>
        </w:rPr>
        <w:t>Explore the experiences of carers and family members affected by prolonged waits.</w:t>
      </w:r>
    </w:p>
    <w:p w14:paraId="439EE8DF" w14:textId="77777777"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Further research would provide a more comprehensive understanding of how waiting lists influence patient wellbeing and help inform future healthcare improvements.</w:t>
      </w:r>
    </w:p>
    <w:p w14:paraId="5A3D1793" w14:textId="5630A094" w:rsidR="002D509E" w:rsidRPr="002D509E" w:rsidRDefault="002D509E" w:rsidP="00CF280F">
      <w:pPr>
        <w:spacing w:line="360" w:lineRule="auto"/>
        <w:rPr>
          <w:rFonts w:ascii="Arial" w:hAnsi="Arial" w:cs="Arial"/>
          <w:sz w:val="22"/>
          <w:szCs w:val="22"/>
        </w:rPr>
      </w:pPr>
      <w:r w:rsidRPr="002D509E">
        <w:rPr>
          <w:rFonts w:ascii="Arial" w:hAnsi="Arial" w:cs="Arial"/>
          <w:sz w:val="22"/>
          <w:szCs w:val="22"/>
        </w:rPr>
        <w:t>In conclusion, reducing waiting times remains an important NHS priority. However, equal attention should be given to improving patients' experiences while they wait. A more holistic approach that combines timely access to care with physical, psychological and social support has the potential to improve both patient wellbeing and overall healthcare outcomes.</w:t>
      </w:r>
    </w:p>
    <w:p w14:paraId="343FD3B7" w14:textId="2EA25701" w:rsidR="00CF280F" w:rsidRDefault="00CF280F" w:rsidP="00CF280F">
      <w:pPr>
        <w:pStyle w:val="Ttulo1"/>
        <w:jc w:val="center"/>
      </w:pPr>
      <w:bookmarkStart w:id="13" w:name="_Toc232676576"/>
    </w:p>
    <w:p w14:paraId="01D798EF" w14:textId="77777777" w:rsidR="00CF280F" w:rsidRDefault="00CF280F" w:rsidP="002D509E">
      <w:pPr>
        <w:pStyle w:val="Ttulo1"/>
      </w:pPr>
    </w:p>
    <w:p w14:paraId="366C9506" w14:textId="77777777" w:rsidR="00CF280F" w:rsidRDefault="00CF280F" w:rsidP="002D509E">
      <w:pPr>
        <w:pStyle w:val="Ttulo1"/>
      </w:pPr>
    </w:p>
    <w:p w14:paraId="00D53422" w14:textId="77777777" w:rsidR="00CF280F" w:rsidRDefault="00CF280F" w:rsidP="002D509E">
      <w:pPr>
        <w:pStyle w:val="Ttulo1"/>
      </w:pPr>
    </w:p>
    <w:p w14:paraId="6FF6A508" w14:textId="77777777" w:rsidR="00CF280F" w:rsidRDefault="00CF280F" w:rsidP="002D509E">
      <w:pPr>
        <w:pStyle w:val="Ttulo1"/>
      </w:pPr>
    </w:p>
    <w:bookmarkEnd w:id="13"/>
    <w:p w14:paraId="476F5373" w14:textId="77777777" w:rsidR="00A06510" w:rsidRDefault="00A06510" w:rsidP="002D509E">
      <w:pPr>
        <w:rPr>
          <w:rFonts w:ascii="Arial" w:hAnsi="Arial" w:cs="Arial"/>
          <w:sz w:val="22"/>
          <w:szCs w:val="22"/>
        </w:rPr>
      </w:pPr>
    </w:p>
    <w:p w14:paraId="2157DA21" w14:textId="77777777" w:rsidR="00A06510" w:rsidRDefault="00A06510" w:rsidP="002D509E">
      <w:pPr>
        <w:rPr>
          <w:rFonts w:ascii="Arial" w:hAnsi="Arial" w:cs="Arial"/>
          <w:sz w:val="22"/>
          <w:szCs w:val="22"/>
        </w:rPr>
      </w:pPr>
    </w:p>
    <w:p w14:paraId="4435E540" w14:textId="77777777" w:rsidR="00A06510" w:rsidRDefault="00A06510" w:rsidP="002D509E">
      <w:pPr>
        <w:rPr>
          <w:rFonts w:ascii="Arial" w:hAnsi="Arial" w:cs="Arial"/>
          <w:sz w:val="22"/>
          <w:szCs w:val="22"/>
        </w:rPr>
      </w:pPr>
    </w:p>
    <w:p w14:paraId="781D5805" w14:textId="0107D9EE" w:rsidR="00A06510" w:rsidRPr="00A06510" w:rsidRDefault="00A06510" w:rsidP="002D509E">
      <w:pPr>
        <w:rPr>
          <w:rFonts w:ascii="Arial" w:hAnsi="Arial" w:cs="Arial"/>
          <w:b/>
          <w:bCs/>
          <w:sz w:val="32"/>
          <w:szCs w:val="32"/>
        </w:rPr>
      </w:pPr>
      <w:r w:rsidRPr="00A06510">
        <w:rPr>
          <w:rFonts w:ascii="Arial" w:hAnsi="Arial" w:cs="Arial"/>
          <w:b/>
          <w:bCs/>
          <w:sz w:val="32"/>
          <w:szCs w:val="32"/>
        </w:rPr>
        <w:lastRenderedPageBreak/>
        <w:t>Reference List</w:t>
      </w:r>
    </w:p>
    <w:p w14:paraId="409B6DE3" w14:textId="62A89307" w:rsidR="002D509E" w:rsidRPr="00CF280F" w:rsidRDefault="002D509E" w:rsidP="002D509E">
      <w:pPr>
        <w:rPr>
          <w:rFonts w:ascii="Arial" w:hAnsi="Arial" w:cs="Arial"/>
          <w:sz w:val="22"/>
          <w:szCs w:val="22"/>
        </w:rPr>
      </w:pPr>
      <w:r w:rsidRPr="00CF280F">
        <w:rPr>
          <w:rFonts w:ascii="Arial" w:hAnsi="Arial" w:cs="Arial"/>
          <w:sz w:val="22"/>
          <w:szCs w:val="22"/>
        </w:rPr>
        <w:t xml:space="preserve">Arksey, H. and O'Malley, L. (2005) 'Scoping studies: towards a methodological framework', </w:t>
      </w:r>
      <w:r w:rsidRPr="00CF280F">
        <w:rPr>
          <w:rFonts w:ascii="Arial" w:hAnsi="Arial" w:cs="Arial"/>
          <w:i/>
          <w:iCs/>
          <w:sz w:val="22"/>
          <w:szCs w:val="22"/>
        </w:rPr>
        <w:t>International Journal of Social Research Methodology</w:t>
      </w:r>
      <w:r w:rsidRPr="00CF280F">
        <w:rPr>
          <w:rFonts w:ascii="Arial" w:hAnsi="Arial" w:cs="Arial"/>
          <w:sz w:val="22"/>
          <w:szCs w:val="22"/>
        </w:rPr>
        <w:t>, 8(1), pp. 19–32.</w:t>
      </w:r>
    </w:p>
    <w:p w14:paraId="25D36C84" w14:textId="12EA0D8F" w:rsidR="002D509E" w:rsidRPr="00CF280F" w:rsidRDefault="002D509E" w:rsidP="002D509E">
      <w:pPr>
        <w:rPr>
          <w:rFonts w:ascii="Arial" w:hAnsi="Arial" w:cs="Arial"/>
          <w:sz w:val="22"/>
          <w:szCs w:val="22"/>
        </w:rPr>
      </w:pPr>
      <w:r w:rsidRPr="00CF280F">
        <w:rPr>
          <w:rFonts w:ascii="Arial" w:hAnsi="Arial" w:cs="Arial"/>
          <w:sz w:val="22"/>
          <w:szCs w:val="22"/>
        </w:rPr>
        <w:t xml:space="preserve">Chan, J., Poon, S., Lawrence-Jones, A., O'Driscoll, F., Waugh, C., Awojobi-Johnson, A., Shepherd, L. and Grailey, K. (2025) 'Patient experiences of waiting for orthopaedic care and priorities for "waiting well": a qualitative study in a London NHS trust', </w:t>
      </w:r>
      <w:r w:rsidRPr="00CF280F">
        <w:rPr>
          <w:rFonts w:ascii="Arial" w:hAnsi="Arial" w:cs="Arial"/>
          <w:i/>
          <w:iCs/>
          <w:sz w:val="22"/>
          <w:szCs w:val="22"/>
        </w:rPr>
        <w:t>Archives of Public Health</w:t>
      </w:r>
      <w:r w:rsidRPr="00CF280F">
        <w:rPr>
          <w:rFonts w:ascii="Arial" w:hAnsi="Arial" w:cs="Arial"/>
          <w:sz w:val="22"/>
          <w:szCs w:val="22"/>
        </w:rPr>
        <w:t>, 83, Article 95.</w:t>
      </w:r>
    </w:p>
    <w:p w14:paraId="3AF6CFA2"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Department of Health and Social Care (2023) </w:t>
      </w:r>
      <w:r w:rsidRPr="00CF280F">
        <w:rPr>
          <w:rFonts w:ascii="Arial" w:hAnsi="Arial" w:cs="Arial"/>
          <w:i/>
          <w:iCs/>
          <w:sz w:val="22"/>
          <w:szCs w:val="22"/>
        </w:rPr>
        <w:t>The NHS Constitution for England</w:t>
      </w:r>
      <w:r w:rsidRPr="00CF280F">
        <w:rPr>
          <w:rFonts w:ascii="Arial" w:hAnsi="Arial" w:cs="Arial"/>
          <w:sz w:val="22"/>
          <w:szCs w:val="22"/>
        </w:rPr>
        <w:t>. London: DHSC.</w:t>
      </w:r>
    </w:p>
    <w:p w14:paraId="29883EDD"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Department of Health and Social Care (2025) </w:t>
      </w:r>
      <w:r w:rsidRPr="00CF280F">
        <w:rPr>
          <w:rFonts w:ascii="Arial" w:hAnsi="Arial" w:cs="Arial"/>
          <w:i/>
          <w:iCs/>
          <w:sz w:val="22"/>
          <w:szCs w:val="22"/>
        </w:rPr>
        <w:t>Patients to benefit from cutting-edge NHS care from their homes</w:t>
      </w:r>
      <w:r w:rsidRPr="00CF280F">
        <w:rPr>
          <w:rFonts w:ascii="Arial" w:hAnsi="Arial" w:cs="Arial"/>
          <w:sz w:val="22"/>
          <w:szCs w:val="22"/>
        </w:rPr>
        <w:t xml:space="preserve">. Available at: </w:t>
      </w:r>
      <w:hyperlink r:id="rId9" w:history="1">
        <w:r w:rsidRPr="00CF280F">
          <w:rPr>
            <w:rStyle w:val="Hiperligao"/>
            <w:rFonts w:ascii="Arial" w:hAnsi="Arial" w:cs="Arial"/>
            <w:sz w:val="22"/>
            <w:szCs w:val="22"/>
          </w:rPr>
          <w:t>https://www.gov.uk/government/news/patients-to-benefit-from-cutting-edge-nhs-care-from-their-homes</w:t>
        </w:r>
      </w:hyperlink>
      <w:r w:rsidRPr="00CF280F">
        <w:rPr>
          <w:rFonts w:ascii="Arial" w:hAnsi="Arial" w:cs="Arial"/>
          <w:sz w:val="22"/>
          <w:szCs w:val="22"/>
        </w:rPr>
        <w:t xml:space="preserve"> (Accessed: 17 June 2026).</w:t>
      </w:r>
    </w:p>
    <w:p w14:paraId="6AE062EC"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Health Foundation (2025) </w:t>
      </w:r>
      <w:r w:rsidRPr="00CF280F">
        <w:rPr>
          <w:rFonts w:ascii="Arial" w:hAnsi="Arial" w:cs="Arial"/>
          <w:i/>
          <w:iCs/>
          <w:sz w:val="22"/>
          <w:szCs w:val="22"/>
        </w:rPr>
        <w:t>The elective care waiting list: insights from linked data</w:t>
      </w:r>
      <w:r w:rsidRPr="00CF280F">
        <w:rPr>
          <w:rFonts w:ascii="Arial" w:hAnsi="Arial" w:cs="Arial"/>
          <w:sz w:val="22"/>
          <w:szCs w:val="22"/>
        </w:rPr>
        <w:t xml:space="preserve">. Available at: </w:t>
      </w:r>
      <w:hyperlink r:id="rId10" w:history="1">
        <w:r w:rsidRPr="00CF280F">
          <w:rPr>
            <w:rStyle w:val="Hiperligao"/>
            <w:rFonts w:ascii="Arial" w:hAnsi="Arial" w:cs="Arial"/>
            <w:sz w:val="22"/>
            <w:szCs w:val="22"/>
          </w:rPr>
          <w:t>https://www.health.org.uk/reports-and-analysis/briefings/the-elective-care-waiting-list-insights-from-linked-data</w:t>
        </w:r>
      </w:hyperlink>
      <w:r w:rsidRPr="00CF280F">
        <w:rPr>
          <w:rFonts w:ascii="Arial" w:hAnsi="Arial" w:cs="Arial"/>
          <w:sz w:val="22"/>
          <w:szCs w:val="22"/>
        </w:rPr>
        <w:t xml:space="preserve"> (Accessed: 17 June 2026).</w:t>
      </w:r>
    </w:p>
    <w:p w14:paraId="3D3FF23E"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Office for National Statistics (2025) </w:t>
      </w:r>
      <w:r w:rsidRPr="00CF280F">
        <w:rPr>
          <w:rFonts w:ascii="Arial" w:hAnsi="Arial" w:cs="Arial"/>
          <w:i/>
          <w:iCs/>
          <w:sz w:val="22"/>
          <w:szCs w:val="22"/>
        </w:rPr>
        <w:t>Experiences of NHS healthcare services in England</w:t>
      </w:r>
      <w:r w:rsidRPr="00CF280F">
        <w:rPr>
          <w:rFonts w:ascii="Arial" w:hAnsi="Arial" w:cs="Arial"/>
          <w:sz w:val="22"/>
          <w:szCs w:val="22"/>
        </w:rPr>
        <w:t xml:space="preserve">. Available at: </w:t>
      </w:r>
      <w:hyperlink r:id="rId11" w:history="1">
        <w:r w:rsidRPr="00CF280F">
          <w:rPr>
            <w:rStyle w:val="Hiperligao"/>
            <w:rFonts w:ascii="Arial" w:hAnsi="Arial" w:cs="Arial"/>
            <w:sz w:val="22"/>
            <w:szCs w:val="22"/>
          </w:rPr>
          <w:t>https://www.ons.gov.uk/peoplepopulationandcommunity/healthandsocialcare/healthcaresystem/bulletins/experiencesofnhshealthcareservicesinengland/september2025</w:t>
        </w:r>
      </w:hyperlink>
      <w:r w:rsidRPr="00CF280F">
        <w:rPr>
          <w:rFonts w:ascii="Arial" w:hAnsi="Arial" w:cs="Arial"/>
          <w:sz w:val="22"/>
          <w:szCs w:val="22"/>
        </w:rPr>
        <w:t xml:space="preserve"> (Accessed: 17 June 2026).</w:t>
      </w:r>
    </w:p>
    <w:p w14:paraId="593D0DC3"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Oudhoff, J.P., Timmermans, D.R.M., Knol, D.L., Bijnen, A.B. and van der Wal, G. (2007) 'Waiting for elective general surgery: impact on health related quality of life and psychosocial consequences', </w:t>
      </w:r>
      <w:r w:rsidRPr="00CF280F">
        <w:rPr>
          <w:rFonts w:ascii="Arial" w:hAnsi="Arial" w:cs="Arial"/>
          <w:i/>
          <w:iCs/>
          <w:sz w:val="22"/>
          <w:szCs w:val="22"/>
        </w:rPr>
        <w:t>BMC Public Health</w:t>
      </w:r>
      <w:r w:rsidRPr="00CF280F">
        <w:rPr>
          <w:rFonts w:ascii="Arial" w:hAnsi="Arial" w:cs="Arial"/>
          <w:sz w:val="22"/>
          <w:szCs w:val="22"/>
        </w:rPr>
        <w:t>, 7, Article 164.</w:t>
      </w:r>
    </w:p>
    <w:p w14:paraId="1645D87F"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Rethink Mental Illness (2025) </w:t>
      </w:r>
      <w:r w:rsidRPr="00CF280F">
        <w:rPr>
          <w:rFonts w:ascii="Arial" w:hAnsi="Arial" w:cs="Arial"/>
          <w:i/>
          <w:iCs/>
          <w:sz w:val="22"/>
          <w:szCs w:val="22"/>
        </w:rPr>
        <w:t>Right Treatment, Right Time 2025: The true cost of mental health waiting times</w:t>
      </w:r>
      <w:r w:rsidRPr="00CF280F">
        <w:rPr>
          <w:rFonts w:ascii="Arial" w:hAnsi="Arial" w:cs="Arial"/>
          <w:sz w:val="22"/>
          <w:szCs w:val="22"/>
        </w:rPr>
        <w:t xml:space="preserve">. Available at: </w:t>
      </w:r>
      <w:hyperlink r:id="rId12" w:history="1">
        <w:r w:rsidRPr="00CF280F">
          <w:rPr>
            <w:rStyle w:val="Hiperligao"/>
            <w:rFonts w:ascii="Arial" w:hAnsi="Arial" w:cs="Arial"/>
            <w:sz w:val="22"/>
            <w:szCs w:val="22"/>
          </w:rPr>
          <w:t>https://www.rethink.org/campaigns-and-policy/campaign-with-us/resources-and-reports/right-treatment-right-time-2025-the-true-cost-of-mental-health-waiting-times/</w:t>
        </w:r>
      </w:hyperlink>
      <w:r w:rsidRPr="00CF280F">
        <w:rPr>
          <w:rFonts w:ascii="Arial" w:hAnsi="Arial" w:cs="Arial"/>
          <w:sz w:val="22"/>
          <w:szCs w:val="22"/>
        </w:rPr>
        <w:t xml:space="preserve"> (Accessed: 17 June 2026).</w:t>
      </w:r>
    </w:p>
    <w:p w14:paraId="108F2DC5"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Royal College of Psychiatrists (2025) </w:t>
      </w:r>
      <w:r w:rsidRPr="00CF280F">
        <w:rPr>
          <w:rFonts w:ascii="Arial" w:hAnsi="Arial" w:cs="Arial"/>
          <w:i/>
          <w:iCs/>
          <w:sz w:val="22"/>
          <w:szCs w:val="22"/>
        </w:rPr>
        <w:t>7.5 million referrals on waiting lists doesn't include mental health patients, cautions RCPsych</w:t>
      </w:r>
      <w:r w:rsidRPr="00CF280F">
        <w:rPr>
          <w:rFonts w:ascii="Arial" w:hAnsi="Arial" w:cs="Arial"/>
          <w:sz w:val="22"/>
          <w:szCs w:val="22"/>
        </w:rPr>
        <w:t xml:space="preserve">. Available at: </w:t>
      </w:r>
      <w:hyperlink r:id="rId13" w:history="1">
        <w:r w:rsidRPr="00CF280F">
          <w:rPr>
            <w:rStyle w:val="Hiperligao"/>
            <w:rFonts w:ascii="Arial" w:hAnsi="Arial" w:cs="Arial"/>
            <w:sz w:val="22"/>
            <w:szCs w:val="22"/>
          </w:rPr>
          <w:t>https://www.rcpsych.ac.uk/news-and-features/latest-news/detail/2025/01/06/7.5-million-referrals-on-waiting-lists-doesn-t-include-mental-health-patients--cautions-rcpsych</w:t>
        </w:r>
      </w:hyperlink>
      <w:r w:rsidRPr="00CF280F">
        <w:rPr>
          <w:rFonts w:ascii="Arial" w:hAnsi="Arial" w:cs="Arial"/>
          <w:sz w:val="22"/>
          <w:szCs w:val="22"/>
        </w:rPr>
        <w:t xml:space="preserve"> (Accessed: 17 June 2026).</w:t>
      </w:r>
    </w:p>
    <w:p w14:paraId="5FDBA9CB" w14:textId="77777777" w:rsidR="002D509E" w:rsidRPr="00CF280F" w:rsidRDefault="002D509E" w:rsidP="002D509E">
      <w:pPr>
        <w:rPr>
          <w:rFonts w:ascii="Arial" w:hAnsi="Arial" w:cs="Arial"/>
          <w:sz w:val="22"/>
          <w:szCs w:val="22"/>
        </w:rPr>
      </w:pPr>
      <w:r w:rsidRPr="00CF280F">
        <w:rPr>
          <w:rFonts w:ascii="Arial" w:hAnsi="Arial" w:cs="Arial"/>
          <w:sz w:val="22"/>
          <w:szCs w:val="22"/>
        </w:rPr>
        <w:t xml:space="preserve">World Health Organization (2022) </w:t>
      </w:r>
      <w:r w:rsidRPr="00CF280F">
        <w:rPr>
          <w:rFonts w:ascii="Arial" w:hAnsi="Arial" w:cs="Arial"/>
          <w:i/>
          <w:iCs/>
          <w:sz w:val="22"/>
          <w:szCs w:val="22"/>
        </w:rPr>
        <w:t>Constitution of the World Health Organization</w:t>
      </w:r>
      <w:r w:rsidRPr="00CF280F">
        <w:rPr>
          <w:rFonts w:ascii="Arial" w:hAnsi="Arial" w:cs="Arial"/>
          <w:sz w:val="22"/>
          <w:szCs w:val="22"/>
        </w:rPr>
        <w:t>. Geneva: WHO.</w:t>
      </w:r>
    </w:p>
    <w:p w14:paraId="71EE4189" w14:textId="77777777" w:rsidR="002A4DA0" w:rsidRPr="002D509E" w:rsidRDefault="002A4DA0">
      <w:pPr>
        <w:rPr>
          <w:rFonts w:ascii="Arial" w:hAnsi="Arial" w:cs="Arial"/>
          <w:sz w:val="22"/>
          <w:szCs w:val="22"/>
        </w:rPr>
      </w:pPr>
    </w:p>
    <w:sectPr w:rsidR="002A4DA0" w:rsidRPr="002D50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7C826" w14:textId="77777777" w:rsidR="00ED5840" w:rsidRDefault="00ED5840" w:rsidP="0031643F">
      <w:pPr>
        <w:spacing w:after="0" w:line="240" w:lineRule="auto"/>
      </w:pPr>
      <w:r>
        <w:separator/>
      </w:r>
    </w:p>
  </w:endnote>
  <w:endnote w:type="continuationSeparator" w:id="0">
    <w:p w14:paraId="774C0632" w14:textId="77777777" w:rsidR="00ED5840" w:rsidRDefault="00ED5840" w:rsidP="00316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EF412" w14:textId="77777777" w:rsidR="00ED5840" w:rsidRDefault="00ED5840" w:rsidP="0031643F">
      <w:pPr>
        <w:spacing w:after="0" w:line="240" w:lineRule="auto"/>
      </w:pPr>
      <w:r>
        <w:separator/>
      </w:r>
    </w:p>
  </w:footnote>
  <w:footnote w:type="continuationSeparator" w:id="0">
    <w:p w14:paraId="3A833F03" w14:textId="77777777" w:rsidR="00ED5840" w:rsidRDefault="00ED5840" w:rsidP="003164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406E9"/>
    <w:multiLevelType w:val="multilevel"/>
    <w:tmpl w:val="9122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3404C"/>
    <w:multiLevelType w:val="multilevel"/>
    <w:tmpl w:val="B83A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90EC9"/>
    <w:multiLevelType w:val="multilevel"/>
    <w:tmpl w:val="F4FC1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8626EB"/>
    <w:multiLevelType w:val="multilevel"/>
    <w:tmpl w:val="7006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F24CBF"/>
    <w:multiLevelType w:val="multilevel"/>
    <w:tmpl w:val="2642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641DC"/>
    <w:multiLevelType w:val="multilevel"/>
    <w:tmpl w:val="BBD4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077BE"/>
    <w:multiLevelType w:val="multilevel"/>
    <w:tmpl w:val="F354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372A69"/>
    <w:multiLevelType w:val="multilevel"/>
    <w:tmpl w:val="7DCE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255C38"/>
    <w:multiLevelType w:val="multilevel"/>
    <w:tmpl w:val="4BA2D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CF32CC"/>
    <w:multiLevelType w:val="multilevel"/>
    <w:tmpl w:val="FE3E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D56C7D"/>
    <w:multiLevelType w:val="multilevel"/>
    <w:tmpl w:val="739E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FB73DB"/>
    <w:multiLevelType w:val="multilevel"/>
    <w:tmpl w:val="F6B8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ED2A91"/>
    <w:multiLevelType w:val="multilevel"/>
    <w:tmpl w:val="51743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D44899"/>
    <w:multiLevelType w:val="multilevel"/>
    <w:tmpl w:val="D772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501D08"/>
    <w:multiLevelType w:val="multilevel"/>
    <w:tmpl w:val="DB4A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321437"/>
    <w:multiLevelType w:val="multilevel"/>
    <w:tmpl w:val="5FC6A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3170368">
    <w:abstractNumId w:val="12"/>
  </w:num>
  <w:num w:numId="2" w16cid:durableId="2140801652">
    <w:abstractNumId w:val="2"/>
  </w:num>
  <w:num w:numId="3" w16cid:durableId="386420391">
    <w:abstractNumId w:val="4"/>
  </w:num>
  <w:num w:numId="4" w16cid:durableId="2016220543">
    <w:abstractNumId w:val="1"/>
  </w:num>
  <w:num w:numId="5" w16cid:durableId="160123342">
    <w:abstractNumId w:val="13"/>
  </w:num>
  <w:num w:numId="6" w16cid:durableId="536940175">
    <w:abstractNumId w:val="7"/>
  </w:num>
  <w:num w:numId="7" w16cid:durableId="1702592084">
    <w:abstractNumId w:val="8"/>
  </w:num>
  <w:num w:numId="8" w16cid:durableId="376203138">
    <w:abstractNumId w:val="9"/>
  </w:num>
  <w:num w:numId="9" w16cid:durableId="906961411">
    <w:abstractNumId w:val="6"/>
  </w:num>
  <w:num w:numId="10" w16cid:durableId="1166018993">
    <w:abstractNumId w:val="3"/>
  </w:num>
  <w:num w:numId="11" w16cid:durableId="1852837733">
    <w:abstractNumId w:val="15"/>
  </w:num>
  <w:num w:numId="12" w16cid:durableId="2017801478">
    <w:abstractNumId w:val="10"/>
  </w:num>
  <w:num w:numId="13" w16cid:durableId="1181774697">
    <w:abstractNumId w:val="14"/>
  </w:num>
  <w:num w:numId="14" w16cid:durableId="249395206">
    <w:abstractNumId w:val="5"/>
  </w:num>
  <w:num w:numId="15" w16cid:durableId="1988246678">
    <w:abstractNumId w:val="11"/>
  </w:num>
  <w:num w:numId="16" w16cid:durableId="109694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F8A"/>
    <w:rsid w:val="001C4E18"/>
    <w:rsid w:val="002A4DA0"/>
    <w:rsid w:val="002D509E"/>
    <w:rsid w:val="0031643F"/>
    <w:rsid w:val="004C1555"/>
    <w:rsid w:val="0067199C"/>
    <w:rsid w:val="00933FB1"/>
    <w:rsid w:val="00A06510"/>
    <w:rsid w:val="00A528A7"/>
    <w:rsid w:val="00C24B20"/>
    <w:rsid w:val="00CE1D6D"/>
    <w:rsid w:val="00CF280F"/>
    <w:rsid w:val="00ED5840"/>
    <w:rsid w:val="00ED7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2CFD5"/>
  <w15:chartTrackingRefBased/>
  <w15:docId w15:val="{AE0CF4A7-5358-4DE1-94FB-01D2D3F68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555"/>
  </w:style>
  <w:style w:type="paragraph" w:styleId="Ttulo1">
    <w:name w:val="heading 1"/>
    <w:basedOn w:val="Normal"/>
    <w:next w:val="Normal"/>
    <w:link w:val="Ttulo1Carter"/>
    <w:uiPriority w:val="9"/>
    <w:qFormat/>
    <w:rsid w:val="00ED7F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unhideWhenUsed/>
    <w:qFormat/>
    <w:rsid w:val="00ED7F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ED7F8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ED7F8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ED7F8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ED7F8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ED7F8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ED7F8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ED7F8A"/>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ED7F8A"/>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rsid w:val="00ED7F8A"/>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ED7F8A"/>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ED7F8A"/>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ED7F8A"/>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ED7F8A"/>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ED7F8A"/>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ED7F8A"/>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ED7F8A"/>
    <w:rPr>
      <w:rFonts w:eastAsiaTheme="majorEastAsia" w:cstheme="majorBidi"/>
      <w:color w:val="272727" w:themeColor="text1" w:themeTint="D8"/>
    </w:rPr>
  </w:style>
  <w:style w:type="paragraph" w:styleId="Ttulo">
    <w:name w:val="Title"/>
    <w:basedOn w:val="Normal"/>
    <w:next w:val="Normal"/>
    <w:link w:val="TtuloCarter"/>
    <w:uiPriority w:val="10"/>
    <w:qFormat/>
    <w:rsid w:val="00ED7F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ED7F8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ED7F8A"/>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ED7F8A"/>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ED7F8A"/>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ED7F8A"/>
    <w:rPr>
      <w:i/>
      <w:iCs/>
      <w:color w:val="404040" w:themeColor="text1" w:themeTint="BF"/>
    </w:rPr>
  </w:style>
  <w:style w:type="paragraph" w:styleId="PargrafodaLista">
    <w:name w:val="List Paragraph"/>
    <w:basedOn w:val="Normal"/>
    <w:uiPriority w:val="34"/>
    <w:qFormat/>
    <w:rsid w:val="00ED7F8A"/>
    <w:pPr>
      <w:ind w:left="720"/>
      <w:contextualSpacing/>
    </w:pPr>
  </w:style>
  <w:style w:type="character" w:styleId="nfaseIntensa">
    <w:name w:val="Intense Emphasis"/>
    <w:basedOn w:val="Tipodeletrapredefinidodopargrafo"/>
    <w:uiPriority w:val="21"/>
    <w:qFormat/>
    <w:rsid w:val="00ED7F8A"/>
    <w:rPr>
      <w:i/>
      <w:iCs/>
      <w:color w:val="0F4761" w:themeColor="accent1" w:themeShade="BF"/>
    </w:rPr>
  </w:style>
  <w:style w:type="paragraph" w:styleId="CitaoIntensa">
    <w:name w:val="Intense Quote"/>
    <w:basedOn w:val="Normal"/>
    <w:next w:val="Normal"/>
    <w:link w:val="CitaoIntensaCarter"/>
    <w:uiPriority w:val="30"/>
    <w:qFormat/>
    <w:rsid w:val="00ED7F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ED7F8A"/>
    <w:rPr>
      <w:i/>
      <w:iCs/>
      <w:color w:val="0F4761" w:themeColor="accent1" w:themeShade="BF"/>
    </w:rPr>
  </w:style>
  <w:style w:type="character" w:styleId="RefernciaIntensa">
    <w:name w:val="Intense Reference"/>
    <w:basedOn w:val="Tipodeletrapredefinidodopargrafo"/>
    <w:uiPriority w:val="32"/>
    <w:qFormat/>
    <w:rsid w:val="00ED7F8A"/>
    <w:rPr>
      <w:b/>
      <w:bCs/>
      <w:smallCaps/>
      <w:color w:val="0F4761" w:themeColor="accent1" w:themeShade="BF"/>
      <w:spacing w:val="5"/>
    </w:rPr>
  </w:style>
  <w:style w:type="character" w:styleId="Hiperligao">
    <w:name w:val="Hyperlink"/>
    <w:basedOn w:val="Tipodeletrapredefinidodopargrafo"/>
    <w:uiPriority w:val="99"/>
    <w:unhideWhenUsed/>
    <w:rsid w:val="002D509E"/>
    <w:rPr>
      <w:color w:val="467886" w:themeColor="hyperlink"/>
      <w:u w:val="single"/>
    </w:rPr>
  </w:style>
  <w:style w:type="character" w:styleId="MenoNoResolvida">
    <w:name w:val="Unresolved Mention"/>
    <w:basedOn w:val="Tipodeletrapredefinidodopargrafo"/>
    <w:uiPriority w:val="99"/>
    <w:semiHidden/>
    <w:unhideWhenUsed/>
    <w:rsid w:val="002D509E"/>
    <w:rPr>
      <w:color w:val="605E5C"/>
      <w:shd w:val="clear" w:color="auto" w:fill="E1DFDD"/>
    </w:rPr>
  </w:style>
  <w:style w:type="table" w:styleId="TabeladeGrelha5Escura-Destaque1">
    <w:name w:val="Grid Table 5 Dark Accent 1"/>
    <w:basedOn w:val="Tabelanormal"/>
    <w:uiPriority w:val="50"/>
    <w:rsid w:val="002D50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Cabealhodondice">
    <w:name w:val="TOC Heading"/>
    <w:basedOn w:val="Ttulo1"/>
    <w:next w:val="Normal"/>
    <w:uiPriority w:val="39"/>
    <w:unhideWhenUsed/>
    <w:qFormat/>
    <w:rsid w:val="002D509E"/>
    <w:pPr>
      <w:spacing w:before="240" w:after="0" w:line="259" w:lineRule="auto"/>
      <w:outlineLvl w:val="9"/>
    </w:pPr>
    <w:rPr>
      <w:kern w:val="0"/>
      <w:sz w:val="32"/>
      <w:szCs w:val="32"/>
      <w:lang w:eastAsia="en-GB"/>
      <w14:ligatures w14:val="none"/>
    </w:rPr>
  </w:style>
  <w:style w:type="paragraph" w:styleId="ndice1">
    <w:name w:val="toc 1"/>
    <w:basedOn w:val="Normal"/>
    <w:next w:val="Normal"/>
    <w:autoRedefine/>
    <w:uiPriority w:val="39"/>
    <w:unhideWhenUsed/>
    <w:rsid w:val="002D509E"/>
    <w:pPr>
      <w:spacing w:after="100"/>
    </w:pPr>
  </w:style>
  <w:style w:type="paragraph" w:styleId="ndice2">
    <w:name w:val="toc 2"/>
    <w:basedOn w:val="Normal"/>
    <w:next w:val="Normal"/>
    <w:autoRedefine/>
    <w:uiPriority w:val="39"/>
    <w:unhideWhenUsed/>
    <w:rsid w:val="002D509E"/>
    <w:pPr>
      <w:spacing w:after="100"/>
      <w:ind w:left="240"/>
    </w:pPr>
  </w:style>
  <w:style w:type="paragraph" w:styleId="Cabealho">
    <w:name w:val="header"/>
    <w:basedOn w:val="Normal"/>
    <w:link w:val="CabealhoCarter"/>
    <w:uiPriority w:val="99"/>
    <w:unhideWhenUsed/>
    <w:rsid w:val="0031643F"/>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31643F"/>
  </w:style>
  <w:style w:type="paragraph" w:styleId="Rodap">
    <w:name w:val="footer"/>
    <w:basedOn w:val="Normal"/>
    <w:link w:val="RodapCarter"/>
    <w:uiPriority w:val="99"/>
    <w:unhideWhenUsed/>
    <w:rsid w:val="0031643F"/>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316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cpsych.ac.uk/news-and-features/latest-news/detail/2025/01/06/7.5-million-referrals-on-waiting-lists-doesn-t-include-mental-health-patients--cautions-rcpsy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think.org/campaigns-and-policy/campaign-with-us/resources-and-reports/right-treatment-right-time-2025-the-true-cost-of-mental-health-waiting-tim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healthandsocialcare/healthcaresystem/bulletins/experiencesofnhshealthcareservicesinengland/september202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alth.org.uk/reports-and-analysis/briefings/the-elective-care-waiting-list-insights-from-linked-data" TargetMode="External"/><Relationship Id="rId4" Type="http://schemas.openxmlformats.org/officeDocument/2006/relationships/settings" Target="settings.xml"/><Relationship Id="rId9" Type="http://schemas.openxmlformats.org/officeDocument/2006/relationships/hyperlink" Target="https://www.gov.uk/government/news/patients-to-benefit-from-cutting-edge-nhs-care-from-their-hom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1E47B-C806-4F87-BE18-8D26F0C1F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4625</TotalTime>
  <Pages>18</Pages>
  <Words>4964</Words>
  <Characters>26809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Fayyaz Muhammad</dc:creator>
  <cp:keywords/>
  <dc:description/>
  <cp:lastModifiedBy>Ana Sousa</cp:lastModifiedBy>
  <cp:revision>5</cp:revision>
  <dcterms:created xsi:type="dcterms:W3CDTF">2026-06-18T11:03:00Z</dcterms:created>
  <dcterms:modified xsi:type="dcterms:W3CDTF">2026-07-26T18:17:00Z</dcterms:modified>
</cp:coreProperties>
</file>