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7367030"/>
        <w:docPartObj>
          <w:docPartGallery w:val="Cover Pages"/>
          <w:docPartUnique/>
        </w:docPartObj>
      </w:sdtPr>
      <w:sdtEndPr>
        <w:rPr>
          <w:b/>
          <w:bCs/>
        </w:rPr>
      </w:sdtEndPr>
      <w:sdtContent>
        <w:p w14:paraId="7691A5FE" w14:textId="57318BBC" w:rsidR="004D31EA" w:rsidRDefault="004D31EA">
          <w:r>
            <w:rPr>
              <w:noProof/>
            </w:rPr>
            <mc:AlternateContent>
              <mc:Choice Requires="wpg">
                <w:drawing>
                  <wp:anchor distT="0" distB="0" distL="114300" distR="114300" simplePos="0" relativeHeight="251659264" behindDoc="0" locked="0" layoutInCell="1" allowOverlap="1" wp14:anchorId="4C99E933" wp14:editId="2E2A4E49">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3858707" w14:textId="2946E81C" w:rsidR="004D31EA" w:rsidRDefault="004D31EA">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LCBB5004 Managing People A2</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499FC8B" w14:textId="60B87B82" w:rsidR="004D31EA" w:rsidRDefault="004D31EA" w:rsidP="004D31EA">
                                      <w:pPr>
                                        <w:pStyle w:val="NoSpacing"/>
                                        <w:spacing w:line="264" w:lineRule="auto"/>
                                        <w:rPr>
                                          <w:color w:val="E7E6E6" w:themeColor="background2"/>
                                          <w:spacing w:val="20"/>
                                          <w:sz w:val="40"/>
                                          <w:szCs w:val="40"/>
                                        </w:rPr>
                                      </w:pPr>
                                      <w:r w:rsidRPr="004D31EA">
                                        <w:rPr>
                                          <w:color w:val="E7E6E6" w:themeColor="background2"/>
                                          <w:spacing w:val="20"/>
                                          <w:sz w:val="40"/>
                                          <w:szCs w:val="40"/>
                                        </w:rPr>
                                        <w:t>Module Leader: Ze Zook-GP1</w:t>
                                      </w:r>
                                      <w:r>
                                        <w:rPr>
                                          <w:color w:val="E7E6E6" w:themeColor="background2"/>
                                          <w:spacing w:val="20"/>
                                          <w:sz w:val="40"/>
                                          <w:szCs w:val="40"/>
                                        </w:rPr>
                                        <w:t xml:space="preserve"> </w:t>
                                      </w:r>
                                      <w:r w:rsidRPr="004D31EA">
                                        <w:rPr>
                                          <w:color w:val="E7E6E6" w:themeColor="background2"/>
                                          <w:spacing w:val="20"/>
                                          <w:sz w:val="40"/>
                                          <w:szCs w:val="40"/>
                                        </w:rPr>
                                        <w:t>Nishi Ramsurrun-GP2</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B020E9A" w14:textId="2A15B15A" w:rsidR="004D31EA" w:rsidRDefault="004D31EA">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58F71099" w14:textId="297668EC" w:rsidR="004D31EA"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726CD">
                                        <w:rPr>
                                          <w:color w:val="E7E6E6" w:themeColor="background2"/>
                                          <w:spacing w:val="20"/>
                                          <w:sz w:val="36"/>
                                          <w:szCs w:val="36"/>
                                        </w:rPr>
                                        <w:t>Student ID:</w:t>
                                      </w:r>
                                    </w:sdtContent>
                                  </w:sdt>
                                  <w:r w:rsidR="004D31EA" w:rsidRPr="004D31EA">
                                    <w:rPr>
                                      <w:color w:val="E7E6E6" w:themeColor="background2"/>
                                      <w:spacing w:val="20"/>
                                      <w:sz w:val="36"/>
                                      <w:szCs w:val="36"/>
                                    </w:rPr>
                                    <w:t>2115610</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C99E933"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3858707" w14:textId="2946E81C" w:rsidR="004D31EA" w:rsidRDefault="004D31EA">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LCBB5004 Managing People A2</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499FC8B" w14:textId="60B87B82" w:rsidR="004D31EA" w:rsidRDefault="004D31EA" w:rsidP="004D31EA">
                                <w:pPr>
                                  <w:pStyle w:val="NoSpacing"/>
                                  <w:spacing w:line="264" w:lineRule="auto"/>
                                  <w:rPr>
                                    <w:color w:val="E7E6E6" w:themeColor="background2"/>
                                    <w:spacing w:val="20"/>
                                    <w:sz w:val="40"/>
                                    <w:szCs w:val="40"/>
                                  </w:rPr>
                                </w:pPr>
                                <w:r w:rsidRPr="004D31EA">
                                  <w:rPr>
                                    <w:color w:val="E7E6E6" w:themeColor="background2"/>
                                    <w:spacing w:val="20"/>
                                    <w:sz w:val="40"/>
                                    <w:szCs w:val="40"/>
                                  </w:rPr>
                                  <w:t>Module Leader: Ze Zook-GP1</w:t>
                                </w:r>
                                <w:r>
                                  <w:rPr>
                                    <w:color w:val="E7E6E6" w:themeColor="background2"/>
                                    <w:spacing w:val="20"/>
                                    <w:sz w:val="40"/>
                                    <w:szCs w:val="40"/>
                                  </w:rPr>
                                  <w:t xml:space="preserve"> </w:t>
                                </w:r>
                                <w:r w:rsidRPr="004D31EA">
                                  <w:rPr>
                                    <w:color w:val="E7E6E6" w:themeColor="background2"/>
                                    <w:spacing w:val="20"/>
                                    <w:sz w:val="40"/>
                                    <w:szCs w:val="40"/>
                                  </w:rPr>
                                  <w:t>Nishi Ramsurrun-GP2</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B020E9A" w14:textId="2A15B15A" w:rsidR="004D31EA" w:rsidRDefault="004D31EA">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p>
                            </w:sdtContent>
                          </w:sdt>
                          <w:p w14:paraId="58F71099" w14:textId="297668EC" w:rsidR="004D31EA"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726CD">
                                  <w:rPr>
                                    <w:color w:val="E7E6E6" w:themeColor="background2"/>
                                    <w:spacing w:val="20"/>
                                    <w:sz w:val="36"/>
                                    <w:szCs w:val="36"/>
                                  </w:rPr>
                                  <w:t>Student ID:</w:t>
                                </w:r>
                              </w:sdtContent>
                            </w:sdt>
                            <w:r w:rsidR="004D31EA" w:rsidRPr="004D31EA">
                              <w:rPr>
                                <w:color w:val="E7E6E6" w:themeColor="background2"/>
                                <w:spacing w:val="20"/>
                                <w:sz w:val="36"/>
                                <w:szCs w:val="36"/>
                              </w:rPr>
                              <w:t>2115610</w:t>
                            </w:r>
                          </w:p>
                        </w:txbxContent>
                      </v:textbox>
                    </v:shape>
                    <w10:wrap anchorx="page" anchory="page"/>
                  </v:group>
                </w:pict>
              </mc:Fallback>
            </mc:AlternateContent>
          </w:r>
        </w:p>
        <w:p w14:paraId="2E702CD7" w14:textId="1CA355F3" w:rsidR="004D31EA" w:rsidRDefault="004D31EA">
          <w:pPr>
            <w:spacing w:after="0" w:line="240" w:lineRule="auto"/>
          </w:pPr>
          <w:r>
            <w:rPr>
              <w:b/>
              <w:bCs/>
            </w:rPr>
            <w:br w:type="page"/>
          </w:r>
        </w:p>
      </w:sdtContent>
    </w:sdt>
    <w:sdt>
      <w:sdtPr>
        <w:rPr>
          <w:rFonts w:ascii="Arial" w:eastAsiaTheme="minorHAnsi" w:hAnsi="Arial" w:cstheme="minorBidi"/>
          <w:b w:val="0"/>
          <w:bCs w:val="0"/>
          <w:color w:val="auto"/>
          <w:sz w:val="24"/>
          <w:szCs w:val="22"/>
          <w:lang w:val="en-GB"/>
        </w:rPr>
        <w:id w:val="-1389868383"/>
        <w:docPartObj>
          <w:docPartGallery w:val="Table of Contents"/>
          <w:docPartUnique/>
        </w:docPartObj>
      </w:sdtPr>
      <w:sdtEndPr>
        <w:rPr>
          <w:noProof/>
          <w:sz w:val="36"/>
          <w:szCs w:val="32"/>
        </w:rPr>
      </w:sdtEndPr>
      <w:sdtContent>
        <w:p w14:paraId="5489D600" w14:textId="429A2452" w:rsidR="004D31EA" w:rsidRDefault="004D31EA">
          <w:pPr>
            <w:pStyle w:val="TOCHeading"/>
          </w:pPr>
          <w:r>
            <w:t>Table of Contents</w:t>
          </w:r>
        </w:p>
        <w:p w14:paraId="273A007D" w14:textId="1C90E57C" w:rsidR="004D31EA" w:rsidRPr="004D31EA" w:rsidRDefault="004D31EA">
          <w:pPr>
            <w:pStyle w:val="TOC1"/>
            <w:tabs>
              <w:tab w:val="right" w:leader="dot" w:pos="9016"/>
            </w:tabs>
            <w:rPr>
              <w:b w:val="0"/>
              <w:bCs w:val="0"/>
              <w:noProof/>
              <w:sz w:val="24"/>
              <w:szCs w:val="24"/>
            </w:rPr>
          </w:pPr>
          <w:r w:rsidRPr="004D31EA">
            <w:rPr>
              <w:b w:val="0"/>
              <w:bCs w:val="0"/>
              <w:sz w:val="24"/>
              <w:szCs w:val="24"/>
            </w:rPr>
            <w:fldChar w:fldCharType="begin"/>
          </w:r>
          <w:r w:rsidRPr="004D31EA">
            <w:rPr>
              <w:b w:val="0"/>
              <w:bCs w:val="0"/>
              <w:sz w:val="24"/>
              <w:szCs w:val="24"/>
            </w:rPr>
            <w:instrText xml:space="preserve"> TOC \o "1-3" \h \z \u </w:instrText>
          </w:r>
          <w:r w:rsidRPr="004D31EA">
            <w:rPr>
              <w:b w:val="0"/>
              <w:bCs w:val="0"/>
              <w:sz w:val="24"/>
              <w:szCs w:val="24"/>
            </w:rPr>
            <w:fldChar w:fldCharType="separate"/>
          </w:r>
          <w:hyperlink w:anchor="_Toc124184410" w:history="1">
            <w:r w:rsidRPr="004D31EA">
              <w:rPr>
                <w:rStyle w:val="Hyperlink"/>
                <w:b w:val="0"/>
                <w:bCs w:val="0"/>
                <w:noProof/>
                <w:sz w:val="24"/>
                <w:szCs w:val="24"/>
              </w:rPr>
              <w:t>Task 1</w:t>
            </w:r>
            <w:r w:rsidRPr="004D31EA">
              <w:rPr>
                <w:b w:val="0"/>
                <w:bCs w:val="0"/>
                <w:noProof/>
                <w:webHidden/>
                <w:sz w:val="24"/>
                <w:szCs w:val="24"/>
              </w:rPr>
              <w:tab/>
            </w:r>
            <w:r w:rsidRPr="004D31EA">
              <w:rPr>
                <w:b w:val="0"/>
                <w:bCs w:val="0"/>
                <w:noProof/>
                <w:webHidden/>
                <w:sz w:val="24"/>
                <w:szCs w:val="24"/>
              </w:rPr>
              <w:fldChar w:fldCharType="begin"/>
            </w:r>
            <w:r w:rsidRPr="004D31EA">
              <w:rPr>
                <w:b w:val="0"/>
                <w:bCs w:val="0"/>
                <w:noProof/>
                <w:webHidden/>
                <w:sz w:val="24"/>
                <w:szCs w:val="24"/>
              </w:rPr>
              <w:instrText xml:space="preserve"> PAGEREF _Toc124184410 \h </w:instrText>
            </w:r>
            <w:r w:rsidRPr="004D31EA">
              <w:rPr>
                <w:b w:val="0"/>
                <w:bCs w:val="0"/>
                <w:noProof/>
                <w:webHidden/>
                <w:sz w:val="24"/>
                <w:szCs w:val="24"/>
              </w:rPr>
            </w:r>
            <w:r w:rsidRPr="004D31EA">
              <w:rPr>
                <w:b w:val="0"/>
                <w:bCs w:val="0"/>
                <w:noProof/>
                <w:webHidden/>
                <w:sz w:val="24"/>
                <w:szCs w:val="24"/>
              </w:rPr>
              <w:fldChar w:fldCharType="separate"/>
            </w:r>
            <w:r w:rsidR="000726CD">
              <w:rPr>
                <w:b w:val="0"/>
                <w:bCs w:val="0"/>
                <w:noProof/>
                <w:webHidden/>
                <w:sz w:val="24"/>
                <w:szCs w:val="24"/>
              </w:rPr>
              <w:t>2</w:t>
            </w:r>
            <w:r w:rsidRPr="004D31EA">
              <w:rPr>
                <w:b w:val="0"/>
                <w:bCs w:val="0"/>
                <w:noProof/>
                <w:webHidden/>
                <w:sz w:val="24"/>
                <w:szCs w:val="24"/>
              </w:rPr>
              <w:fldChar w:fldCharType="end"/>
            </w:r>
          </w:hyperlink>
        </w:p>
        <w:p w14:paraId="77317D45" w14:textId="3308B48C" w:rsidR="004D31EA" w:rsidRPr="004D31EA" w:rsidRDefault="00000000">
          <w:pPr>
            <w:pStyle w:val="TOC1"/>
            <w:tabs>
              <w:tab w:val="right" w:leader="dot" w:pos="9016"/>
            </w:tabs>
            <w:rPr>
              <w:b w:val="0"/>
              <w:bCs w:val="0"/>
              <w:noProof/>
              <w:sz w:val="24"/>
              <w:szCs w:val="24"/>
            </w:rPr>
          </w:pPr>
          <w:hyperlink w:anchor="_Toc124184411" w:history="1">
            <w:r w:rsidR="004D31EA" w:rsidRPr="004D31EA">
              <w:rPr>
                <w:rStyle w:val="Hyperlink"/>
                <w:b w:val="0"/>
                <w:bCs w:val="0"/>
                <w:noProof/>
                <w:sz w:val="24"/>
                <w:szCs w:val="24"/>
              </w:rPr>
              <w:t>Task 2</w:t>
            </w:r>
            <w:r w:rsidR="004D31EA" w:rsidRPr="004D31EA">
              <w:rPr>
                <w:b w:val="0"/>
                <w:bCs w:val="0"/>
                <w:noProof/>
                <w:webHidden/>
                <w:sz w:val="24"/>
                <w:szCs w:val="24"/>
              </w:rPr>
              <w:tab/>
            </w:r>
            <w:r w:rsidR="004D31EA" w:rsidRPr="004D31EA">
              <w:rPr>
                <w:b w:val="0"/>
                <w:bCs w:val="0"/>
                <w:noProof/>
                <w:webHidden/>
                <w:sz w:val="24"/>
                <w:szCs w:val="24"/>
              </w:rPr>
              <w:fldChar w:fldCharType="begin"/>
            </w:r>
            <w:r w:rsidR="004D31EA" w:rsidRPr="004D31EA">
              <w:rPr>
                <w:b w:val="0"/>
                <w:bCs w:val="0"/>
                <w:noProof/>
                <w:webHidden/>
                <w:sz w:val="24"/>
                <w:szCs w:val="24"/>
              </w:rPr>
              <w:instrText xml:space="preserve"> PAGEREF _Toc124184411 \h </w:instrText>
            </w:r>
            <w:r w:rsidR="004D31EA" w:rsidRPr="004D31EA">
              <w:rPr>
                <w:b w:val="0"/>
                <w:bCs w:val="0"/>
                <w:noProof/>
                <w:webHidden/>
                <w:sz w:val="24"/>
                <w:szCs w:val="24"/>
              </w:rPr>
            </w:r>
            <w:r w:rsidR="004D31EA" w:rsidRPr="004D31EA">
              <w:rPr>
                <w:b w:val="0"/>
                <w:bCs w:val="0"/>
                <w:noProof/>
                <w:webHidden/>
                <w:sz w:val="24"/>
                <w:szCs w:val="24"/>
              </w:rPr>
              <w:fldChar w:fldCharType="separate"/>
            </w:r>
            <w:r w:rsidR="000726CD">
              <w:rPr>
                <w:b w:val="0"/>
                <w:bCs w:val="0"/>
                <w:noProof/>
                <w:webHidden/>
                <w:sz w:val="24"/>
                <w:szCs w:val="24"/>
              </w:rPr>
              <w:t>3</w:t>
            </w:r>
            <w:r w:rsidR="004D31EA" w:rsidRPr="004D31EA">
              <w:rPr>
                <w:b w:val="0"/>
                <w:bCs w:val="0"/>
                <w:noProof/>
                <w:webHidden/>
                <w:sz w:val="24"/>
                <w:szCs w:val="24"/>
              </w:rPr>
              <w:fldChar w:fldCharType="end"/>
            </w:r>
          </w:hyperlink>
        </w:p>
        <w:p w14:paraId="409FB34E" w14:textId="460B91DC" w:rsidR="004D31EA" w:rsidRPr="004D31EA" w:rsidRDefault="00000000">
          <w:pPr>
            <w:pStyle w:val="TOC1"/>
            <w:tabs>
              <w:tab w:val="right" w:leader="dot" w:pos="9016"/>
            </w:tabs>
            <w:rPr>
              <w:b w:val="0"/>
              <w:bCs w:val="0"/>
              <w:noProof/>
              <w:sz w:val="24"/>
              <w:szCs w:val="24"/>
            </w:rPr>
          </w:pPr>
          <w:hyperlink w:anchor="_Toc124184412" w:history="1">
            <w:r w:rsidR="004D31EA" w:rsidRPr="004D31EA">
              <w:rPr>
                <w:rStyle w:val="Hyperlink"/>
                <w:b w:val="0"/>
                <w:bCs w:val="0"/>
                <w:noProof/>
                <w:sz w:val="24"/>
                <w:szCs w:val="24"/>
              </w:rPr>
              <w:t>References</w:t>
            </w:r>
            <w:r w:rsidR="004D31EA" w:rsidRPr="004D31EA">
              <w:rPr>
                <w:b w:val="0"/>
                <w:bCs w:val="0"/>
                <w:noProof/>
                <w:webHidden/>
                <w:sz w:val="24"/>
                <w:szCs w:val="24"/>
              </w:rPr>
              <w:tab/>
            </w:r>
            <w:r w:rsidR="004D31EA" w:rsidRPr="004D31EA">
              <w:rPr>
                <w:b w:val="0"/>
                <w:bCs w:val="0"/>
                <w:noProof/>
                <w:webHidden/>
                <w:sz w:val="24"/>
                <w:szCs w:val="24"/>
              </w:rPr>
              <w:fldChar w:fldCharType="begin"/>
            </w:r>
            <w:r w:rsidR="004D31EA" w:rsidRPr="004D31EA">
              <w:rPr>
                <w:b w:val="0"/>
                <w:bCs w:val="0"/>
                <w:noProof/>
                <w:webHidden/>
                <w:sz w:val="24"/>
                <w:szCs w:val="24"/>
              </w:rPr>
              <w:instrText xml:space="preserve"> PAGEREF _Toc124184412 \h </w:instrText>
            </w:r>
            <w:r w:rsidR="004D31EA" w:rsidRPr="004D31EA">
              <w:rPr>
                <w:b w:val="0"/>
                <w:bCs w:val="0"/>
                <w:noProof/>
                <w:webHidden/>
                <w:sz w:val="24"/>
                <w:szCs w:val="24"/>
              </w:rPr>
            </w:r>
            <w:r w:rsidR="004D31EA" w:rsidRPr="004D31EA">
              <w:rPr>
                <w:b w:val="0"/>
                <w:bCs w:val="0"/>
                <w:noProof/>
                <w:webHidden/>
                <w:sz w:val="24"/>
                <w:szCs w:val="24"/>
              </w:rPr>
              <w:fldChar w:fldCharType="separate"/>
            </w:r>
            <w:r w:rsidR="000726CD">
              <w:rPr>
                <w:b w:val="0"/>
                <w:bCs w:val="0"/>
                <w:noProof/>
                <w:webHidden/>
                <w:sz w:val="24"/>
                <w:szCs w:val="24"/>
              </w:rPr>
              <w:t>6</w:t>
            </w:r>
            <w:r w:rsidR="004D31EA" w:rsidRPr="004D31EA">
              <w:rPr>
                <w:b w:val="0"/>
                <w:bCs w:val="0"/>
                <w:noProof/>
                <w:webHidden/>
                <w:sz w:val="24"/>
                <w:szCs w:val="24"/>
              </w:rPr>
              <w:fldChar w:fldCharType="end"/>
            </w:r>
          </w:hyperlink>
        </w:p>
        <w:p w14:paraId="46E3A5C7" w14:textId="7077EA72" w:rsidR="004D31EA" w:rsidRPr="004D31EA" w:rsidRDefault="004D31EA">
          <w:pPr>
            <w:rPr>
              <w:sz w:val="36"/>
              <w:szCs w:val="32"/>
            </w:rPr>
          </w:pPr>
          <w:r w:rsidRPr="004D31EA">
            <w:rPr>
              <w:noProof/>
              <w:sz w:val="36"/>
              <w:szCs w:val="32"/>
            </w:rPr>
            <w:fldChar w:fldCharType="end"/>
          </w:r>
        </w:p>
      </w:sdtContent>
    </w:sdt>
    <w:p w14:paraId="423341B6" w14:textId="351AB5E0" w:rsidR="00260D4C" w:rsidRDefault="00260D4C"/>
    <w:p w14:paraId="5CC01DAD" w14:textId="77777777" w:rsidR="00260D4C" w:rsidRDefault="00260D4C">
      <w:pPr>
        <w:spacing w:after="0" w:line="240" w:lineRule="auto"/>
      </w:pPr>
      <w:r>
        <w:br w:type="page"/>
      </w:r>
    </w:p>
    <w:p w14:paraId="7AF9A94C" w14:textId="77777777" w:rsidR="00260D4C" w:rsidRDefault="00260D4C" w:rsidP="004D31EA">
      <w:pPr>
        <w:pStyle w:val="Heading1"/>
      </w:pPr>
      <w:bookmarkStart w:id="0" w:name="_Toc124184410"/>
      <w:r>
        <w:lastRenderedPageBreak/>
        <w:t>Task 1</w:t>
      </w:r>
      <w:bookmarkEnd w:id="0"/>
      <w:r>
        <w:t xml:space="preserve"> </w:t>
      </w:r>
    </w:p>
    <w:p w14:paraId="56E0CBF5" w14:textId="4F180D65" w:rsidR="00260D4C" w:rsidRDefault="00260D4C" w:rsidP="00260D4C">
      <w:r>
        <w:t xml:space="preserve">The contacts between employees and employers are managed by a professional organisation known as CPID, which is also responsible for coordinating the organization's culture among its </w:t>
      </w:r>
      <w:proofErr w:type="gramStart"/>
      <w:r>
        <w:t>workforce</w:t>
      </w:r>
      <w:proofErr w:type="gramEnd"/>
      <w:r>
        <w:t xml:space="preserve">. </w:t>
      </w:r>
      <w:proofErr w:type="gramStart"/>
      <w:r>
        <w:t>In order to</w:t>
      </w:r>
      <w:proofErr w:type="gramEnd"/>
      <w:r>
        <w:t xml:space="preserve"> meet the requirements of the modern business, HR professionals need to have an understanding of the activities, knowledge, and behaviours that were developed by the CIPD</w:t>
      </w:r>
      <w:r w:rsidR="00E83F61" w:rsidRPr="00E83F61">
        <w:t xml:space="preserve"> (Black and Warhurst, 2022)</w:t>
      </w:r>
      <w:r>
        <w:t>. In addition, the strategy provides human resource management experts with assistance in determining the competencies and behaviours that are necessary for membership in the profession. It serves as the basis for the profession by presenting eight behaviours, four bands, and ten professional domains that can be applied to a wide range of HR-related activities</w:t>
      </w:r>
      <w:r w:rsidR="00E83F61" w:rsidRPr="00E83F61">
        <w:t xml:space="preserve"> (Black and Warhurst, 2022)</w:t>
      </w:r>
      <w:r w:rsidR="00E83F61">
        <w:t xml:space="preserve">. </w:t>
      </w:r>
      <w:r>
        <w:t xml:space="preserve">The CIPD profession map is, fortunately, configurable, which gives human resources professionals the ability to choose what aspects of the profession to concentrate on based on their aspirations for career advancement, the level of accountability they have in the function to which they have been assigned, and the business line. </w:t>
      </w:r>
    </w:p>
    <w:p w14:paraId="56503F09" w14:textId="7B1AA1C0" w:rsidR="00260D4C" w:rsidRDefault="00260D4C" w:rsidP="00260D4C">
      <w:r>
        <w:t xml:space="preserve">Two of the most fundamental aspects of the HR profession, namely Insight, Strategy, and Solutions, as well as Leading HR, are positioned at the very centre of the CIPD profession map. These aspects are regarded as being of the utmost importance by HR professionals because of their relation to the HR profession elements. In addition to these two aspects, the employee participation will also be taken into consideration while analysing the development map </w:t>
      </w:r>
      <w:r w:rsidR="00E83F61" w:rsidRPr="00E83F61">
        <w:t>(</w:t>
      </w:r>
      <w:proofErr w:type="spellStart"/>
      <w:r w:rsidR="00E83F61" w:rsidRPr="00E83F61">
        <w:t>Elrayah</w:t>
      </w:r>
      <w:proofErr w:type="spellEnd"/>
      <w:r w:rsidR="00E83F61" w:rsidRPr="00E83F61">
        <w:t>, 2021)</w:t>
      </w:r>
      <w:r w:rsidR="00E83F61">
        <w:t xml:space="preserve">. </w:t>
      </w:r>
      <w:r>
        <w:t xml:space="preserve">These pillars serve as the foundation for developing exceptional human resource capabilities and can be applied in any career level, job, or geographic location. A knowledgeable HR professional should always be striving to deliver insights, strategies, and solutions to their clients. In addition, the component devises plans and solutions and makes recommendations for them based on an understanding of the internal environment of the firm as well as the external difficulties it faces. </w:t>
      </w:r>
      <w:r w:rsidR="000726CD" w:rsidRPr="000726CD">
        <w:t>The intention is for the Profession Map to evolve in unison with the shifting nature of the professional landscape in the field of human resources. No matter what occurs, the core values and driving forces underlying the professional standards will continue to be the same. As new positions, specialties, priorities, and opportunities come up in the profession, the Profession Map will be updated to include them.</w:t>
      </w:r>
    </w:p>
    <w:p w14:paraId="67D9030C" w14:textId="77777777" w:rsidR="00E83F61" w:rsidRDefault="00260D4C" w:rsidP="00260D4C">
      <w:r>
        <w:t xml:space="preserve">As a result of the insights, strategy, and problems solving that it provides for organisations and the people who work for those organisations, human resources </w:t>
      </w:r>
      <w:proofErr w:type="gramStart"/>
      <w:r>
        <w:t>is</w:t>
      </w:r>
      <w:proofErr w:type="gramEnd"/>
      <w:r>
        <w:t xml:space="preserve"> a highly regarded business discipline. One needs to be able to think critically and analytically </w:t>
      </w:r>
      <w:proofErr w:type="gramStart"/>
      <w:r>
        <w:t>in order to</w:t>
      </w:r>
      <w:proofErr w:type="gramEnd"/>
      <w:r>
        <w:t xml:space="preserve"> assist human resources in analysing a situation and coming up with a plan of action</w:t>
      </w:r>
      <w:r w:rsidR="00E83F61" w:rsidRPr="00E83F61">
        <w:t xml:space="preserve"> (</w:t>
      </w:r>
      <w:proofErr w:type="spellStart"/>
      <w:r w:rsidR="00E83F61" w:rsidRPr="00E83F61">
        <w:t>Elrayah</w:t>
      </w:r>
      <w:proofErr w:type="spellEnd"/>
      <w:r w:rsidR="00E83F61" w:rsidRPr="00E83F61">
        <w:t>, 2021)</w:t>
      </w:r>
      <w:r>
        <w:t xml:space="preserve">. When it comes to making sure that all employee interactions are positive and well comprehended, HR receives assistance from the employee engagement professional core. It is the responsibility of this individual to ensure that all of the workers effectively communicate with </w:t>
      </w:r>
      <w:proofErr w:type="gramStart"/>
      <w:r>
        <w:t>one another</w:t>
      </w:r>
      <w:proofErr w:type="gramEnd"/>
      <w:r>
        <w:t xml:space="preserve"> and that each employee makes an exceptional effort above and beyond what is required of them in their respective responsibilities.</w:t>
      </w:r>
    </w:p>
    <w:p w14:paraId="08FD5FE2" w14:textId="7914C849" w:rsidR="00260D4C" w:rsidRDefault="00260D4C" w:rsidP="00260D4C">
      <w:proofErr w:type="gramStart"/>
      <w:r>
        <w:lastRenderedPageBreak/>
        <w:t>In order to</w:t>
      </w:r>
      <w:proofErr w:type="gramEnd"/>
      <w:r>
        <w:t xml:space="preserve"> attain high levels of employee engagement, the Human Resources department needs to demonstrate good teamwork, act as a model for other departments, and exercise strong influence. The core HR leader strengthens his or her influence within the organisation by serving as a role model for other workers within the company by demonstrating the importance of </w:t>
      </w:r>
      <w:proofErr w:type="gramStart"/>
      <w:r>
        <w:t>providing assistance to</w:t>
      </w:r>
      <w:proofErr w:type="gramEnd"/>
      <w:r>
        <w:t xml:space="preserve"> individuals within the company </w:t>
      </w:r>
      <w:r w:rsidR="00E83F61" w:rsidRPr="00E83F61">
        <w:t>(Armstrong, 2020)</w:t>
      </w:r>
      <w:r w:rsidR="00E83F61">
        <w:t xml:space="preserve">. </w:t>
      </w:r>
      <w:r>
        <w:t xml:space="preserve">It is essential to have effective communication with employees as well as other stakeholders because this demonstrates the leadership abilities of the HR department and its ability to deliver relevant research on company initiatives. A qualified professional in human resources needs to be able to produce convincing arguments while also paying attention to what stakeholders have to say. </w:t>
      </w:r>
    </w:p>
    <w:p w14:paraId="61AF3A11" w14:textId="5EE55EB7" w:rsidR="00260D4C" w:rsidRDefault="00260D4C" w:rsidP="00260D4C">
      <w:r>
        <w:t xml:space="preserve">For the development of this strategy, having strong analytical skills is an absolutely </w:t>
      </w:r>
      <w:proofErr w:type="gramStart"/>
      <w:r>
        <w:t>necessary prerequisite</w:t>
      </w:r>
      <w:proofErr w:type="gramEnd"/>
      <w:r>
        <w:t xml:space="preserve">, as it involves the participation of employees. Quantifying an employee's attitude is the first step that needs to be taken before it can be improved. As a result, the attitudes of workers need to be evaluated </w:t>
      </w:r>
      <w:proofErr w:type="gramStart"/>
      <w:r>
        <w:t>through the use of</w:t>
      </w:r>
      <w:proofErr w:type="gramEnd"/>
      <w:r>
        <w:t xml:space="preserve"> training, focus groups, and survey design. </w:t>
      </w:r>
      <w:r w:rsidR="00E83F61">
        <w:t>It is also important to outline the fact that</w:t>
      </w:r>
      <w:r>
        <w:t xml:space="preserve"> the most important factor in determining the success of a business is having capable leadership </w:t>
      </w:r>
      <w:r w:rsidR="00E83F61" w:rsidRPr="00E83F61">
        <w:t>(Harrison et al., 2020)</w:t>
      </w:r>
      <w:r w:rsidR="00E83F61">
        <w:t xml:space="preserve">. </w:t>
      </w:r>
      <w:r>
        <w:t xml:space="preserve">The Human Resources department needs to be forward-thinking and involved in decision-making </w:t>
      </w:r>
      <w:proofErr w:type="gramStart"/>
      <w:r>
        <w:t>in order to</w:t>
      </w:r>
      <w:proofErr w:type="gramEnd"/>
      <w:r>
        <w:t xml:space="preserve"> demonstrate that it has good leadership qualities. </w:t>
      </w:r>
      <w:proofErr w:type="gramStart"/>
      <w:r>
        <w:t>Last but not least</w:t>
      </w:r>
      <w:proofErr w:type="gramEnd"/>
      <w:r>
        <w:t xml:space="preserve">, you need to have the capacity to influence and persuade other people. HR professionals can boost their position by improving their ability to persuade others through their work. To complete this work successfully, you will need to have excellent negotiating abilities as well as knowledge of the subject area. </w:t>
      </w:r>
    </w:p>
    <w:p w14:paraId="1A53964A" w14:textId="77777777" w:rsidR="00260D4C" w:rsidRDefault="00260D4C" w:rsidP="004D31EA">
      <w:pPr>
        <w:pStyle w:val="Heading1"/>
      </w:pPr>
      <w:bookmarkStart w:id="1" w:name="_Toc124184411"/>
      <w:r>
        <w:t>Task 2</w:t>
      </w:r>
      <w:bookmarkEnd w:id="1"/>
      <w:r>
        <w:t xml:space="preserve"> </w:t>
      </w:r>
    </w:p>
    <w:p w14:paraId="13B94EE1" w14:textId="5D9DC542" w:rsidR="00260D4C" w:rsidRDefault="00260D4C" w:rsidP="00260D4C">
      <w:r>
        <w:t xml:space="preserve">People that have close relationships to the organisation </w:t>
      </w:r>
      <w:proofErr w:type="gramStart"/>
      <w:r>
        <w:t>are considered to be</w:t>
      </w:r>
      <w:proofErr w:type="gramEnd"/>
      <w:r>
        <w:t xml:space="preserve"> internal clients. Managers, clients, and other staff make up the department of Human Resources' internal clientele. Customers have the right to expect that HR will see to it that they are treated with courtesy and that they have access to a labour force that is well-informed, productive, and dependable. The Human Resources department provides managers with the resources and tools they need to maximise productivity in the workplace. It is the responsibility of managers to evaluate salaries and to complete employee engagement surveys, both of which the managers could find tedious. The HR department guides workers in the direction of their </w:t>
      </w:r>
      <w:proofErr w:type="gramStart"/>
      <w:r>
        <w:t>ultimate goal</w:t>
      </w:r>
      <w:proofErr w:type="gramEnd"/>
      <w:r>
        <w:t xml:space="preserve"> by providing guidance along the way. For instance, if a worker has their sights set on becoming the chief financial officer (CFO) of the company, HR will direct them toward that direction </w:t>
      </w:r>
      <w:r w:rsidR="00E83F61" w:rsidRPr="00E83F61">
        <w:t>(TAYLOR, 2022)</w:t>
      </w:r>
      <w:r w:rsidR="00E83F61">
        <w:t xml:space="preserve">. </w:t>
      </w:r>
      <w:r>
        <w:t xml:space="preserve">In addition, HR </w:t>
      </w:r>
      <w:proofErr w:type="gramStart"/>
      <w:r>
        <w:t>provides assistance to</w:t>
      </w:r>
      <w:proofErr w:type="gramEnd"/>
      <w:r>
        <w:t xml:space="preserve"> employees who are dealing with personal concerns and guides them to the EAP that will best meet their needs. </w:t>
      </w:r>
    </w:p>
    <w:p w14:paraId="4713D7D8" w14:textId="02FD1140" w:rsidR="00260D4C" w:rsidRDefault="00260D4C" w:rsidP="00260D4C">
      <w:r>
        <w:t xml:space="preserve">Experts in human resources are tasked with resolving difficulties that develop both before and after routine conflicts in the workplace. The first step is for the department </w:t>
      </w:r>
      <w:r>
        <w:lastRenderedPageBreak/>
        <w:t xml:space="preserve">of human resources to identify areas within the organisation in which employees are not on the same page. This could be the result of a recent change in the organization's structure, the budget, or another issue. It is imperative that the HR department lay down some ground rules that require respect among all employees </w:t>
      </w:r>
      <w:proofErr w:type="gramStart"/>
      <w:r>
        <w:t>in order to</w:t>
      </w:r>
      <w:proofErr w:type="gramEnd"/>
      <w:r>
        <w:t xml:space="preserve"> facilitate effective communication. It is important to provide employees with the option to submit ideas for problem-solving brainstorming sessions </w:t>
      </w:r>
      <w:r w:rsidR="00E83F61" w:rsidRPr="00E83F61">
        <w:t>(Prelims, 2021)</w:t>
      </w:r>
      <w:r w:rsidR="00E83F61">
        <w:t xml:space="preserve">. </w:t>
      </w:r>
      <w:r>
        <w:t xml:space="preserve">In the end, it is the responsibility of the HR department to devise a viable solution that can be implemented and is acceptable to all parties concerned. After that, the conclusion of the conference should leave </w:t>
      </w:r>
      <w:proofErr w:type="gramStart"/>
      <w:r>
        <w:t>all of</w:t>
      </w:r>
      <w:proofErr w:type="gramEnd"/>
      <w:r>
        <w:t xml:space="preserve"> the participants feeling satisfied and at ease. In order to reduce the likelihood of HR making the same mistakes over and over again, diversified teams should be </w:t>
      </w:r>
      <w:proofErr w:type="gramStart"/>
      <w:r>
        <w:t>built</w:t>
      </w:r>
      <w:proofErr w:type="gramEnd"/>
      <w:r>
        <w:t xml:space="preserve"> and a culture of trust should be fostered in the workplace. </w:t>
      </w:r>
    </w:p>
    <w:p w14:paraId="11CB4544" w14:textId="77FA22B6" w:rsidR="00260D4C" w:rsidRDefault="00260D4C" w:rsidP="00260D4C">
      <w:r>
        <w:t xml:space="preserve">Internal customer communication that is both effective and efficient takes effort and must come from the heart, just like </w:t>
      </w:r>
      <w:proofErr w:type="gramStart"/>
      <w:r>
        <w:t>the majority of</w:t>
      </w:r>
      <w:proofErr w:type="gramEnd"/>
      <w:r>
        <w:t xml:space="preserve"> businesses do </w:t>
      </w:r>
      <w:r w:rsidR="00E83F61" w:rsidRPr="00E83F61">
        <w:t>(Prelims, 2021)</w:t>
      </w:r>
      <w:r w:rsidR="00E83F61">
        <w:t xml:space="preserve">. It </w:t>
      </w:r>
      <w:r>
        <w:t xml:space="preserve">can take place in three different ways: verbally, nonverbally, and in writing. Letters and symbols are utilised to convey a specific meaning to the recipient of spoken communication, which is normally accomplished </w:t>
      </w:r>
      <w:proofErr w:type="gramStart"/>
      <w:r>
        <w:t>through the use of</w:t>
      </w:r>
      <w:proofErr w:type="gramEnd"/>
      <w:r>
        <w:t xml:space="preserve"> voice. The fact that it is both permanent and simple to understand is the key advantage. In addition to this, it provides fast feedback, which makes it possible for HR to address any problems or worries right away. One of the most challenging aspects of verbal communication is overcoming cultural differences between human resources and internal customers. Nevertheless, lengthy texts are cumbersome, and if HR and consumers engage in a protracted dialogue, there is a possibility that misunderstandings will occur. </w:t>
      </w:r>
    </w:p>
    <w:p w14:paraId="5F4C4598" w14:textId="745A8C35" w:rsidR="00260D4C" w:rsidRDefault="00260D4C" w:rsidP="00260D4C">
      <w:r>
        <w:t xml:space="preserve">The only type of communication that can be stored and retrieved later is written communication. It is imperative that documents be preserved given the possibility that HR staff and other corporate people would need to </w:t>
      </w:r>
      <w:proofErr w:type="gramStart"/>
      <w:r>
        <w:t>make reference</w:t>
      </w:r>
      <w:proofErr w:type="gramEnd"/>
      <w:r>
        <w:t xml:space="preserve"> to data that was acquired in the past</w:t>
      </w:r>
      <w:r w:rsidR="00E83F61" w:rsidRPr="00E83F61">
        <w:t xml:space="preserve"> (</w:t>
      </w:r>
      <w:proofErr w:type="spellStart"/>
      <w:r w:rsidR="00E83F61" w:rsidRPr="00E83F61">
        <w:t>Hamouche</w:t>
      </w:r>
      <w:proofErr w:type="spellEnd"/>
      <w:r w:rsidR="00E83F61" w:rsidRPr="00E83F61">
        <w:t>, 2021)</w:t>
      </w:r>
      <w:r>
        <w:t xml:space="preserve">. Written documentation allows Human Resources to explain conversations in a more truthful and open manner, and the paper itself acts as a permanent record of the dialogue. On the other hand, it is not adaptable </w:t>
      </w:r>
      <w:proofErr w:type="gramStart"/>
      <w:r>
        <w:t>due to the fact that</w:t>
      </w:r>
      <w:proofErr w:type="gramEnd"/>
      <w:r>
        <w:t xml:space="preserve"> it is difficult to make quick alterations to the document. In addition, it is possible that the other person will take some time to answer. </w:t>
      </w:r>
      <w:proofErr w:type="gramStart"/>
      <w:r>
        <w:t>Last but not least</w:t>
      </w:r>
      <w:proofErr w:type="gramEnd"/>
      <w:r>
        <w:t>, it is time-consuming for the author as well as the reader, and it can be costly if a large number of people take part in it</w:t>
      </w:r>
      <w:r w:rsidR="004D31EA" w:rsidRPr="004D31EA">
        <w:t xml:space="preserve"> (Carnevale and </w:t>
      </w:r>
      <w:proofErr w:type="spellStart"/>
      <w:r w:rsidR="004D31EA" w:rsidRPr="004D31EA">
        <w:t>Hatak</w:t>
      </w:r>
      <w:proofErr w:type="spellEnd"/>
      <w:r w:rsidR="004D31EA" w:rsidRPr="004D31EA">
        <w:t>, 2020)</w:t>
      </w:r>
      <w:r>
        <w:t xml:space="preserve">. Body language, gestures, eye contact, the tone of one's voice, and the emotions that are expressed on one's face are all examples of nonverbal communication. It's possible that this will </w:t>
      </w:r>
      <w:proofErr w:type="gramStart"/>
      <w:r>
        <w:t>have an effect on</w:t>
      </w:r>
      <w:proofErr w:type="gramEnd"/>
      <w:r>
        <w:t xml:space="preserve"> the messaging, interpersonal interactions, and cultural conversations that take place between HR and internal customers. In comparison to written communication, it allows for interaction between the persons interested in the position and HR. This is a significant improvement. </w:t>
      </w:r>
    </w:p>
    <w:p w14:paraId="5F33C6F5" w14:textId="3DCA3D96" w:rsidR="00260D4C" w:rsidRDefault="00260D4C" w:rsidP="00260D4C">
      <w:r>
        <w:t xml:space="preserve">The needs of different customers may occasionally appear to be in competition with one another, which may cause other employees to have unease regarding the </w:t>
      </w:r>
      <w:r>
        <w:lastRenderedPageBreak/>
        <w:t xml:space="preserve">structural change. Establish a priority list based on the requests that are the most important and </w:t>
      </w:r>
      <w:proofErr w:type="gramStart"/>
      <w:r>
        <w:t>urgent, and</w:t>
      </w:r>
      <w:proofErr w:type="gramEnd"/>
      <w:r>
        <w:t xml:space="preserve"> calculate how quickly any potential problems with the organisation can be fixed. HR maintains everyone's awareness of the progress being made by the organisation by acting as a conduit for communication between managers and staff members </w:t>
      </w:r>
      <w:r w:rsidR="00E83F61" w:rsidRPr="00E83F61">
        <w:t>(</w:t>
      </w:r>
      <w:proofErr w:type="spellStart"/>
      <w:r w:rsidR="00E83F61" w:rsidRPr="00E83F61">
        <w:t>Hamouche</w:t>
      </w:r>
      <w:proofErr w:type="spellEnd"/>
      <w:r w:rsidR="00E83F61" w:rsidRPr="00E83F61">
        <w:t>, 2021)</w:t>
      </w:r>
      <w:r w:rsidR="00E83F61">
        <w:t xml:space="preserve">. </w:t>
      </w:r>
      <w:r>
        <w:t xml:space="preserve">When it is not possible to live up to the standards set by the customers, HR is responsible for ensuring that the reasons why a resolution could not be attained are effectively communicated to the appropriate parties. In addition to this, HR makes sure that </w:t>
      </w:r>
      <w:proofErr w:type="gramStart"/>
      <w:r>
        <w:t>all of</w:t>
      </w:r>
      <w:proofErr w:type="gramEnd"/>
      <w:r>
        <w:t xml:space="preserve"> the employees are happy and healthy by making sure that their performance goals are met. Customers have the right to expect that HR will see to it that they are treated with courtesy and that they have access to a labour force that is well-informed, productive, and dependable</w:t>
      </w:r>
      <w:r w:rsidR="00E83F61" w:rsidRPr="00E83F61">
        <w:t xml:space="preserve"> (Wayne and </w:t>
      </w:r>
      <w:proofErr w:type="spellStart"/>
      <w:r w:rsidR="00E83F61" w:rsidRPr="00E83F61">
        <w:t>Martocchio</w:t>
      </w:r>
      <w:proofErr w:type="spellEnd"/>
      <w:r w:rsidR="00E83F61" w:rsidRPr="00E83F61">
        <w:t>, 2019)</w:t>
      </w:r>
      <w:r>
        <w:t xml:space="preserve">. </w:t>
      </w:r>
    </w:p>
    <w:p w14:paraId="08335A45" w14:textId="0510456B" w:rsidR="00FE6EE1" w:rsidRDefault="00260D4C" w:rsidP="00260D4C">
      <w:r>
        <w:t xml:space="preserve">As a direct result of this, he or she obtains it from the customer. In addition, the department of human resources provides the management with the knowledge and tools that are necessary to improve employee performance. </w:t>
      </w:r>
      <w:proofErr w:type="gramStart"/>
      <w:r>
        <w:t>Each and every</w:t>
      </w:r>
      <w:proofErr w:type="gramEnd"/>
      <w:r>
        <w:t xml:space="preserve"> one of the organization's internal and external stakeholders is extremely important. </w:t>
      </w:r>
      <w:proofErr w:type="gramStart"/>
      <w:r>
        <w:t>In order to</w:t>
      </w:r>
      <w:proofErr w:type="gramEnd"/>
      <w:r>
        <w:t xml:space="preserve"> ensure that all of their needs are met within the allotted time frame, HR compiles a case file. In addition, HR ensures that plans are reviewed before being sent to organisations, that they are routinely updated to monitor progress, and that any changes in the environment are </w:t>
      </w:r>
      <w:proofErr w:type="gramStart"/>
      <w:r>
        <w:t>taken into account</w:t>
      </w:r>
      <w:proofErr w:type="gramEnd"/>
      <w:r>
        <w:t>. Additionally, HR is responsible for ensuring that plans and solutions are developed and presented with a knowledge of both the internal and external settings of the firm.</w:t>
      </w:r>
    </w:p>
    <w:p w14:paraId="5C43C6AD" w14:textId="48D40E6C" w:rsidR="00260D4C" w:rsidRDefault="00260D4C" w:rsidP="00260D4C"/>
    <w:p w14:paraId="0A3A340F" w14:textId="75EBC95C" w:rsidR="004D31EA" w:rsidRDefault="004D31EA" w:rsidP="00260D4C"/>
    <w:p w14:paraId="7198CB2D" w14:textId="0DB767D3" w:rsidR="004D31EA" w:rsidRDefault="004D31EA" w:rsidP="00260D4C"/>
    <w:p w14:paraId="5016C179" w14:textId="1409252A" w:rsidR="004D31EA" w:rsidRDefault="004D31EA" w:rsidP="00260D4C"/>
    <w:p w14:paraId="3DE36671" w14:textId="57DDE101" w:rsidR="004D31EA" w:rsidRDefault="004D31EA" w:rsidP="00260D4C"/>
    <w:p w14:paraId="760DC90A" w14:textId="09E67122" w:rsidR="004D31EA" w:rsidRDefault="004D31EA" w:rsidP="00260D4C"/>
    <w:p w14:paraId="688ED96D" w14:textId="4B380DA7" w:rsidR="004D31EA" w:rsidRDefault="004D31EA" w:rsidP="00260D4C"/>
    <w:p w14:paraId="40709E74" w14:textId="3B7B995D" w:rsidR="004D31EA" w:rsidRDefault="004D31EA" w:rsidP="00260D4C"/>
    <w:p w14:paraId="0FB75ABB" w14:textId="08207887" w:rsidR="004D31EA" w:rsidRDefault="004D31EA" w:rsidP="00260D4C"/>
    <w:p w14:paraId="60BC762F" w14:textId="390ECA2F" w:rsidR="004D31EA" w:rsidRDefault="004D31EA" w:rsidP="00260D4C"/>
    <w:p w14:paraId="076F3024" w14:textId="4F9677FE" w:rsidR="004D31EA" w:rsidRDefault="004D31EA" w:rsidP="00260D4C"/>
    <w:p w14:paraId="5A863DD6" w14:textId="6AFF3087" w:rsidR="004D31EA" w:rsidRDefault="004D31EA" w:rsidP="00260D4C"/>
    <w:p w14:paraId="5AF59990" w14:textId="77777777" w:rsidR="004D31EA" w:rsidRDefault="004D31EA" w:rsidP="00260D4C"/>
    <w:p w14:paraId="7197AC7B" w14:textId="50FF98A3" w:rsidR="00260D4C" w:rsidRDefault="00260D4C" w:rsidP="004D31EA">
      <w:pPr>
        <w:pStyle w:val="Heading1"/>
      </w:pPr>
      <w:bookmarkStart w:id="2" w:name="_Toc124184412"/>
      <w:r>
        <w:lastRenderedPageBreak/>
        <w:t>References</w:t>
      </w:r>
      <w:bookmarkEnd w:id="2"/>
    </w:p>
    <w:p w14:paraId="788F8E56" w14:textId="22746725" w:rsidR="00260D4C" w:rsidRDefault="00E83F61" w:rsidP="00260D4C">
      <w:r w:rsidRPr="00E83F61">
        <w:t xml:space="preserve">Black, K. and Warhurst, R. (2022). </w:t>
      </w:r>
      <w:r w:rsidRPr="00E83F61">
        <w:rPr>
          <w:i/>
          <w:iCs/>
        </w:rPr>
        <w:t>Organisation studies and human resource management: an educator’s handbook</w:t>
      </w:r>
      <w:r w:rsidRPr="00E83F61">
        <w:t xml:space="preserve">. Abingdon, </w:t>
      </w:r>
      <w:proofErr w:type="gramStart"/>
      <w:r w:rsidRPr="00E83F61">
        <w:t>Oxon ;</w:t>
      </w:r>
      <w:proofErr w:type="gramEnd"/>
      <w:r w:rsidRPr="00E83F61">
        <w:t xml:space="preserve"> New York, Ny: Routledge, Taylor &amp; Francis Group.</w:t>
      </w:r>
    </w:p>
    <w:p w14:paraId="66A5AF29" w14:textId="2D548B03" w:rsidR="00E83F61" w:rsidRDefault="00E83F61" w:rsidP="00260D4C">
      <w:proofErr w:type="spellStart"/>
      <w:r w:rsidRPr="00E83F61">
        <w:t>Elrayah</w:t>
      </w:r>
      <w:proofErr w:type="spellEnd"/>
      <w:r w:rsidRPr="00E83F61">
        <w:t xml:space="preserve">, M. (2021). Can business ethics-based education improve HR graduates’ employability, knowledge, skills, and competence? </w:t>
      </w:r>
      <w:r w:rsidRPr="00E83F61">
        <w:rPr>
          <w:i/>
          <w:iCs/>
        </w:rPr>
        <w:t>Journal of Education for Business</w:t>
      </w:r>
      <w:r w:rsidRPr="00E83F61">
        <w:t xml:space="preserve">, pp.1–12. </w:t>
      </w:r>
    </w:p>
    <w:p w14:paraId="1F65BA8C" w14:textId="206F8A85" w:rsidR="00E83F61" w:rsidRDefault="00E83F61" w:rsidP="00260D4C">
      <w:r w:rsidRPr="00E83F61">
        <w:t xml:space="preserve">Armstrong, M. (2020). </w:t>
      </w:r>
      <w:r w:rsidRPr="00E83F61">
        <w:rPr>
          <w:i/>
          <w:iCs/>
        </w:rPr>
        <w:t xml:space="preserve">Armstrong’s Handbook </w:t>
      </w:r>
      <w:proofErr w:type="gramStart"/>
      <w:r w:rsidRPr="00E83F61">
        <w:rPr>
          <w:i/>
          <w:iCs/>
        </w:rPr>
        <w:t>Of</w:t>
      </w:r>
      <w:proofErr w:type="gramEnd"/>
      <w:r w:rsidRPr="00E83F61">
        <w:rPr>
          <w:i/>
          <w:iCs/>
        </w:rPr>
        <w:t xml:space="preserve"> Human Resource Management Practice</w:t>
      </w:r>
      <w:r w:rsidRPr="00E83F61">
        <w:t>. 15th ed. S.L.: Kogan Page.</w:t>
      </w:r>
    </w:p>
    <w:p w14:paraId="7221C357" w14:textId="08A55424" w:rsidR="00E83F61" w:rsidRDefault="00E83F61" w:rsidP="00260D4C">
      <w:r w:rsidRPr="00E83F61">
        <w:t xml:space="preserve">Harrison, P., </w:t>
      </w:r>
      <w:proofErr w:type="spellStart"/>
      <w:r w:rsidRPr="00E83F61">
        <w:t>Tosey</w:t>
      </w:r>
      <w:proofErr w:type="spellEnd"/>
      <w:r w:rsidRPr="00E83F61">
        <w:t xml:space="preserve">, P., Anderson, V. and Elliott, C. (2020). HRD professional education provision in the UK: past, </w:t>
      </w:r>
      <w:proofErr w:type="gramStart"/>
      <w:r w:rsidRPr="00E83F61">
        <w:t>present</w:t>
      </w:r>
      <w:proofErr w:type="gramEnd"/>
      <w:r w:rsidRPr="00E83F61">
        <w:t xml:space="preserve"> and future. </w:t>
      </w:r>
      <w:r w:rsidRPr="00E83F61">
        <w:rPr>
          <w:i/>
          <w:iCs/>
        </w:rPr>
        <w:t>Human Resource Development International</w:t>
      </w:r>
      <w:r w:rsidRPr="00E83F61">
        <w:t xml:space="preserve">, pp.1–19. </w:t>
      </w:r>
    </w:p>
    <w:p w14:paraId="4999906A" w14:textId="521290A9" w:rsidR="00E83F61" w:rsidRDefault="00E83F61" w:rsidP="00260D4C">
      <w:r w:rsidRPr="00E83F61">
        <w:t xml:space="preserve">TAYLOR, S.W., CAROL (2022). </w:t>
      </w:r>
      <w:r w:rsidRPr="00E83F61">
        <w:rPr>
          <w:i/>
          <w:iCs/>
        </w:rPr>
        <w:t xml:space="preserve">STUDYING HUMAN RESOURCE </w:t>
      </w:r>
      <w:proofErr w:type="gramStart"/>
      <w:r w:rsidRPr="00E83F61">
        <w:rPr>
          <w:i/>
          <w:iCs/>
        </w:rPr>
        <w:t>MANAGEMENT</w:t>
      </w:r>
      <w:proofErr w:type="gramEnd"/>
      <w:r w:rsidRPr="00E83F61">
        <w:rPr>
          <w:i/>
          <w:iCs/>
        </w:rPr>
        <w:t xml:space="preserve"> a guide to the study, context and practice of hr</w:t>
      </w:r>
      <w:r w:rsidRPr="00E83F61">
        <w:t>. [</w:t>
      </w:r>
      <w:proofErr w:type="spellStart"/>
      <w:r w:rsidRPr="00E83F61">
        <w:t>S.l.</w:t>
      </w:r>
      <w:proofErr w:type="spellEnd"/>
      <w:r w:rsidRPr="00E83F61">
        <w:t>]: KOGAN PAGE.</w:t>
      </w:r>
    </w:p>
    <w:p w14:paraId="2D4476A4" w14:textId="512AB10B" w:rsidR="00E83F61" w:rsidRDefault="00E83F61" w:rsidP="00260D4C">
      <w:r w:rsidRPr="00E83F61">
        <w:t xml:space="preserve">Prelims. (2021). Financial and Managerial Aspects in Human Resource Management: </w:t>
      </w:r>
      <w:r w:rsidRPr="00E83F61">
        <w:rPr>
          <w:i/>
          <w:iCs/>
        </w:rPr>
        <w:t>A Practical Guide</w:t>
      </w:r>
      <w:r w:rsidRPr="00E83F61">
        <w:t xml:space="preserve">, </w:t>
      </w:r>
      <w:proofErr w:type="spellStart"/>
      <w:proofErr w:type="gramStart"/>
      <w:r w:rsidRPr="00E83F61">
        <w:t>pp.i</w:t>
      </w:r>
      <w:proofErr w:type="spellEnd"/>
      <w:proofErr w:type="gramEnd"/>
      <w:r w:rsidRPr="00E83F61">
        <w:t>–xxii</w:t>
      </w:r>
      <w:r>
        <w:t>.</w:t>
      </w:r>
      <w:r w:rsidRPr="00E83F61">
        <w:t xml:space="preserve"> </w:t>
      </w:r>
      <w:proofErr w:type="spellStart"/>
      <w:r w:rsidRPr="00E83F61">
        <w:t>Hamouche</w:t>
      </w:r>
      <w:proofErr w:type="spellEnd"/>
      <w:r w:rsidRPr="00E83F61">
        <w:t xml:space="preserve">, S. (2021). Human Resource Management and the COVID-19 crisis: implications, challenges, opportunities, and Future Organizational Directions. </w:t>
      </w:r>
      <w:r w:rsidRPr="00E83F61">
        <w:rPr>
          <w:i/>
          <w:iCs/>
        </w:rPr>
        <w:t>Journal of Management &amp; Organization</w:t>
      </w:r>
      <w:r w:rsidRPr="00E83F61">
        <w:t xml:space="preserve">, pp.1–16. </w:t>
      </w:r>
    </w:p>
    <w:p w14:paraId="0542F5C6" w14:textId="50C1B255" w:rsidR="00E83F61" w:rsidRDefault="00E83F61" w:rsidP="00260D4C">
      <w:r w:rsidRPr="00E83F61">
        <w:t xml:space="preserve">Wayne, </w:t>
      </w:r>
      <w:proofErr w:type="gramStart"/>
      <w:r w:rsidRPr="00E83F61">
        <w:t>R.</w:t>
      </w:r>
      <w:proofErr w:type="gramEnd"/>
      <w:r w:rsidRPr="00E83F61">
        <w:t xml:space="preserve"> and </w:t>
      </w:r>
      <w:proofErr w:type="spellStart"/>
      <w:r w:rsidRPr="00E83F61">
        <w:t>Martocchio</w:t>
      </w:r>
      <w:proofErr w:type="spellEnd"/>
      <w:r w:rsidRPr="00E83F61">
        <w:t xml:space="preserve">, J.J. (2019). </w:t>
      </w:r>
      <w:r w:rsidRPr="00E83F61">
        <w:rPr>
          <w:i/>
          <w:iCs/>
        </w:rPr>
        <w:t>Human Resource Management</w:t>
      </w:r>
      <w:r w:rsidRPr="00E83F61">
        <w:t>. 14th ed. Harlow: Pearson Education Limited.</w:t>
      </w:r>
    </w:p>
    <w:p w14:paraId="31E34211" w14:textId="3CBA0EBC" w:rsidR="004D31EA" w:rsidRDefault="004D31EA" w:rsidP="00260D4C">
      <w:r w:rsidRPr="004D31EA">
        <w:t xml:space="preserve">Carnevale, J.B. and </w:t>
      </w:r>
      <w:proofErr w:type="spellStart"/>
      <w:r w:rsidRPr="004D31EA">
        <w:t>Hatak</w:t>
      </w:r>
      <w:proofErr w:type="spellEnd"/>
      <w:r w:rsidRPr="004D31EA">
        <w:t xml:space="preserve">, I. (2020). Employee Adjustment and well-being in the Era of COVID-19: Implications for Human Resource Management. </w:t>
      </w:r>
      <w:r w:rsidRPr="004D31EA">
        <w:rPr>
          <w:i/>
          <w:iCs/>
        </w:rPr>
        <w:t>Journal of Business Research</w:t>
      </w:r>
      <w:r w:rsidRPr="004D31EA">
        <w:t>, 116(</w:t>
      </w:r>
      <w:r w:rsidRPr="004D31EA">
        <w:rPr>
          <w:b/>
          <w:bCs/>
        </w:rPr>
        <w:t>116</w:t>
      </w:r>
      <w:r w:rsidRPr="004D31EA">
        <w:t xml:space="preserve">), pp.183–187. </w:t>
      </w:r>
    </w:p>
    <w:sectPr w:rsidR="004D31EA" w:rsidSect="004D31EA">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2A3BD" w14:textId="77777777" w:rsidR="008B5072" w:rsidRDefault="008B5072" w:rsidP="00260D4C">
      <w:pPr>
        <w:spacing w:after="0" w:line="240" w:lineRule="auto"/>
      </w:pPr>
      <w:r>
        <w:separator/>
      </w:r>
    </w:p>
  </w:endnote>
  <w:endnote w:type="continuationSeparator" w:id="0">
    <w:p w14:paraId="513B4F57" w14:textId="77777777" w:rsidR="008B5072" w:rsidRDefault="008B5072" w:rsidP="00260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1689938"/>
      <w:docPartObj>
        <w:docPartGallery w:val="Page Numbers (Bottom of Page)"/>
        <w:docPartUnique/>
      </w:docPartObj>
    </w:sdtPr>
    <w:sdtContent>
      <w:p w14:paraId="16C2CFDC" w14:textId="692C8F10" w:rsidR="00260D4C" w:rsidRDefault="00260D4C" w:rsidP="006C2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CEE20D" w14:textId="77777777" w:rsidR="00260D4C" w:rsidRDefault="00260D4C" w:rsidP="00260D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9693178"/>
      <w:docPartObj>
        <w:docPartGallery w:val="Page Numbers (Bottom of Page)"/>
        <w:docPartUnique/>
      </w:docPartObj>
    </w:sdtPr>
    <w:sdtContent>
      <w:p w14:paraId="5D85DB84" w14:textId="15F9BCC0" w:rsidR="00260D4C" w:rsidRDefault="00260D4C" w:rsidP="006C2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711D83" w14:textId="77777777" w:rsidR="00260D4C" w:rsidRDefault="00260D4C" w:rsidP="00260D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D7D4B" w14:textId="77777777" w:rsidR="008B5072" w:rsidRDefault="008B5072" w:rsidP="00260D4C">
      <w:pPr>
        <w:spacing w:after="0" w:line="240" w:lineRule="auto"/>
      </w:pPr>
      <w:r>
        <w:separator/>
      </w:r>
    </w:p>
  </w:footnote>
  <w:footnote w:type="continuationSeparator" w:id="0">
    <w:p w14:paraId="7263F3F7" w14:textId="77777777" w:rsidR="008B5072" w:rsidRDefault="008B5072" w:rsidP="00260D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D4C"/>
    <w:rsid w:val="000726CD"/>
    <w:rsid w:val="00260D4C"/>
    <w:rsid w:val="004D31EA"/>
    <w:rsid w:val="005433BA"/>
    <w:rsid w:val="007A3D60"/>
    <w:rsid w:val="007E2727"/>
    <w:rsid w:val="008B5072"/>
    <w:rsid w:val="00E83F61"/>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BCC58"/>
  <w15:chartTrackingRefBased/>
  <w15:docId w15:val="{63C64F54-A079-FD43-AF25-D23F9AAE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D31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60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D4C"/>
    <w:rPr>
      <w:rFonts w:ascii="Arial" w:hAnsi="Arial"/>
      <w:szCs w:val="22"/>
    </w:rPr>
  </w:style>
  <w:style w:type="character" w:styleId="PageNumber">
    <w:name w:val="page number"/>
    <w:basedOn w:val="DefaultParagraphFont"/>
    <w:uiPriority w:val="99"/>
    <w:semiHidden/>
    <w:unhideWhenUsed/>
    <w:rsid w:val="00260D4C"/>
  </w:style>
  <w:style w:type="character" w:customStyle="1" w:styleId="Heading1Char">
    <w:name w:val="Heading 1 Char"/>
    <w:basedOn w:val="DefaultParagraphFont"/>
    <w:link w:val="Heading1"/>
    <w:uiPriority w:val="9"/>
    <w:rsid w:val="004D31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31EA"/>
    <w:pPr>
      <w:spacing w:before="480"/>
      <w:outlineLvl w:val="9"/>
    </w:pPr>
    <w:rPr>
      <w:b/>
      <w:bCs/>
      <w:sz w:val="28"/>
      <w:szCs w:val="28"/>
      <w:lang w:val="en-US"/>
    </w:rPr>
  </w:style>
  <w:style w:type="paragraph" w:styleId="TOC1">
    <w:name w:val="toc 1"/>
    <w:basedOn w:val="Normal"/>
    <w:next w:val="Normal"/>
    <w:autoRedefine/>
    <w:uiPriority w:val="39"/>
    <w:unhideWhenUsed/>
    <w:rsid w:val="004D31EA"/>
    <w:pPr>
      <w:spacing w:before="240" w:after="120"/>
    </w:pPr>
    <w:rPr>
      <w:rFonts w:asciiTheme="minorHAnsi" w:hAnsiTheme="minorHAnsi" w:cstheme="minorHAnsi"/>
      <w:b/>
      <w:bCs/>
      <w:sz w:val="20"/>
      <w:szCs w:val="20"/>
    </w:rPr>
  </w:style>
  <w:style w:type="character" w:styleId="Hyperlink">
    <w:name w:val="Hyperlink"/>
    <w:basedOn w:val="DefaultParagraphFont"/>
    <w:uiPriority w:val="99"/>
    <w:unhideWhenUsed/>
    <w:rsid w:val="004D31EA"/>
    <w:rPr>
      <w:color w:val="0563C1" w:themeColor="hyperlink"/>
      <w:u w:val="single"/>
    </w:rPr>
  </w:style>
  <w:style w:type="paragraph" w:styleId="TOC2">
    <w:name w:val="toc 2"/>
    <w:basedOn w:val="Normal"/>
    <w:next w:val="Normal"/>
    <w:autoRedefine/>
    <w:uiPriority w:val="39"/>
    <w:semiHidden/>
    <w:unhideWhenUsed/>
    <w:rsid w:val="004D31EA"/>
    <w:pPr>
      <w:spacing w:before="120" w:after="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4D31E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31E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31E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31E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31E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31E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31EA"/>
    <w:pPr>
      <w:spacing w:after="0"/>
      <w:ind w:left="1920"/>
    </w:pPr>
    <w:rPr>
      <w:rFonts w:asciiTheme="minorHAnsi" w:hAnsiTheme="minorHAnsi" w:cstheme="minorHAnsi"/>
      <w:sz w:val="20"/>
      <w:szCs w:val="20"/>
    </w:rPr>
  </w:style>
  <w:style w:type="paragraph" w:styleId="NoSpacing">
    <w:name w:val="No Spacing"/>
    <w:link w:val="NoSpacingChar"/>
    <w:uiPriority w:val="1"/>
    <w:qFormat/>
    <w:rsid w:val="004D31EA"/>
    <w:rPr>
      <w:rFonts w:eastAsiaTheme="minorEastAsia"/>
      <w:sz w:val="22"/>
      <w:szCs w:val="22"/>
      <w:lang w:val="en-US" w:eastAsia="zh-CN"/>
    </w:rPr>
  </w:style>
  <w:style w:type="character" w:customStyle="1" w:styleId="NoSpacingChar">
    <w:name w:val="No Spacing Char"/>
    <w:basedOn w:val="DefaultParagraphFont"/>
    <w:link w:val="NoSpacing"/>
    <w:uiPriority w:val="1"/>
    <w:rsid w:val="004D31E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AC10F-AEF2-3D4B-A586-E68829117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2050</Words>
  <Characters>11157</Characters>
  <Application>Microsoft Office Word</Application>
  <DocSecurity>0</DocSecurity>
  <Lines>192</Lines>
  <Paragraphs>42</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LCBB5004 Managing People A2</dc:title>
  <dc:subject>Module Leader: Ze Zook-GP1 Nishi Ramsurrun-GP2</dc:subject>
  <dc:creator>Student Name: Nikolinka Nedelcheva</dc:creator>
  <cp:keywords/>
  <dc:description/>
  <cp:lastModifiedBy>Anna Kuseva</cp:lastModifiedBy>
  <cp:revision>2</cp:revision>
  <dcterms:created xsi:type="dcterms:W3CDTF">2023-01-09T16:58:00Z</dcterms:created>
  <dcterms:modified xsi:type="dcterms:W3CDTF">2023-01-09T17:24:00Z</dcterms:modified>
</cp:coreProperties>
</file>