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91585633"/>
        <w:docPartObj>
          <w:docPartGallery w:val="Cover Pages"/>
          <w:docPartUnique/>
        </w:docPartObj>
      </w:sdtPr>
      <w:sdtContent>
        <w:p w14:paraId="29664D3A" w14:textId="254E0D04" w:rsidR="002368A1" w:rsidRDefault="002368A1">
          <w:r>
            <w:rPr>
              <w:noProof/>
            </w:rPr>
            <mc:AlternateContent>
              <mc:Choice Requires="wpg">
                <w:drawing>
                  <wp:anchor distT="0" distB="0" distL="114300" distR="114300" simplePos="0" relativeHeight="251659264" behindDoc="1" locked="0" layoutInCell="1" allowOverlap="1" wp14:anchorId="54AD8196" wp14:editId="1F513754">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ADBC7FA" w14:textId="418B3F97" w:rsidR="002368A1" w:rsidRDefault="002368A1">
                                      <w:pPr>
                                        <w:pStyle w:val="NoSpacing"/>
                                        <w:spacing w:before="120"/>
                                        <w:jc w:val="center"/>
                                        <w:rPr>
                                          <w:color w:val="FFFFFF" w:themeColor="background1"/>
                                        </w:rPr>
                                      </w:pPr>
                                      <w:r>
                                        <w:rPr>
                                          <w:color w:val="FFFFFF" w:themeColor="background1"/>
                                        </w:rPr>
                                        <w:t>Ffion Jones</w:t>
                                      </w:r>
                                    </w:p>
                                  </w:sdtContent>
                                </w:sdt>
                                <w:p w14:paraId="2C9367CF" w14:textId="66BB6F9B" w:rsidR="002368A1"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7751E8">
                                        <w:rPr>
                                          <w:caps/>
                                          <w:color w:val="FFFFFF" w:themeColor="background1"/>
                                        </w:rPr>
                                        <w:t xml:space="preserve">     </w:t>
                                      </w:r>
                                    </w:sdtContent>
                                  </w:sdt>
                                  <w:r w:rsidR="002368A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7751E8">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E024D90" w14:textId="7421ED3F" w:rsidR="002368A1" w:rsidRDefault="007751E8">
                                      <w:pPr>
                                        <w:pStyle w:val="NoSpacing"/>
                                        <w:jc w:val="center"/>
                                        <w:rPr>
                                          <w:rFonts w:asciiTheme="majorHAnsi" w:eastAsiaTheme="majorEastAsia" w:hAnsiTheme="majorHAnsi" w:cstheme="majorBidi"/>
                                          <w:caps/>
                                          <w:color w:val="156082" w:themeColor="accent1"/>
                                          <w:sz w:val="72"/>
                                          <w:szCs w:val="72"/>
                                        </w:rPr>
                                      </w:pPr>
                                      <w:r w:rsidRPr="007751E8">
                                        <w:rPr>
                                          <w:rFonts w:asciiTheme="majorHAnsi" w:eastAsiaTheme="majorEastAsia" w:hAnsiTheme="majorHAnsi" w:cstheme="majorBidi"/>
                                          <w:caps/>
                                          <w:color w:val="156082" w:themeColor="accent1"/>
                                          <w:sz w:val="72"/>
                                          <w:szCs w:val="72"/>
                                        </w:rPr>
                                        <w:t>Policing the public: community consent v. government control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4AD8196"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ADBC7FA" w14:textId="418B3F97" w:rsidR="002368A1" w:rsidRDefault="002368A1">
                                <w:pPr>
                                  <w:pStyle w:val="NoSpacing"/>
                                  <w:spacing w:before="120"/>
                                  <w:jc w:val="center"/>
                                  <w:rPr>
                                    <w:color w:val="FFFFFF" w:themeColor="background1"/>
                                  </w:rPr>
                                </w:pPr>
                                <w:r>
                                  <w:rPr>
                                    <w:color w:val="FFFFFF" w:themeColor="background1"/>
                                  </w:rPr>
                                  <w:t>Ffion Jones</w:t>
                                </w:r>
                              </w:p>
                            </w:sdtContent>
                          </w:sdt>
                          <w:p w14:paraId="2C9367CF" w14:textId="66BB6F9B" w:rsidR="002368A1" w:rsidRDefault="002368A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7751E8">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7751E8">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E024D90" w14:textId="7421ED3F" w:rsidR="002368A1" w:rsidRDefault="007751E8">
                                <w:pPr>
                                  <w:pStyle w:val="NoSpacing"/>
                                  <w:jc w:val="center"/>
                                  <w:rPr>
                                    <w:rFonts w:asciiTheme="majorHAnsi" w:eastAsiaTheme="majorEastAsia" w:hAnsiTheme="majorHAnsi" w:cstheme="majorBidi"/>
                                    <w:caps/>
                                    <w:color w:val="156082" w:themeColor="accent1"/>
                                    <w:sz w:val="72"/>
                                    <w:szCs w:val="72"/>
                                  </w:rPr>
                                </w:pPr>
                                <w:r w:rsidRPr="007751E8">
                                  <w:rPr>
                                    <w:rFonts w:asciiTheme="majorHAnsi" w:eastAsiaTheme="majorEastAsia" w:hAnsiTheme="majorHAnsi" w:cstheme="majorBidi"/>
                                    <w:caps/>
                                    <w:color w:val="156082" w:themeColor="accent1"/>
                                    <w:sz w:val="72"/>
                                    <w:szCs w:val="72"/>
                                  </w:rPr>
                                  <w:t>Policing the public: community consent v. government control</w:t>
                                </w:r>
                              </w:p>
                            </w:sdtContent>
                          </w:sdt>
                        </w:txbxContent>
                      </v:textbox>
                    </v:shape>
                    <w10:wrap anchorx="page" anchory="page"/>
                  </v:group>
                </w:pict>
              </mc:Fallback>
            </mc:AlternateContent>
          </w:r>
        </w:p>
        <w:p w14:paraId="35DD6E43" w14:textId="36387E3A" w:rsidR="002368A1" w:rsidRDefault="002368A1">
          <w:r>
            <w:br w:type="page"/>
          </w:r>
        </w:p>
      </w:sdtContent>
    </w:sdt>
    <w:p w14:paraId="6D99F3DA" w14:textId="18552D63" w:rsidR="00F87110" w:rsidRPr="00857D3E" w:rsidRDefault="00A53233" w:rsidP="008A3657">
      <w:pPr>
        <w:spacing w:line="360" w:lineRule="auto"/>
        <w:rPr>
          <w:sz w:val="24"/>
          <w:szCs w:val="24"/>
        </w:rPr>
      </w:pPr>
      <w:r w:rsidRPr="00857D3E">
        <w:rPr>
          <w:sz w:val="24"/>
          <w:szCs w:val="24"/>
        </w:rPr>
        <w:lastRenderedPageBreak/>
        <w:t>This essay will explore the historical progression of policing principles, Peel's foundational ideas, and the concept of social control by consent. It will further examine critical perspectives on policing as a tool of socioeconomic control, discuss the significance of police accountability, and analyse the challenges associated with fostering public trust. Through these analyses, the essay aims to assess how modern policing can balance the demands of control with the democratic imperative for public consent.</w:t>
      </w:r>
    </w:p>
    <w:p w14:paraId="7BD3EAFF" w14:textId="77777777" w:rsidR="00971644" w:rsidRPr="00857D3E" w:rsidRDefault="00971644" w:rsidP="008A3657">
      <w:pPr>
        <w:spacing w:line="360" w:lineRule="auto"/>
        <w:rPr>
          <w:sz w:val="24"/>
          <w:szCs w:val="24"/>
        </w:rPr>
      </w:pPr>
    </w:p>
    <w:p w14:paraId="40FD0912" w14:textId="76DDB499" w:rsidR="00AE0BFF" w:rsidRPr="00857D3E" w:rsidRDefault="00AE0BFF" w:rsidP="008A3657">
      <w:pPr>
        <w:spacing w:line="360" w:lineRule="auto"/>
        <w:rPr>
          <w:sz w:val="24"/>
          <w:szCs w:val="24"/>
        </w:rPr>
      </w:pPr>
      <w:r w:rsidRPr="00857D3E">
        <w:rPr>
          <w:sz w:val="24"/>
          <w:szCs w:val="24"/>
        </w:rPr>
        <w:t>Policing has long been a cornerstone of maintaining social order, evolving in response to societal needs and political contexts. Sir Robert Peel's introduction of the Metropolitan Police Act in 1829 marked a pivotal shift toward modern professional policing, rooted in the principles of public cooperation and collective responsibility for crime control. Bullock</w:t>
      </w:r>
      <w:r w:rsidR="00057FDC" w:rsidRPr="00857D3E">
        <w:rPr>
          <w:sz w:val="24"/>
          <w:szCs w:val="24"/>
        </w:rPr>
        <w:t xml:space="preserve"> (</w:t>
      </w:r>
      <w:r w:rsidR="008B3DA8" w:rsidRPr="00857D3E">
        <w:rPr>
          <w:sz w:val="24"/>
          <w:szCs w:val="24"/>
        </w:rPr>
        <w:t>2014</w:t>
      </w:r>
      <w:r w:rsidR="009B72D6" w:rsidRPr="00857D3E">
        <w:rPr>
          <w:sz w:val="24"/>
          <w:szCs w:val="24"/>
        </w:rPr>
        <w:t>),</w:t>
      </w:r>
      <w:r w:rsidRPr="00857D3E">
        <w:rPr>
          <w:sz w:val="24"/>
          <w:szCs w:val="24"/>
        </w:rPr>
        <w:t xml:space="preserve"> highlights how these Peelian principles </w:t>
      </w:r>
      <w:r w:rsidR="008A663A" w:rsidRPr="00857D3E">
        <w:rPr>
          <w:sz w:val="24"/>
          <w:szCs w:val="24"/>
        </w:rPr>
        <w:t xml:space="preserve">aimed </w:t>
      </w:r>
      <w:r w:rsidRPr="00857D3E">
        <w:rPr>
          <w:sz w:val="24"/>
          <w:szCs w:val="24"/>
        </w:rPr>
        <w:t xml:space="preserve">to </w:t>
      </w:r>
      <w:r w:rsidR="008A663A" w:rsidRPr="00857D3E">
        <w:rPr>
          <w:sz w:val="24"/>
          <w:szCs w:val="24"/>
        </w:rPr>
        <w:t>mainta</w:t>
      </w:r>
      <w:r w:rsidR="00CC31E0" w:rsidRPr="00857D3E">
        <w:rPr>
          <w:sz w:val="24"/>
          <w:szCs w:val="24"/>
        </w:rPr>
        <w:t xml:space="preserve">in </w:t>
      </w:r>
      <w:r w:rsidRPr="00857D3E">
        <w:rPr>
          <w:sz w:val="24"/>
          <w:szCs w:val="24"/>
        </w:rPr>
        <w:t>the historical tradition of citi</w:t>
      </w:r>
      <w:r w:rsidR="00DC2FC4" w:rsidRPr="00857D3E">
        <w:rPr>
          <w:sz w:val="24"/>
          <w:szCs w:val="24"/>
        </w:rPr>
        <w:t>z</w:t>
      </w:r>
      <w:r w:rsidRPr="00857D3E">
        <w:rPr>
          <w:sz w:val="24"/>
          <w:szCs w:val="24"/>
        </w:rPr>
        <w:t xml:space="preserve">en involvement in policing, </w:t>
      </w:r>
      <w:r w:rsidR="005A6A00" w:rsidRPr="00857D3E">
        <w:rPr>
          <w:sz w:val="24"/>
          <w:szCs w:val="24"/>
        </w:rPr>
        <w:t xml:space="preserve">describing </w:t>
      </w:r>
      <w:r w:rsidRPr="00857D3E">
        <w:rPr>
          <w:sz w:val="24"/>
          <w:szCs w:val="24"/>
        </w:rPr>
        <w:t xml:space="preserve">police officers </w:t>
      </w:r>
      <w:r w:rsidR="00BF2E93" w:rsidRPr="00857D3E">
        <w:rPr>
          <w:sz w:val="24"/>
          <w:szCs w:val="24"/>
        </w:rPr>
        <w:t>as “uniformed</w:t>
      </w:r>
      <w:r w:rsidRPr="00857D3E">
        <w:rPr>
          <w:sz w:val="24"/>
          <w:szCs w:val="24"/>
        </w:rPr>
        <w:t xml:space="preserve"> citi</w:t>
      </w:r>
      <w:r w:rsidR="00DC2FC4" w:rsidRPr="00857D3E">
        <w:rPr>
          <w:sz w:val="24"/>
          <w:szCs w:val="24"/>
        </w:rPr>
        <w:t>zen</w:t>
      </w:r>
      <w:r w:rsidRPr="00857D3E">
        <w:rPr>
          <w:sz w:val="24"/>
          <w:szCs w:val="24"/>
        </w:rPr>
        <w:t xml:space="preserve">" tasked with duties that any member of the public could perform. This model established a foundation for police legitimacy based on consent rather than coercion, a </w:t>
      </w:r>
      <w:r w:rsidR="009B72D6" w:rsidRPr="00857D3E">
        <w:rPr>
          <w:sz w:val="24"/>
          <w:szCs w:val="24"/>
        </w:rPr>
        <w:t>concept</w:t>
      </w:r>
      <w:r w:rsidRPr="00857D3E">
        <w:rPr>
          <w:sz w:val="24"/>
          <w:szCs w:val="24"/>
        </w:rPr>
        <w:t xml:space="preserve"> that continues to resonate in contemporary discussions of democratic policing </w:t>
      </w:r>
      <w:r w:rsidR="001C5BE4" w:rsidRPr="00857D3E">
        <w:rPr>
          <w:sz w:val="24"/>
          <w:szCs w:val="24"/>
        </w:rPr>
        <w:t>systems.</w:t>
      </w:r>
    </w:p>
    <w:p w14:paraId="7B612313" w14:textId="77777777" w:rsidR="00971644" w:rsidRPr="00857D3E" w:rsidRDefault="00971644" w:rsidP="008A3657">
      <w:pPr>
        <w:spacing w:line="360" w:lineRule="auto"/>
        <w:rPr>
          <w:sz w:val="24"/>
          <w:szCs w:val="24"/>
        </w:rPr>
      </w:pPr>
    </w:p>
    <w:p w14:paraId="60FEDA3A" w14:textId="0477481A" w:rsidR="00A7547E" w:rsidRPr="00857D3E" w:rsidRDefault="00A7547E" w:rsidP="008A3657">
      <w:pPr>
        <w:spacing w:line="360" w:lineRule="auto"/>
        <w:rPr>
          <w:sz w:val="24"/>
          <w:szCs w:val="24"/>
        </w:rPr>
      </w:pPr>
      <w:r w:rsidRPr="00857D3E">
        <w:rPr>
          <w:sz w:val="24"/>
          <w:szCs w:val="24"/>
        </w:rPr>
        <w:t xml:space="preserve">Contemporary policing faces the challenge of balancing law enforcement with maintaining public trust. </w:t>
      </w:r>
      <w:r w:rsidR="00CF7922" w:rsidRPr="00857D3E">
        <w:rPr>
          <w:sz w:val="24"/>
          <w:szCs w:val="24"/>
        </w:rPr>
        <w:t>Newburn (201</w:t>
      </w:r>
      <w:r w:rsidR="006734AE" w:rsidRPr="00857D3E">
        <w:rPr>
          <w:sz w:val="24"/>
          <w:szCs w:val="24"/>
        </w:rPr>
        <w:t>2</w:t>
      </w:r>
      <w:r w:rsidR="00CF7922" w:rsidRPr="00857D3E">
        <w:rPr>
          <w:sz w:val="24"/>
          <w:szCs w:val="24"/>
        </w:rPr>
        <w:t>)</w:t>
      </w:r>
      <w:r w:rsidRPr="00857D3E">
        <w:rPr>
          <w:sz w:val="24"/>
          <w:szCs w:val="24"/>
        </w:rPr>
        <w:t xml:space="preserve"> explains that while police were historically seen as symbols of social order and national identity, public satisfaction has significantly declined over time. This shift reflects growing concerns about whether police truly serve all members of society or primarily protect the interests of powerful economic and social groups</w:t>
      </w:r>
      <w:r w:rsidR="00CF39B7" w:rsidRPr="00857D3E">
        <w:rPr>
          <w:sz w:val="24"/>
          <w:szCs w:val="24"/>
        </w:rPr>
        <w:t>.</w:t>
      </w:r>
    </w:p>
    <w:p w14:paraId="31811A10" w14:textId="77777777" w:rsidR="00DA0696" w:rsidRPr="00857D3E" w:rsidRDefault="00DA0696" w:rsidP="008A3657">
      <w:pPr>
        <w:spacing w:line="360" w:lineRule="auto"/>
        <w:rPr>
          <w:sz w:val="24"/>
          <w:szCs w:val="24"/>
        </w:rPr>
      </w:pPr>
    </w:p>
    <w:p w14:paraId="10AB3871" w14:textId="71A3BC70" w:rsidR="00F87110" w:rsidRPr="00857D3E" w:rsidRDefault="00946248" w:rsidP="008A3657">
      <w:pPr>
        <w:spacing w:line="360" w:lineRule="auto"/>
        <w:rPr>
          <w:sz w:val="24"/>
          <w:szCs w:val="24"/>
        </w:rPr>
      </w:pPr>
      <w:r w:rsidRPr="00857D3E">
        <w:rPr>
          <w:sz w:val="24"/>
          <w:szCs w:val="24"/>
        </w:rPr>
        <w:t xml:space="preserve"> </w:t>
      </w:r>
      <w:r w:rsidR="00A7547E" w:rsidRPr="00857D3E">
        <w:rPr>
          <w:sz w:val="24"/>
          <w:szCs w:val="24"/>
        </w:rPr>
        <w:t xml:space="preserve">Newburn </w:t>
      </w:r>
      <w:r w:rsidR="00CF39B7" w:rsidRPr="00857D3E">
        <w:rPr>
          <w:sz w:val="24"/>
          <w:szCs w:val="24"/>
        </w:rPr>
        <w:t>(201</w:t>
      </w:r>
      <w:r w:rsidR="006734AE" w:rsidRPr="00857D3E">
        <w:rPr>
          <w:sz w:val="24"/>
          <w:szCs w:val="24"/>
        </w:rPr>
        <w:t>2</w:t>
      </w:r>
      <w:r w:rsidR="00CF39B7" w:rsidRPr="00857D3E">
        <w:rPr>
          <w:sz w:val="24"/>
          <w:szCs w:val="24"/>
        </w:rPr>
        <w:t xml:space="preserve">) </w:t>
      </w:r>
      <w:r w:rsidR="00A7547E" w:rsidRPr="00857D3E">
        <w:rPr>
          <w:sz w:val="24"/>
          <w:szCs w:val="24"/>
        </w:rPr>
        <w:t xml:space="preserve">also discusses how policing often aligns with political and economic systems, supporting critiques from Marxist theories. These argue that law enforcement tends to uphold the interests of dominant groups, rather than addressing broader issues </w:t>
      </w:r>
      <w:r w:rsidR="00A7547E" w:rsidRPr="00857D3E">
        <w:rPr>
          <w:sz w:val="24"/>
          <w:szCs w:val="24"/>
        </w:rPr>
        <w:lastRenderedPageBreak/>
        <w:t>of fairness and equality. This highlights the tension between policing as a public service and its role in reinforcing systemic inequalities, raising questions about accountability and justice today</w:t>
      </w:r>
      <w:r w:rsidR="008D40DB" w:rsidRPr="00857D3E">
        <w:rPr>
          <w:sz w:val="24"/>
          <w:szCs w:val="24"/>
        </w:rPr>
        <w:t>.</w:t>
      </w:r>
    </w:p>
    <w:p w14:paraId="51360AB0" w14:textId="77777777" w:rsidR="00DA0696" w:rsidRPr="00857D3E" w:rsidRDefault="00DA0696" w:rsidP="008A3657">
      <w:pPr>
        <w:spacing w:line="360" w:lineRule="auto"/>
        <w:rPr>
          <w:sz w:val="24"/>
          <w:szCs w:val="24"/>
        </w:rPr>
      </w:pPr>
    </w:p>
    <w:p w14:paraId="1A672B3A" w14:textId="1DC1AD1B" w:rsidR="001526C1" w:rsidRPr="00857D3E" w:rsidRDefault="007751E8" w:rsidP="008A3657">
      <w:pPr>
        <w:spacing w:line="360" w:lineRule="auto"/>
        <w:rPr>
          <w:sz w:val="24"/>
          <w:szCs w:val="24"/>
        </w:rPr>
      </w:pPr>
      <w:r w:rsidRPr="00857D3E">
        <w:rPr>
          <w:sz w:val="24"/>
          <w:szCs w:val="24"/>
        </w:rPr>
        <w:t xml:space="preserve"> </w:t>
      </w:r>
      <w:r w:rsidR="001526C1" w:rsidRPr="00857D3E">
        <w:rPr>
          <w:sz w:val="24"/>
          <w:szCs w:val="24"/>
        </w:rPr>
        <w:t>The founding of the Metropolitan Police Service by Sir Robert Peel in 1829 is sometimes cited as the method for contemporary police. Peel highlighted the concept of "policing by consent," in which the public's acceptance, as opposed to force, is the source of police authority</w:t>
      </w:r>
      <w:r w:rsidR="008456B0" w:rsidRPr="00857D3E">
        <w:rPr>
          <w:sz w:val="24"/>
          <w:szCs w:val="24"/>
        </w:rPr>
        <w:t xml:space="preserve">. </w:t>
      </w:r>
      <w:r w:rsidR="001526C1" w:rsidRPr="00857D3E">
        <w:rPr>
          <w:sz w:val="24"/>
          <w:szCs w:val="24"/>
        </w:rPr>
        <w:t xml:space="preserve">One of Peel's most well-known quotes is "The police are the public, and the public are the police" which reflects his </w:t>
      </w:r>
      <w:r w:rsidR="00EE5D4D" w:rsidRPr="00857D3E">
        <w:rPr>
          <w:sz w:val="24"/>
          <w:szCs w:val="24"/>
        </w:rPr>
        <w:t>principle</w:t>
      </w:r>
      <w:r w:rsidR="001526C1" w:rsidRPr="00857D3E">
        <w:rPr>
          <w:sz w:val="24"/>
          <w:szCs w:val="24"/>
        </w:rPr>
        <w:t xml:space="preserve"> that police should be an essential component of the community. In contrast to an authoritarian force, this </w:t>
      </w:r>
      <w:r w:rsidR="00967ED6" w:rsidRPr="00857D3E">
        <w:rPr>
          <w:sz w:val="24"/>
          <w:szCs w:val="24"/>
        </w:rPr>
        <w:t>viewpoint</w:t>
      </w:r>
      <w:r w:rsidR="001526C1" w:rsidRPr="00857D3E">
        <w:rPr>
          <w:sz w:val="24"/>
          <w:szCs w:val="24"/>
        </w:rPr>
        <w:t xml:space="preserve"> emphasised the value of mutual trust and the idea that police should </w:t>
      </w:r>
      <w:r w:rsidR="001C5BE4" w:rsidRPr="00857D3E">
        <w:rPr>
          <w:sz w:val="24"/>
          <w:szCs w:val="24"/>
        </w:rPr>
        <w:t>function as</w:t>
      </w:r>
      <w:r w:rsidR="001526C1" w:rsidRPr="00857D3E">
        <w:rPr>
          <w:sz w:val="24"/>
          <w:szCs w:val="24"/>
        </w:rPr>
        <w:t xml:space="preserve"> citizens in uniform</w:t>
      </w:r>
      <w:r w:rsidR="008456B0" w:rsidRPr="00857D3E">
        <w:rPr>
          <w:sz w:val="24"/>
          <w:szCs w:val="24"/>
        </w:rPr>
        <w:t xml:space="preserve"> (Joyce and Laverick, 2021).</w:t>
      </w:r>
    </w:p>
    <w:p w14:paraId="56ABE769" w14:textId="77777777" w:rsidR="00971644" w:rsidRPr="00857D3E" w:rsidRDefault="00971644" w:rsidP="008A3657">
      <w:pPr>
        <w:spacing w:line="360" w:lineRule="auto"/>
        <w:rPr>
          <w:sz w:val="24"/>
          <w:szCs w:val="24"/>
        </w:rPr>
      </w:pPr>
    </w:p>
    <w:p w14:paraId="3DDC08C3" w14:textId="403F1099" w:rsidR="00967ED6" w:rsidRPr="00857D3E" w:rsidRDefault="00967ED6" w:rsidP="008A3657">
      <w:pPr>
        <w:spacing w:line="360" w:lineRule="auto"/>
        <w:rPr>
          <w:sz w:val="24"/>
          <w:szCs w:val="24"/>
        </w:rPr>
      </w:pPr>
      <w:r w:rsidRPr="00857D3E">
        <w:rPr>
          <w:sz w:val="24"/>
          <w:szCs w:val="24"/>
        </w:rPr>
        <w:t xml:space="preserve">However, criticisms have surfaced over whether contemporary police still </w:t>
      </w:r>
      <w:r w:rsidR="004E06FA" w:rsidRPr="00857D3E">
        <w:rPr>
          <w:sz w:val="24"/>
          <w:szCs w:val="24"/>
        </w:rPr>
        <w:t>adhere</w:t>
      </w:r>
      <w:r w:rsidRPr="00857D3E">
        <w:rPr>
          <w:sz w:val="24"/>
          <w:szCs w:val="24"/>
        </w:rPr>
        <w:t xml:space="preserve"> to Peel's vision as society and law enforcement have changed. According to academics, the rise in monitoring and militarisation tactics points to a move away from "policing by consent" and towards a more control-oriented </w:t>
      </w:r>
      <w:r w:rsidR="00A5331E" w:rsidRPr="00857D3E">
        <w:rPr>
          <w:sz w:val="24"/>
          <w:szCs w:val="24"/>
        </w:rPr>
        <w:t>model</w:t>
      </w:r>
      <w:r w:rsidRPr="00857D3E">
        <w:rPr>
          <w:sz w:val="24"/>
          <w:szCs w:val="24"/>
        </w:rPr>
        <w:t xml:space="preserve"> </w:t>
      </w:r>
      <w:r w:rsidR="004F187D" w:rsidRPr="00857D3E">
        <w:rPr>
          <w:sz w:val="24"/>
          <w:szCs w:val="24"/>
        </w:rPr>
        <w:t>(Kappeler, Gaines and Schaefer, 2020)</w:t>
      </w:r>
      <w:r w:rsidRPr="00857D3E">
        <w:rPr>
          <w:sz w:val="24"/>
          <w:szCs w:val="24"/>
        </w:rPr>
        <w:t xml:space="preserve">. In response, several reform initiatives </w:t>
      </w:r>
      <w:r w:rsidR="001023F6" w:rsidRPr="00857D3E">
        <w:rPr>
          <w:sz w:val="24"/>
          <w:szCs w:val="24"/>
        </w:rPr>
        <w:t xml:space="preserve">and </w:t>
      </w:r>
      <w:r w:rsidR="00664651" w:rsidRPr="00857D3E">
        <w:rPr>
          <w:sz w:val="24"/>
          <w:szCs w:val="24"/>
        </w:rPr>
        <w:t>policies</w:t>
      </w:r>
      <w:r w:rsidR="001023F6" w:rsidRPr="00857D3E">
        <w:rPr>
          <w:sz w:val="24"/>
          <w:szCs w:val="24"/>
        </w:rPr>
        <w:t xml:space="preserve"> </w:t>
      </w:r>
      <w:r w:rsidR="002F5526" w:rsidRPr="00857D3E">
        <w:rPr>
          <w:sz w:val="24"/>
          <w:szCs w:val="24"/>
        </w:rPr>
        <w:t xml:space="preserve">such as The Code of Ethics and The National </w:t>
      </w:r>
      <w:r w:rsidR="008B4092" w:rsidRPr="00857D3E">
        <w:rPr>
          <w:sz w:val="24"/>
          <w:szCs w:val="24"/>
        </w:rPr>
        <w:t>Decision-Making</w:t>
      </w:r>
      <w:r w:rsidR="002F5526" w:rsidRPr="00857D3E">
        <w:rPr>
          <w:sz w:val="24"/>
          <w:szCs w:val="24"/>
        </w:rPr>
        <w:t xml:space="preserve"> Model </w:t>
      </w:r>
      <w:r w:rsidR="001023F6" w:rsidRPr="00857D3E">
        <w:rPr>
          <w:sz w:val="24"/>
          <w:szCs w:val="24"/>
        </w:rPr>
        <w:t xml:space="preserve">have been brought </w:t>
      </w:r>
      <w:r w:rsidR="00424713" w:rsidRPr="00857D3E">
        <w:rPr>
          <w:sz w:val="24"/>
          <w:szCs w:val="24"/>
        </w:rPr>
        <w:t>into</w:t>
      </w:r>
      <w:r w:rsidR="001023F6" w:rsidRPr="00857D3E">
        <w:rPr>
          <w:sz w:val="24"/>
          <w:szCs w:val="24"/>
        </w:rPr>
        <w:t xml:space="preserve"> modern </w:t>
      </w:r>
      <w:r w:rsidR="00664651" w:rsidRPr="00857D3E">
        <w:rPr>
          <w:sz w:val="24"/>
          <w:szCs w:val="24"/>
        </w:rPr>
        <w:t>policing</w:t>
      </w:r>
      <w:r w:rsidR="001023F6" w:rsidRPr="00857D3E">
        <w:rPr>
          <w:sz w:val="24"/>
          <w:szCs w:val="24"/>
        </w:rPr>
        <w:t xml:space="preserve"> strategies to attempt to tackle </w:t>
      </w:r>
      <w:r w:rsidR="00664651" w:rsidRPr="00857D3E">
        <w:rPr>
          <w:sz w:val="24"/>
          <w:szCs w:val="24"/>
        </w:rPr>
        <w:t xml:space="preserve">criticism </w:t>
      </w:r>
      <w:r w:rsidR="008C56BB" w:rsidRPr="00857D3E">
        <w:rPr>
          <w:sz w:val="24"/>
          <w:szCs w:val="24"/>
        </w:rPr>
        <w:t xml:space="preserve">and to realign with Peel’s principles and regain public trust, it is essential that law enforcement personnel adopt </w:t>
      </w:r>
      <w:r w:rsidR="00E637A1" w:rsidRPr="00857D3E">
        <w:rPr>
          <w:sz w:val="24"/>
          <w:szCs w:val="24"/>
        </w:rPr>
        <w:t>behaviour’s</w:t>
      </w:r>
      <w:r w:rsidR="008C56BB" w:rsidRPr="00857D3E">
        <w:rPr>
          <w:sz w:val="24"/>
          <w:szCs w:val="24"/>
        </w:rPr>
        <w:t xml:space="preserve"> that foster confidence and cooperation with the community.</w:t>
      </w:r>
      <w:r w:rsidRPr="00857D3E">
        <w:rPr>
          <w:sz w:val="24"/>
          <w:szCs w:val="24"/>
        </w:rPr>
        <w:t xml:space="preserve"> But as </w:t>
      </w:r>
      <w:r w:rsidR="00371F61" w:rsidRPr="00857D3E">
        <w:rPr>
          <w:sz w:val="24"/>
          <w:szCs w:val="24"/>
        </w:rPr>
        <w:t xml:space="preserve">Pope and Weiner </w:t>
      </w:r>
      <w:r w:rsidR="00BF2E93" w:rsidRPr="00857D3E">
        <w:rPr>
          <w:sz w:val="24"/>
          <w:szCs w:val="24"/>
        </w:rPr>
        <w:t>(</w:t>
      </w:r>
      <w:r w:rsidR="00371F61" w:rsidRPr="00857D3E">
        <w:rPr>
          <w:sz w:val="24"/>
          <w:szCs w:val="24"/>
        </w:rPr>
        <w:t xml:space="preserve">2023) </w:t>
      </w:r>
      <w:r w:rsidRPr="00857D3E">
        <w:rPr>
          <w:sz w:val="24"/>
          <w:szCs w:val="24"/>
        </w:rPr>
        <w:t>contends, actual adherence to Peel's principles has traditionally been uneven and frequently impacted by the demands made on law enforcement as well as the political environment.</w:t>
      </w:r>
    </w:p>
    <w:p w14:paraId="373BF8EF" w14:textId="77777777" w:rsidR="00DA0696" w:rsidRPr="00857D3E" w:rsidRDefault="00DA0696" w:rsidP="008A3657">
      <w:pPr>
        <w:spacing w:line="360" w:lineRule="auto"/>
        <w:rPr>
          <w:sz w:val="24"/>
          <w:szCs w:val="24"/>
        </w:rPr>
      </w:pPr>
    </w:p>
    <w:p w14:paraId="14BE52B1" w14:textId="5D90A00B" w:rsidR="00822BA4" w:rsidRPr="00857D3E" w:rsidRDefault="00822BA4" w:rsidP="008A3657">
      <w:pPr>
        <w:spacing w:line="360" w:lineRule="auto"/>
        <w:rPr>
          <w:color w:val="000000" w:themeColor="text1"/>
          <w:sz w:val="24"/>
          <w:szCs w:val="24"/>
        </w:rPr>
      </w:pPr>
      <w:r w:rsidRPr="00857D3E">
        <w:rPr>
          <w:color w:val="000000" w:themeColor="text1"/>
          <w:sz w:val="24"/>
          <w:szCs w:val="24"/>
        </w:rPr>
        <w:t xml:space="preserve">The argument between policing by control and policing by consent is essential when comprehending the function of police in the modern society. "Policing by consent" indicates that rather than adopting force, social order is upheld through trust among the </w:t>
      </w:r>
      <w:r w:rsidRPr="00857D3E">
        <w:rPr>
          <w:color w:val="000000" w:themeColor="text1"/>
          <w:sz w:val="24"/>
          <w:szCs w:val="24"/>
        </w:rPr>
        <w:lastRenderedPageBreak/>
        <w:t xml:space="preserve">public and collaboration. Because it fosters community trust and encourages voluntary obedience to the law, academics contend that this strategy is crucial for social structure </w:t>
      </w:r>
      <w:r w:rsidR="004D45BB" w:rsidRPr="00857D3E">
        <w:rPr>
          <w:color w:val="000000" w:themeColor="text1"/>
          <w:sz w:val="24"/>
          <w:szCs w:val="24"/>
        </w:rPr>
        <w:t>(Parsons and Kremling, 2020)</w:t>
      </w:r>
      <w:r w:rsidRPr="00857D3E">
        <w:rPr>
          <w:color w:val="000000" w:themeColor="text1"/>
          <w:sz w:val="24"/>
          <w:szCs w:val="24"/>
        </w:rPr>
        <w:t xml:space="preserve">. On the other hand, as </w:t>
      </w:r>
      <w:r w:rsidR="00C51771" w:rsidRPr="00857D3E">
        <w:rPr>
          <w:color w:val="000000" w:themeColor="text1"/>
          <w:sz w:val="24"/>
          <w:szCs w:val="24"/>
        </w:rPr>
        <w:t>Parson and Krem</w:t>
      </w:r>
      <w:r w:rsidR="00CE7526" w:rsidRPr="00857D3E">
        <w:rPr>
          <w:color w:val="000000" w:themeColor="text1"/>
          <w:sz w:val="24"/>
          <w:szCs w:val="24"/>
        </w:rPr>
        <w:t>l</w:t>
      </w:r>
      <w:r w:rsidR="00C51771" w:rsidRPr="00857D3E">
        <w:rPr>
          <w:color w:val="000000" w:themeColor="text1"/>
          <w:sz w:val="24"/>
          <w:szCs w:val="24"/>
        </w:rPr>
        <w:t>ing (2020) also</w:t>
      </w:r>
      <w:r w:rsidRPr="00857D3E">
        <w:rPr>
          <w:color w:val="000000" w:themeColor="text1"/>
          <w:sz w:val="24"/>
          <w:szCs w:val="24"/>
        </w:rPr>
        <w:t xml:space="preserve"> </w:t>
      </w:r>
      <w:r w:rsidR="003021D6" w:rsidRPr="00857D3E">
        <w:rPr>
          <w:color w:val="000000" w:themeColor="text1"/>
          <w:sz w:val="24"/>
          <w:szCs w:val="24"/>
        </w:rPr>
        <w:t>point</w:t>
      </w:r>
      <w:r w:rsidRPr="00857D3E">
        <w:rPr>
          <w:color w:val="000000" w:themeColor="text1"/>
          <w:sz w:val="24"/>
          <w:szCs w:val="24"/>
        </w:rPr>
        <w:t xml:space="preserve"> out, implementing such a model in varied communities with differing degrees of faith in law enforcement is fundamentally difficult.</w:t>
      </w:r>
    </w:p>
    <w:p w14:paraId="03A324CC" w14:textId="77777777" w:rsidR="00971644" w:rsidRPr="00857D3E" w:rsidRDefault="00971644" w:rsidP="008A3657">
      <w:pPr>
        <w:spacing w:line="360" w:lineRule="auto"/>
        <w:rPr>
          <w:color w:val="FF0000"/>
          <w:sz w:val="24"/>
          <w:szCs w:val="24"/>
        </w:rPr>
      </w:pPr>
    </w:p>
    <w:p w14:paraId="123CB52B" w14:textId="77777777" w:rsidR="00771DC6" w:rsidRPr="00857D3E" w:rsidRDefault="00966704" w:rsidP="008A3657">
      <w:pPr>
        <w:spacing w:line="360" w:lineRule="auto"/>
        <w:rPr>
          <w:color w:val="000000" w:themeColor="text1"/>
          <w:sz w:val="24"/>
          <w:szCs w:val="24"/>
        </w:rPr>
      </w:pPr>
      <w:r w:rsidRPr="00857D3E">
        <w:rPr>
          <w:color w:val="000000" w:themeColor="text1"/>
          <w:sz w:val="24"/>
          <w:szCs w:val="24"/>
        </w:rPr>
        <w:t>Although the main objective of modern policing is to operate by consent and maintain ethical standards, incidents of police brutality continue to cast a negative light on law enforcement. These events often undermine public trust and foster a perception that police forces prioriti</w:t>
      </w:r>
      <w:r w:rsidR="00720B14" w:rsidRPr="00857D3E">
        <w:rPr>
          <w:color w:val="000000" w:themeColor="text1"/>
          <w:sz w:val="24"/>
          <w:szCs w:val="24"/>
        </w:rPr>
        <w:t>s</w:t>
      </w:r>
      <w:r w:rsidRPr="00857D3E">
        <w:rPr>
          <w:color w:val="000000" w:themeColor="text1"/>
          <w:sz w:val="24"/>
          <w:szCs w:val="24"/>
        </w:rPr>
        <w:t>e control over community engagement. For example, the tragic death of George Floyd in 2020, following the use of excessive force by a police officer in the United States, sparked global protests and brought renewed attention to police brutality</w:t>
      </w:r>
      <w:r w:rsidR="001260B4" w:rsidRPr="00857D3E">
        <w:rPr>
          <w:color w:val="000000" w:themeColor="text1"/>
          <w:sz w:val="24"/>
          <w:szCs w:val="24"/>
        </w:rPr>
        <w:t xml:space="preserve"> </w:t>
      </w:r>
      <w:r w:rsidR="00421C71" w:rsidRPr="00857D3E">
        <w:rPr>
          <w:color w:val="000000" w:themeColor="text1"/>
          <w:sz w:val="24"/>
          <w:szCs w:val="24"/>
        </w:rPr>
        <w:t>(The Guardian, 2021).</w:t>
      </w:r>
      <w:r w:rsidR="006E36BE" w:rsidRPr="00857D3E">
        <w:rPr>
          <w:color w:val="000000" w:themeColor="text1"/>
          <w:sz w:val="24"/>
          <w:szCs w:val="24"/>
        </w:rPr>
        <w:t xml:space="preserve"> </w:t>
      </w:r>
      <w:r w:rsidRPr="00857D3E">
        <w:rPr>
          <w:color w:val="000000" w:themeColor="text1"/>
          <w:sz w:val="24"/>
          <w:szCs w:val="24"/>
        </w:rPr>
        <w:t xml:space="preserve">While the UK has not experienced the same scale of incidents, similar occurrences, </w:t>
      </w:r>
      <w:r w:rsidR="00B637D0" w:rsidRPr="00857D3E">
        <w:rPr>
          <w:color w:val="000000" w:themeColor="text1"/>
          <w:sz w:val="24"/>
          <w:szCs w:val="24"/>
        </w:rPr>
        <w:t xml:space="preserve">like </w:t>
      </w:r>
      <w:r w:rsidRPr="00857D3E">
        <w:rPr>
          <w:color w:val="000000" w:themeColor="text1"/>
          <w:sz w:val="24"/>
          <w:szCs w:val="24"/>
        </w:rPr>
        <w:t>the 2021 death of Sarah Everard by a serving police officer, have eroded public trust in police institutions. According to recent research, only 40% of people in England report trusting their local police force, a significant decline from previous years, which reflects the growing mistrust and concerns about accountability in law enforcement (The Guardian, 2024). This decline in trust is particularly</w:t>
      </w:r>
      <w:r w:rsidR="006A3B78" w:rsidRPr="00857D3E">
        <w:rPr>
          <w:color w:val="000000" w:themeColor="text1"/>
          <w:sz w:val="24"/>
          <w:szCs w:val="24"/>
        </w:rPr>
        <w:t xml:space="preserve"> </w:t>
      </w:r>
      <w:r w:rsidR="00BA3392" w:rsidRPr="00857D3E">
        <w:rPr>
          <w:color w:val="000000" w:themeColor="text1"/>
          <w:sz w:val="24"/>
          <w:szCs w:val="24"/>
        </w:rPr>
        <w:t>seen</w:t>
      </w:r>
      <w:r w:rsidRPr="00857D3E">
        <w:rPr>
          <w:color w:val="000000" w:themeColor="text1"/>
          <w:sz w:val="24"/>
          <w:szCs w:val="24"/>
        </w:rPr>
        <w:t xml:space="preserve"> among minority communities, who often feel disproportionately targeted by police actions. </w:t>
      </w:r>
    </w:p>
    <w:p w14:paraId="6948570C" w14:textId="77777777" w:rsidR="008A3657" w:rsidRPr="00857D3E" w:rsidRDefault="00A47920" w:rsidP="008A3657">
      <w:pPr>
        <w:spacing w:line="360" w:lineRule="auto"/>
        <w:rPr>
          <w:color w:val="000000" w:themeColor="text1"/>
          <w:sz w:val="24"/>
          <w:szCs w:val="24"/>
        </w:rPr>
      </w:pPr>
      <w:r w:rsidRPr="00857D3E">
        <w:rPr>
          <w:color w:val="000000" w:themeColor="text1"/>
          <w:sz w:val="24"/>
          <w:szCs w:val="24"/>
        </w:rPr>
        <w:t>Policing with control, rather than consent, involves strategies that emphasi</w:t>
      </w:r>
      <w:r w:rsidR="003A2EB4" w:rsidRPr="00857D3E">
        <w:rPr>
          <w:color w:val="000000" w:themeColor="text1"/>
          <w:sz w:val="24"/>
          <w:szCs w:val="24"/>
        </w:rPr>
        <w:t>s</w:t>
      </w:r>
      <w:r w:rsidRPr="00857D3E">
        <w:rPr>
          <w:color w:val="000000" w:themeColor="text1"/>
          <w:sz w:val="24"/>
          <w:szCs w:val="24"/>
        </w:rPr>
        <w:t xml:space="preserve">e authority and enforcement over community collaboration. One strategy is the use of stop and search powers, which are often perceived as </w:t>
      </w:r>
      <w:r w:rsidR="001852AB" w:rsidRPr="00857D3E">
        <w:rPr>
          <w:color w:val="000000" w:themeColor="text1"/>
          <w:sz w:val="24"/>
          <w:szCs w:val="24"/>
        </w:rPr>
        <w:t>an</w:t>
      </w:r>
      <w:r w:rsidR="00E04EBF" w:rsidRPr="00857D3E">
        <w:rPr>
          <w:color w:val="000000" w:themeColor="text1"/>
          <w:sz w:val="24"/>
          <w:szCs w:val="24"/>
        </w:rPr>
        <w:t xml:space="preserve"> </w:t>
      </w:r>
      <w:r w:rsidR="001852AB" w:rsidRPr="00857D3E">
        <w:rPr>
          <w:color w:val="000000" w:themeColor="text1"/>
          <w:sz w:val="24"/>
          <w:szCs w:val="24"/>
        </w:rPr>
        <w:t>example</w:t>
      </w:r>
      <w:r w:rsidRPr="00857D3E">
        <w:rPr>
          <w:color w:val="000000" w:themeColor="text1"/>
          <w:sz w:val="24"/>
          <w:szCs w:val="24"/>
        </w:rPr>
        <w:t xml:space="preserve"> of policing by control. While intended to prevent crime and enhance public safety, this approach has faced significant criticism, particularly regarding </w:t>
      </w:r>
      <w:r w:rsidR="00A81589" w:rsidRPr="00857D3E">
        <w:rPr>
          <w:color w:val="000000" w:themeColor="text1"/>
          <w:sz w:val="24"/>
          <w:szCs w:val="24"/>
        </w:rPr>
        <w:t>its</w:t>
      </w:r>
      <w:r w:rsidRPr="00857D3E">
        <w:rPr>
          <w:color w:val="000000" w:themeColor="text1"/>
          <w:sz w:val="24"/>
          <w:szCs w:val="24"/>
        </w:rPr>
        <w:t xml:space="preserve"> disproportionate impact on minority ethnic groups. </w:t>
      </w:r>
      <w:r w:rsidR="00D65959" w:rsidRPr="00857D3E">
        <w:rPr>
          <w:color w:val="000000" w:themeColor="text1"/>
          <w:sz w:val="24"/>
          <w:szCs w:val="24"/>
        </w:rPr>
        <w:t xml:space="preserve">According to Ethnicity Facts and </w:t>
      </w:r>
      <w:r w:rsidR="00D11197" w:rsidRPr="00857D3E">
        <w:rPr>
          <w:color w:val="000000" w:themeColor="text1"/>
          <w:sz w:val="24"/>
          <w:szCs w:val="24"/>
        </w:rPr>
        <w:t>Figures</w:t>
      </w:r>
      <w:r w:rsidR="00D65959" w:rsidRPr="00857D3E">
        <w:rPr>
          <w:color w:val="000000" w:themeColor="text1"/>
          <w:sz w:val="24"/>
          <w:szCs w:val="24"/>
        </w:rPr>
        <w:t xml:space="preserve"> (2023</w:t>
      </w:r>
      <w:r w:rsidR="00D11197" w:rsidRPr="00857D3E">
        <w:rPr>
          <w:color w:val="000000" w:themeColor="text1"/>
          <w:sz w:val="24"/>
          <w:szCs w:val="24"/>
        </w:rPr>
        <w:t>),</w:t>
      </w:r>
      <w:r w:rsidR="00D65959" w:rsidRPr="00857D3E">
        <w:rPr>
          <w:color w:val="000000" w:themeColor="text1"/>
          <w:sz w:val="24"/>
          <w:szCs w:val="24"/>
        </w:rPr>
        <w:t xml:space="preserve"> s</w:t>
      </w:r>
      <w:r w:rsidRPr="00857D3E">
        <w:rPr>
          <w:color w:val="000000" w:themeColor="text1"/>
          <w:sz w:val="24"/>
          <w:szCs w:val="24"/>
        </w:rPr>
        <w:t xml:space="preserve">tatistics show that in England and Wales, there were 24.5 stop and searches for every 1,000 Black people, compared to 5.9 for every 1,000 White people. This </w:t>
      </w:r>
      <w:r w:rsidR="00A81589" w:rsidRPr="00857D3E">
        <w:rPr>
          <w:color w:val="000000" w:themeColor="text1"/>
          <w:sz w:val="24"/>
          <w:szCs w:val="24"/>
        </w:rPr>
        <w:t>difference</w:t>
      </w:r>
      <w:r w:rsidRPr="00857D3E">
        <w:rPr>
          <w:color w:val="000000" w:themeColor="text1"/>
          <w:sz w:val="24"/>
          <w:szCs w:val="24"/>
        </w:rPr>
        <w:t xml:space="preserve"> has led to widespread perceptions of racial bias, with critics arguing that stop and search disproportionately targets minority communities, reinforcing feelings of marginali</w:t>
      </w:r>
      <w:r w:rsidR="00A81589" w:rsidRPr="00857D3E">
        <w:rPr>
          <w:color w:val="000000" w:themeColor="text1"/>
          <w:sz w:val="24"/>
          <w:szCs w:val="24"/>
        </w:rPr>
        <w:t>s</w:t>
      </w:r>
      <w:r w:rsidRPr="00857D3E">
        <w:rPr>
          <w:color w:val="000000" w:themeColor="text1"/>
          <w:sz w:val="24"/>
          <w:szCs w:val="24"/>
        </w:rPr>
        <w:t>ation and mistrust.</w:t>
      </w:r>
    </w:p>
    <w:p w14:paraId="5C03F7F4" w14:textId="49EECD57" w:rsidR="00BA6CF2" w:rsidRPr="00857D3E" w:rsidRDefault="00BA6CF2" w:rsidP="008A3657">
      <w:pPr>
        <w:spacing w:line="360" w:lineRule="auto"/>
        <w:rPr>
          <w:color w:val="000000" w:themeColor="text1"/>
          <w:sz w:val="24"/>
          <w:szCs w:val="24"/>
        </w:rPr>
      </w:pPr>
      <w:r w:rsidRPr="00857D3E">
        <w:lastRenderedPageBreak/>
        <w:t>The transition from community-focused foot patrols to surveillance-based policing has been criticised for reducing meaningful communication between police and communities. Foot patrols historically fostered trust and cooperation by enabling officers to build relationships with residents, which improved public satisfaction and reduced fear of crime (Dempsey et al,2018).These strategies have also been linked to enhanced community-police relations, proactive problem-solving, and increased public confidence (O'Reilly, 2024) High-visibility foot patrols contribute to generosity, officer morale, and reduced fear of crime (Miller et al., 2017)</w:t>
      </w:r>
    </w:p>
    <w:p w14:paraId="1F4C3D76" w14:textId="77777777" w:rsidR="00BA6CF2" w:rsidRPr="00857D3E" w:rsidRDefault="00BA6CF2" w:rsidP="008A3657">
      <w:pPr>
        <w:spacing w:line="360" w:lineRule="auto"/>
      </w:pPr>
      <w:r w:rsidRPr="00857D3E">
        <w:t>Conversely, reliance on surveillance technologies, such as cameras and data analytics, may erode trust, particularly in marginalized communities, due to limited community engagement in decision-making (Lave &amp; Miller, 2019). Although these technologies can increase the perceived risk of apprehension and potentially reduce crime, their effectiveness depends on factors like camera concentration and monitoring (Tilley &amp; Farrell, 2013). Critics argue that this shift contrasts with the personal, problem-oriented approach of foot patrols, which address root causes of crime and promote accountability (Schneider, 2014).</w:t>
      </w:r>
    </w:p>
    <w:p w14:paraId="4D449B3B" w14:textId="77777777" w:rsidR="00BA6CF2" w:rsidRPr="00857D3E" w:rsidRDefault="00BA6CF2" w:rsidP="008A3657">
      <w:pPr>
        <w:spacing w:line="360" w:lineRule="auto"/>
        <w:rPr>
          <w:color w:val="000000" w:themeColor="text1"/>
          <w:sz w:val="24"/>
          <w:szCs w:val="24"/>
        </w:rPr>
      </w:pPr>
    </w:p>
    <w:p w14:paraId="39ED3C44" w14:textId="65CE2D2C" w:rsidR="00A47920" w:rsidRPr="00857D3E" w:rsidRDefault="00A47920" w:rsidP="008A3657">
      <w:pPr>
        <w:spacing w:line="360" w:lineRule="auto"/>
        <w:rPr>
          <w:color w:val="000000" w:themeColor="text1"/>
          <w:sz w:val="24"/>
          <w:szCs w:val="24"/>
        </w:rPr>
      </w:pPr>
      <w:r w:rsidRPr="00857D3E">
        <w:rPr>
          <w:color w:val="000000" w:themeColor="text1"/>
          <w:sz w:val="24"/>
          <w:szCs w:val="24"/>
        </w:rPr>
        <w:t>The perception that stops and search is a form of policing by control rather than consent undermines public confidence in law enforcement. It suggests a power imbalance, where certain groups feel observed and criminali</w:t>
      </w:r>
      <w:r w:rsidR="00971644" w:rsidRPr="00857D3E">
        <w:rPr>
          <w:color w:val="000000" w:themeColor="text1"/>
          <w:sz w:val="24"/>
          <w:szCs w:val="24"/>
        </w:rPr>
        <w:t>s</w:t>
      </w:r>
      <w:r w:rsidRPr="00857D3E">
        <w:rPr>
          <w:color w:val="000000" w:themeColor="text1"/>
          <w:sz w:val="24"/>
          <w:szCs w:val="24"/>
        </w:rPr>
        <w:t>ed rather than protected. Despite its legal framework, the misuse or overuse of stop and search powers has been linked to tensions between police and the communities they serve. The College of Policing (2020) acknowledges these challenges and emphasi</w:t>
      </w:r>
      <w:r w:rsidR="003D38FF" w:rsidRPr="00857D3E">
        <w:rPr>
          <w:color w:val="000000" w:themeColor="text1"/>
          <w:sz w:val="24"/>
          <w:szCs w:val="24"/>
        </w:rPr>
        <w:t>s</w:t>
      </w:r>
      <w:r w:rsidRPr="00857D3E">
        <w:rPr>
          <w:color w:val="000000" w:themeColor="text1"/>
          <w:sz w:val="24"/>
          <w:szCs w:val="24"/>
        </w:rPr>
        <w:t xml:space="preserve">es the need for proportionality, transparency, and fairness in the application of these powers. Without addressing these concerns, stop and search risks being seen as </w:t>
      </w:r>
      <w:r w:rsidR="001C5BE4" w:rsidRPr="00857D3E">
        <w:rPr>
          <w:color w:val="000000" w:themeColor="text1"/>
          <w:sz w:val="24"/>
          <w:szCs w:val="24"/>
        </w:rPr>
        <w:t>strategy</w:t>
      </w:r>
      <w:r w:rsidRPr="00857D3E">
        <w:rPr>
          <w:color w:val="000000" w:themeColor="text1"/>
          <w:sz w:val="24"/>
          <w:szCs w:val="24"/>
        </w:rPr>
        <w:t xml:space="preserve"> for social control rather than a legitimate method for crime prevention, further alienating the very communities that policing strategies aim to protect.</w:t>
      </w:r>
    </w:p>
    <w:p w14:paraId="7AB8AD18" w14:textId="77777777" w:rsidR="00212495" w:rsidRPr="00857D3E" w:rsidRDefault="00212495" w:rsidP="008A3657">
      <w:pPr>
        <w:spacing w:line="360" w:lineRule="auto"/>
        <w:rPr>
          <w:color w:val="000000" w:themeColor="text1"/>
          <w:sz w:val="24"/>
          <w:szCs w:val="24"/>
        </w:rPr>
      </w:pPr>
    </w:p>
    <w:p w14:paraId="1144862E" w14:textId="1960E2E0" w:rsidR="00DF0CAD" w:rsidRPr="00857D3E" w:rsidRDefault="00DF0CAD" w:rsidP="008A3657">
      <w:pPr>
        <w:spacing w:line="360" w:lineRule="auto"/>
        <w:rPr>
          <w:color w:val="000000" w:themeColor="text1"/>
          <w:sz w:val="24"/>
          <w:szCs w:val="24"/>
        </w:rPr>
      </w:pPr>
      <w:r w:rsidRPr="00857D3E">
        <w:rPr>
          <w:color w:val="000000" w:themeColor="text1"/>
          <w:sz w:val="24"/>
          <w:szCs w:val="24"/>
        </w:rPr>
        <w:t>Policing as a tool for social control has drawn significant critique, particularly from perspectives like Marxism, which argue that law enforcement often reinforces existing power structures and socioeconomic inequalities. This analysis raises critical questions about fairness and balance in modern policing practices.</w:t>
      </w:r>
    </w:p>
    <w:p w14:paraId="48CF2B62" w14:textId="77777777" w:rsidR="00DA0696" w:rsidRPr="00857D3E" w:rsidRDefault="00DA0696" w:rsidP="008A3657">
      <w:pPr>
        <w:spacing w:line="360" w:lineRule="auto"/>
        <w:rPr>
          <w:color w:val="000000" w:themeColor="text1"/>
          <w:sz w:val="24"/>
          <w:szCs w:val="24"/>
        </w:rPr>
      </w:pPr>
    </w:p>
    <w:p w14:paraId="0370B5B2" w14:textId="79C9ABC2" w:rsidR="005D53A4" w:rsidRPr="00857D3E" w:rsidRDefault="005D53A4" w:rsidP="008A3657">
      <w:pPr>
        <w:spacing w:line="360" w:lineRule="auto"/>
        <w:rPr>
          <w:color w:val="000000" w:themeColor="text1"/>
          <w:sz w:val="24"/>
          <w:szCs w:val="24"/>
        </w:rPr>
      </w:pPr>
      <w:r w:rsidRPr="00857D3E">
        <w:rPr>
          <w:color w:val="000000" w:themeColor="text1"/>
          <w:sz w:val="24"/>
          <w:szCs w:val="24"/>
        </w:rPr>
        <w:lastRenderedPageBreak/>
        <w:t>In addition to the critiques of policing as a tool for socioeconomic control, John Rawls' Veil of Ignorance offers an insightful perspective on justice and fairness in policing. Rawls' concept, which suggests that principles of justice should be chosen as if individuals did not know their own social position, can be applied to the way law enforcement systems operate (Pellissery et al., 2019). In the context of policing, this theory emphasi</w:t>
      </w:r>
      <w:r w:rsidR="00971644" w:rsidRPr="00857D3E">
        <w:rPr>
          <w:color w:val="000000" w:themeColor="text1"/>
          <w:sz w:val="24"/>
          <w:szCs w:val="24"/>
        </w:rPr>
        <w:t>s</w:t>
      </w:r>
      <w:r w:rsidRPr="00857D3E">
        <w:rPr>
          <w:color w:val="000000" w:themeColor="text1"/>
          <w:sz w:val="24"/>
          <w:szCs w:val="24"/>
        </w:rPr>
        <w:t>es that policies should be designed in a manner that treats all individuals equally, irrespective of their race, class, or background. When applied to the contemporary challenges of policing, particularly in relation to marginali</w:t>
      </w:r>
      <w:r w:rsidR="00971644" w:rsidRPr="00857D3E">
        <w:rPr>
          <w:color w:val="000000" w:themeColor="text1"/>
          <w:sz w:val="24"/>
          <w:szCs w:val="24"/>
        </w:rPr>
        <w:t>s</w:t>
      </w:r>
      <w:r w:rsidRPr="00857D3E">
        <w:rPr>
          <w:color w:val="000000" w:themeColor="text1"/>
          <w:sz w:val="24"/>
          <w:szCs w:val="24"/>
        </w:rPr>
        <w:t>ed communities, the Veil of Ignorance challenges the status quo by calling for reforms that would foster impartiality and fairness, ensuring that the police serve all sections of society equally (Rawls, 1971). Such an approach could lead to a more balanced and just system, aligning with Peel's original vision of policing by consent, where the public feels fairly treated, and the law enforcement system is seen as a protector</w:t>
      </w:r>
      <w:r w:rsidR="00F25A4B" w:rsidRPr="00857D3E">
        <w:rPr>
          <w:color w:val="000000" w:themeColor="text1"/>
          <w:sz w:val="24"/>
          <w:szCs w:val="24"/>
        </w:rPr>
        <w:t>.</w:t>
      </w:r>
    </w:p>
    <w:p w14:paraId="6CFAA6F3" w14:textId="77777777" w:rsidR="00530493" w:rsidRPr="00857D3E" w:rsidRDefault="00530493" w:rsidP="008A3657">
      <w:pPr>
        <w:spacing w:line="360" w:lineRule="auto"/>
        <w:rPr>
          <w:color w:val="000000" w:themeColor="text1"/>
          <w:sz w:val="24"/>
          <w:szCs w:val="24"/>
        </w:rPr>
      </w:pPr>
    </w:p>
    <w:p w14:paraId="1553BE53" w14:textId="7C5FD70D" w:rsidR="00335C5F" w:rsidRPr="00857D3E" w:rsidRDefault="00530493" w:rsidP="008A3657">
      <w:pPr>
        <w:spacing w:line="360" w:lineRule="auto"/>
        <w:rPr>
          <w:color w:val="000000" w:themeColor="text1"/>
          <w:sz w:val="24"/>
          <w:szCs w:val="24"/>
        </w:rPr>
      </w:pPr>
      <w:r w:rsidRPr="00857D3E">
        <w:rPr>
          <w:color w:val="000000" w:themeColor="text1"/>
          <w:sz w:val="24"/>
          <w:szCs w:val="24"/>
        </w:rPr>
        <w:t>The COVID-19 pandemic served as a clear example of government-imposed control through policing measures. Governments globally imposed strict lockdowns, social distancing, and mask mandates, often enforced by the police. This demonstrated how state control extended beyond traditional crime prevention, using policing as a tool to manage public health crises. However, such extensive use of police powers also highlighted how political, social, economic, and environmental turmoil could impact the police institution, creating tensions between maintaining public safety and ensuring stability within the force. The constant pressure of such policing demands can strain the institution, making its role in society increasingly complex and unstable (Nolan et al, 2020).</w:t>
      </w:r>
    </w:p>
    <w:p w14:paraId="6B8278FA" w14:textId="77777777" w:rsidR="009F07AE" w:rsidRPr="00857D3E" w:rsidRDefault="009F07AE" w:rsidP="008A3657">
      <w:pPr>
        <w:spacing w:line="360" w:lineRule="auto"/>
        <w:rPr>
          <w:color w:val="000000" w:themeColor="text1"/>
          <w:sz w:val="24"/>
          <w:szCs w:val="24"/>
        </w:rPr>
      </w:pPr>
    </w:p>
    <w:p w14:paraId="2E70D828" w14:textId="09A96ADF" w:rsidR="009F07AE" w:rsidRPr="009F07AE" w:rsidRDefault="003C24C9" w:rsidP="008A3657">
      <w:pPr>
        <w:spacing w:line="360" w:lineRule="auto"/>
        <w:rPr>
          <w:color w:val="000000" w:themeColor="text1"/>
          <w:sz w:val="24"/>
          <w:szCs w:val="24"/>
        </w:rPr>
      </w:pPr>
      <w:r w:rsidRPr="00857D3E">
        <w:rPr>
          <w:color w:val="000000" w:themeColor="text1"/>
          <w:sz w:val="24"/>
          <w:szCs w:val="24"/>
        </w:rPr>
        <w:t xml:space="preserve">Modern police must manage the conflicting demands of public trust and state power while negotiating the delicate balance between community consent and government control. Peel's "policing by consent" theory emphasises how crucial respect for one another and community cooperation are to upholding social order. Nonetheless, current issues like the militarisation of police forces, the use of stop and search powers, </w:t>
      </w:r>
      <w:r w:rsidRPr="00857D3E">
        <w:rPr>
          <w:color w:val="000000" w:themeColor="text1"/>
          <w:sz w:val="24"/>
          <w:szCs w:val="24"/>
        </w:rPr>
        <w:lastRenderedPageBreak/>
        <w:t xml:space="preserve">and reactions to emergencies like the COVID-19 outbreak underscore a recurring conflict between upholding governmental orders and serving the public. Control-oriented methods run the danger of dividing the public and undermining confidence, especially among marginalised populations, even if they could be required in some situations. In order to close this gap, policing must put an emphasis on openness, responsibility, and equality while making sure that its methods are based on justice and equity. Legitimation is only achieved by reorienting law enforcement to these democratic ideals, successfully striking a balance between the necessity of public consent and the requirement for control. This requires a shift towards community-based policing strategies, where officers </w:t>
      </w:r>
      <w:r w:rsidR="001C5BE4" w:rsidRPr="00857D3E">
        <w:rPr>
          <w:color w:val="000000" w:themeColor="text1"/>
          <w:sz w:val="24"/>
          <w:szCs w:val="24"/>
        </w:rPr>
        <w:t>function as</w:t>
      </w:r>
      <w:r w:rsidRPr="00857D3E">
        <w:rPr>
          <w:color w:val="000000" w:themeColor="text1"/>
          <w:sz w:val="24"/>
          <w:szCs w:val="24"/>
        </w:rPr>
        <w:t xml:space="preserve"> partners rather than enforcers, empowering communities to be part of the problem-solving process</w:t>
      </w:r>
      <w:r w:rsidR="003E115C" w:rsidRPr="00857D3E">
        <w:rPr>
          <w:color w:val="000000" w:themeColor="text1"/>
          <w:sz w:val="24"/>
          <w:szCs w:val="24"/>
        </w:rPr>
        <w:t xml:space="preserve"> </w:t>
      </w:r>
      <w:r w:rsidR="003E115C" w:rsidRPr="00857D3E">
        <w:t>(O'Reilly, 2024)</w:t>
      </w:r>
      <w:r w:rsidRPr="00857D3E">
        <w:rPr>
          <w:color w:val="000000" w:themeColor="text1"/>
          <w:sz w:val="24"/>
          <w:szCs w:val="24"/>
        </w:rPr>
        <w:t>. Such an approach not only builds trust but also ensures that policing is accountable, transparent, and aligned with societal values, ultimately fostering a safer, more cohesive society.</w:t>
      </w:r>
    </w:p>
    <w:p w14:paraId="3AA87272" w14:textId="77777777" w:rsidR="009F07AE" w:rsidRDefault="009F07AE" w:rsidP="008A3657">
      <w:pPr>
        <w:spacing w:line="360" w:lineRule="auto"/>
        <w:rPr>
          <w:color w:val="000000" w:themeColor="text1"/>
          <w:sz w:val="24"/>
          <w:szCs w:val="24"/>
        </w:rPr>
      </w:pPr>
    </w:p>
    <w:p w14:paraId="6C59D541" w14:textId="17EBC1B1" w:rsidR="00335C5F" w:rsidRDefault="00335C5F" w:rsidP="008A3657">
      <w:pPr>
        <w:spacing w:line="360" w:lineRule="auto"/>
        <w:rPr>
          <w:color w:val="000000" w:themeColor="text1"/>
          <w:sz w:val="24"/>
          <w:szCs w:val="24"/>
        </w:rPr>
      </w:pPr>
      <w:r>
        <w:rPr>
          <w:color w:val="000000" w:themeColor="text1"/>
          <w:sz w:val="24"/>
          <w:szCs w:val="24"/>
        </w:rPr>
        <w:t xml:space="preserve">          </w:t>
      </w:r>
    </w:p>
    <w:p w14:paraId="192746BB" w14:textId="77777777" w:rsidR="00A47920" w:rsidRDefault="00A47920" w:rsidP="008A3657">
      <w:pPr>
        <w:spacing w:line="360" w:lineRule="auto"/>
        <w:rPr>
          <w:color w:val="000000" w:themeColor="text1"/>
          <w:sz w:val="24"/>
          <w:szCs w:val="24"/>
        </w:rPr>
      </w:pPr>
    </w:p>
    <w:p w14:paraId="4CC18C26" w14:textId="77777777" w:rsidR="00A47920" w:rsidRDefault="00A47920" w:rsidP="008A3657">
      <w:pPr>
        <w:spacing w:line="360" w:lineRule="auto"/>
        <w:rPr>
          <w:color w:val="000000" w:themeColor="text1"/>
          <w:sz w:val="24"/>
          <w:szCs w:val="24"/>
        </w:rPr>
      </w:pPr>
    </w:p>
    <w:p w14:paraId="4C4D2855" w14:textId="77777777" w:rsidR="00A47920" w:rsidRPr="00D553E4" w:rsidRDefault="00A47920" w:rsidP="008A3657">
      <w:pPr>
        <w:spacing w:line="360" w:lineRule="auto"/>
        <w:rPr>
          <w:color w:val="000000" w:themeColor="text1"/>
          <w:sz w:val="24"/>
          <w:szCs w:val="24"/>
        </w:rPr>
      </w:pPr>
    </w:p>
    <w:p w14:paraId="6AB9B4A6" w14:textId="77777777" w:rsidR="006B4BFA" w:rsidRDefault="006B4BFA" w:rsidP="008A3657">
      <w:pPr>
        <w:spacing w:line="360" w:lineRule="auto"/>
        <w:rPr>
          <w:color w:val="FF0000"/>
          <w:sz w:val="24"/>
          <w:szCs w:val="24"/>
        </w:rPr>
      </w:pPr>
    </w:p>
    <w:p w14:paraId="46459E62" w14:textId="77777777" w:rsidR="006B4BFA" w:rsidRDefault="006B4BFA" w:rsidP="008A3657">
      <w:pPr>
        <w:spacing w:line="360" w:lineRule="auto"/>
        <w:rPr>
          <w:color w:val="FF0000"/>
          <w:sz w:val="24"/>
          <w:szCs w:val="24"/>
        </w:rPr>
      </w:pPr>
    </w:p>
    <w:p w14:paraId="018C73A7" w14:textId="77777777" w:rsidR="006B4BFA" w:rsidRDefault="006B4BFA" w:rsidP="008A3657">
      <w:pPr>
        <w:spacing w:line="360" w:lineRule="auto"/>
        <w:rPr>
          <w:color w:val="FF0000"/>
          <w:sz w:val="24"/>
          <w:szCs w:val="24"/>
        </w:rPr>
      </w:pPr>
    </w:p>
    <w:p w14:paraId="4895A2D6" w14:textId="77777777" w:rsidR="006B4BFA" w:rsidRDefault="006B4BFA" w:rsidP="008A3657">
      <w:pPr>
        <w:spacing w:line="360" w:lineRule="auto"/>
        <w:rPr>
          <w:color w:val="FF0000"/>
          <w:sz w:val="24"/>
          <w:szCs w:val="24"/>
        </w:rPr>
      </w:pPr>
    </w:p>
    <w:p w14:paraId="79261BFF" w14:textId="77777777" w:rsidR="006B4BFA" w:rsidRDefault="006B4BFA" w:rsidP="008A3657">
      <w:pPr>
        <w:spacing w:line="360" w:lineRule="auto"/>
        <w:rPr>
          <w:color w:val="FF0000"/>
          <w:sz w:val="24"/>
          <w:szCs w:val="24"/>
        </w:rPr>
      </w:pPr>
    </w:p>
    <w:p w14:paraId="7DB40EB1" w14:textId="77777777" w:rsidR="006B4BFA" w:rsidRDefault="006B4BFA" w:rsidP="008A3657">
      <w:pPr>
        <w:spacing w:line="360" w:lineRule="auto"/>
        <w:rPr>
          <w:color w:val="FF0000"/>
          <w:sz w:val="24"/>
          <w:szCs w:val="24"/>
        </w:rPr>
      </w:pPr>
    </w:p>
    <w:p w14:paraId="697F2DBF" w14:textId="77777777" w:rsidR="006B4BFA" w:rsidRDefault="006B4BFA" w:rsidP="008A3657">
      <w:pPr>
        <w:spacing w:line="360" w:lineRule="auto"/>
        <w:rPr>
          <w:color w:val="FF0000"/>
          <w:sz w:val="24"/>
          <w:szCs w:val="24"/>
        </w:rPr>
      </w:pPr>
    </w:p>
    <w:p w14:paraId="24E4E3A6" w14:textId="77777777" w:rsidR="008A3657" w:rsidRDefault="008A3657" w:rsidP="008A3657">
      <w:pPr>
        <w:spacing w:line="360" w:lineRule="auto"/>
        <w:rPr>
          <w:color w:val="FF0000"/>
          <w:sz w:val="24"/>
          <w:szCs w:val="24"/>
        </w:rPr>
      </w:pPr>
    </w:p>
    <w:p w14:paraId="0EAF4039" w14:textId="77777777" w:rsidR="001C5BE4" w:rsidRDefault="001C5BE4" w:rsidP="008A3657">
      <w:pPr>
        <w:spacing w:line="360" w:lineRule="auto"/>
        <w:rPr>
          <w:b/>
          <w:bCs/>
        </w:rPr>
      </w:pPr>
    </w:p>
    <w:p w14:paraId="3CEDCC1D" w14:textId="31A7D551" w:rsidR="001526C1" w:rsidRDefault="001526C1" w:rsidP="008A3657">
      <w:pPr>
        <w:spacing w:line="360" w:lineRule="auto"/>
        <w:rPr>
          <w:b/>
          <w:bCs/>
        </w:rPr>
      </w:pPr>
      <w:r w:rsidRPr="003F3191">
        <w:rPr>
          <w:b/>
          <w:bCs/>
        </w:rPr>
        <w:t>References:</w:t>
      </w:r>
    </w:p>
    <w:p w14:paraId="3E143814" w14:textId="22BCF1FB" w:rsidR="00306FC2" w:rsidRDefault="00306FC2" w:rsidP="008A3657">
      <w:pPr>
        <w:pStyle w:val="ListParagraph"/>
        <w:numPr>
          <w:ilvl w:val="0"/>
          <w:numId w:val="4"/>
        </w:numPr>
        <w:spacing w:line="360" w:lineRule="auto"/>
      </w:pPr>
      <w:r>
        <w:t>Bullock, K. (2014) Citizens, Community and Crime Control. Palgrave Macmillan. Available at: https://www.perlego.com/book/3484965 (Accessed: 1</w:t>
      </w:r>
      <w:r w:rsidR="00E71831">
        <w:t>2</w:t>
      </w:r>
      <w:r>
        <w:t xml:space="preserve"> November 2024).</w:t>
      </w:r>
    </w:p>
    <w:p w14:paraId="28B83920" w14:textId="77777777" w:rsidR="00306FC2" w:rsidRDefault="00306FC2" w:rsidP="008A3657">
      <w:pPr>
        <w:pStyle w:val="ListParagraph"/>
        <w:spacing w:line="360" w:lineRule="auto"/>
      </w:pPr>
    </w:p>
    <w:p w14:paraId="3E743CA5" w14:textId="77777777" w:rsidR="00306FC2" w:rsidRDefault="00306FC2" w:rsidP="008A3657">
      <w:pPr>
        <w:pStyle w:val="ListParagraph"/>
        <w:numPr>
          <w:ilvl w:val="0"/>
          <w:numId w:val="4"/>
        </w:numPr>
        <w:spacing w:line="360" w:lineRule="auto"/>
      </w:pPr>
      <w:r>
        <w:t>College of Policing (2020) Stop and search: Fairness and effectiveness. Available at: https://www.college.police.uk (Accessed: 14 November 2024).</w:t>
      </w:r>
    </w:p>
    <w:p w14:paraId="3302D0C8" w14:textId="77777777" w:rsidR="002571DF" w:rsidRDefault="002571DF" w:rsidP="008A3657">
      <w:pPr>
        <w:pStyle w:val="ListParagraph"/>
        <w:spacing w:line="360" w:lineRule="auto"/>
      </w:pPr>
    </w:p>
    <w:p w14:paraId="29CCDB39" w14:textId="04D2E501" w:rsidR="002571DF" w:rsidRDefault="002571DF" w:rsidP="008A3657">
      <w:pPr>
        <w:pStyle w:val="ListParagraph"/>
        <w:numPr>
          <w:ilvl w:val="0"/>
          <w:numId w:val="4"/>
        </w:numPr>
        <w:spacing w:line="360" w:lineRule="auto"/>
      </w:pPr>
      <w:r w:rsidRPr="002571DF">
        <w:t>Dempsey, J., Forst, L. and Carter, S. (2018) </w:t>
      </w:r>
      <w:r w:rsidRPr="002571DF">
        <w:rPr>
          <w:i/>
          <w:iCs/>
        </w:rPr>
        <w:t>An Introduction to Policing</w:t>
      </w:r>
      <w:r w:rsidRPr="002571DF">
        <w:t xml:space="preserve">. Cengage Learning EMEA. Available at: https://www.perlego.com/book/2928171 (Accessed: </w:t>
      </w:r>
      <w:r>
        <w:t>12</w:t>
      </w:r>
      <w:r w:rsidRPr="002571DF">
        <w:t xml:space="preserve"> November 2024).</w:t>
      </w:r>
    </w:p>
    <w:p w14:paraId="0C474C61" w14:textId="77777777" w:rsidR="00306FC2" w:rsidRDefault="00306FC2" w:rsidP="008A3657">
      <w:pPr>
        <w:pStyle w:val="ListParagraph"/>
        <w:spacing w:line="360" w:lineRule="auto"/>
      </w:pPr>
    </w:p>
    <w:p w14:paraId="2649CED3" w14:textId="349FDC51" w:rsidR="00306FC2" w:rsidRDefault="00306FC2" w:rsidP="008A3657">
      <w:pPr>
        <w:pStyle w:val="ListParagraph"/>
        <w:numPr>
          <w:ilvl w:val="0"/>
          <w:numId w:val="4"/>
        </w:numPr>
        <w:spacing w:line="360" w:lineRule="auto"/>
      </w:pPr>
      <w:r>
        <w:t>Ethnicity Facts and Figures (2023) Stop and search. Available at: https://www.ethnicity-facts-figures.service.gov.uk/crime-justice-and-the-law/policing/stop-and-search/latest/ (Accessed: 1</w:t>
      </w:r>
      <w:r w:rsidR="00E71831">
        <w:t xml:space="preserve">4 </w:t>
      </w:r>
      <w:r>
        <w:t>November 2024).</w:t>
      </w:r>
    </w:p>
    <w:p w14:paraId="78904738" w14:textId="77777777" w:rsidR="00306FC2" w:rsidRDefault="00306FC2" w:rsidP="008A3657">
      <w:pPr>
        <w:pStyle w:val="ListParagraph"/>
        <w:spacing w:line="360" w:lineRule="auto"/>
      </w:pPr>
    </w:p>
    <w:p w14:paraId="520935FD" w14:textId="77777777" w:rsidR="00306FC2" w:rsidRDefault="00306FC2" w:rsidP="008A3657">
      <w:pPr>
        <w:pStyle w:val="ListParagraph"/>
        <w:numPr>
          <w:ilvl w:val="0"/>
          <w:numId w:val="4"/>
        </w:numPr>
        <w:spacing w:line="360" w:lineRule="auto"/>
      </w:pPr>
      <w:r>
        <w:t>Joyce, P. and Laverick, W. (2021) Policing. 2nd edition. SAGE Publications Ltd. Available at: https://www.perlego.com/book/3013418 (Accessed: 12 November 2024).</w:t>
      </w:r>
    </w:p>
    <w:p w14:paraId="4669147C" w14:textId="77777777" w:rsidR="00306FC2" w:rsidRDefault="00306FC2" w:rsidP="008A3657">
      <w:pPr>
        <w:pStyle w:val="ListParagraph"/>
        <w:spacing w:line="360" w:lineRule="auto"/>
      </w:pPr>
    </w:p>
    <w:p w14:paraId="4843B043" w14:textId="77777777" w:rsidR="00306FC2" w:rsidRDefault="00306FC2" w:rsidP="008A3657">
      <w:pPr>
        <w:pStyle w:val="ListParagraph"/>
        <w:numPr>
          <w:ilvl w:val="0"/>
          <w:numId w:val="4"/>
        </w:numPr>
        <w:spacing w:line="360" w:lineRule="auto"/>
      </w:pPr>
      <w:r>
        <w:t>Kappeler, V., Gaines, L. and Schaefer, B. (2020) Community Policing. 8th edition. Routledge. Available at: https://www.perlego.com/book/1507001 (Accessed: 13 November 2024).</w:t>
      </w:r>
    </w:p>
    <w:p w14:paraId="36173992" w14:textId="77777777" w:rsidR="00666860" w:rsidRDefault="00666860" w:rsidP="008A3657">
      <w:pPr>
        <w:pStyle w:val="ListParagraph"/>
        <w:spacing w:line="360" w:lineRule="auto"/>
      </w:pPr>
    </w:p>
    <w:p w14:paraId="72C97841" w14:textId="63B3A7DA" w:rsidR="00666860" w:rsidRDefault="00666860" w:rsidP="008A3657">
      <w:pPr>
        <w:pStyle w:val="ListParagraph"/>
        <w:numPr>
          <w:ilvl w:val="0"/>
          <w:numId w:val="4"/>
        </w:numPr>
        <w:spacing w:line="360" w:lineRule="auto"/>
      </w:pPr>
      <w:r w:rsidRPr="00666860">
        <w:t>Lave, T. R. and Miller, E. (2019) </w:t>
      </w:r>
      <w:r w:rsidRPr="00666860">
        <w:rPr>
          <w:i/>
          <w:iCs/>
        </w:rPr>
        <w:t>The Cambridge Handbook of Policing in the United States</w:t>
      </w:r>
      <w:r w:rsidRPr="00666860">
        <w:t>.</w:t>
      </w:r>
      <w:r w:rsidR="006B4BFA">
        <w:t xml:space="preserve"> </w:t>
      </w:r>
      <w:r w:rsidRPr="00666860">
        <w:t xml:space="preserve">Cambridge University Press. Available at: https://www.perlego.com/book/4221046 (Accessed: </w:t>
      </w:r>
      <w:r w:rsidR="001C5BE4">
        <w:t>14</w:t>
      </w:r>
      <w:r w:rsidRPr="00666860">
        <w:t xml:space="preserve"> November 2024)</w:t>
      </w:r>
    </w:p>
    <w:p w14:paraId="67CDE4A9" w14:textId="77777777" w:rsidR="00306FC2" w:rsidRDefault="00306FC2" w:rsidP="008A3657">
      <w:pPr>
        <w:pStyle w:val="ListParagraph"/>
        <w:spacing w:line="360" w:lineRule="auto"/>
      </w:pPr>
    </w:p>
    <w:p w14:paraId="60CA1DEE" w14:textId="77777777" w:rsidR="00306FC2" w:rsidRDefault="00306FC2" w:rsidP="008A3657">
      <w:pPr>
        <w:pStyle w:val="ListParagraph"/>
        <w:numPr>
          <w:ilvl w:val="0"/>
          <w:numId w:val="4"/>
        </w:numPr>
        <w:spacing w:line="360" w:lineRule="auto"/>
      </w:pPr>
      <w:r>
        <w:t>MacVean, A. and Neyroud, P. (2012) Police Ethics and Values. 1st edition. Learning Matters. Available at: https://www.perlego.com/book/1431539 (Accessed: 13 November 2024).</w:t>
      </w:r>
    </w:p>
    <w:p w14:paraId="23C319E7" w14:textId="77777777" w:rsidR="00942142" w:rsidRDefault="00942142" w:rsidP="008A3657">
      <w:pPr>
        <w:pStyle w:val="ListParagraph"/>
        <w:spacing w:line="360" w:lineRule="auto"/>
      </w:pPr>
    </w:p>
    <w:p w14:paraId="696D5E2F" w14:textId="755D7EF2" w:rsidR="00942142" w:rsidRDefault="00942142" w:rsidP="008A3657">
      <w:pPr>
        <w:pStyle w:val="ListParagraph"/>
        <w:numPr>
          <w:ilvl w:val="0"/>
          <w:numId w:val="4"/>
        </w:numPr>
        <w:spacing w:line="360" w:lineRule="auto"/>
      </w:pPr>
      <w:r w:rsidRPr="00942142">
        <w:lastRenderedPageBreak/>
        <w:t>Miller, L., Hess, K. and Orthmann, C. (2017) </w:t>
      </w:r>
      <w:r w:rsidRPr="00942142">
        <w:rPr>
          <w:i/>
          <w:iCs/>
        </w:rPr>
        <w:t>Community Policing</w:t>
      </w:r>
      <w:r w:rsidRPr="00942142">
        <w:t xml:space="preserve">. Cengage Learning EMEA. Available at: https://www.perlego.com/book/2754562 (Accessed: </w:t>
      </w:r>
      <w:r w:rsidR="001C5BE4">
        <w:t>14</w:t>
      </w:r>
      <w:r w:rsidRPr="00942142">
        <w:t xml:space="preserve"> November 2024).</w:t>
      </w:r>
    </w:p>
    <w:p w14:paraId="44EB1AF0" w14:textId="77777777" w:rsidR="00306FC2" w:rsidRDefault="00306FC2" w:rsidP="008A3657">
      <w:pPr>
        <w:pStyle w:val="ListParagraph"/>
        <w:spacing w:line="360" w:lineRule="auto"/>
      </w:pPr>
    </w:p>
    <w:p w14:paraId="0A753D1C" w14:textId="77777777" w:rsidR="00306FC2" w:rsidRDefault="00306FC2" w:rsidP="008A3657">
      <w:pPr>
        <w:pStyle w:val="ListParagraph"/>
        <w:numPr>
          <w:ilvl w:val="0"/>
          <w:numId w:val="4"/>
        </w:numPr>
        <w:spacing w:line="360" w:lineRule="auto"/>
      </w:pPr>
      <w:r>
        <w:t>Newburn, T. (2012) Handbook of Policing. 2nd edition. Willan. Available at: https://www.perlego.com/book/1614230 (Accessed: 12 November 2024).</w:t>
      </w:r>
    </w:p>
    <w:p w14:paraId="4EB61F6E" w14:textId="77777777" w:rsidR="00306FC2" w:rsidRDefault="00306FC2" w:rsidP="008A3657">
      <w:pPr>
        <w:pStyle w:val="ListParagraph"/>
        <w:spacing w:line="360" w:lineRule="auto"/>
      </w:pPr>
    </w:p>
    <w:p w14:paraId="3BE0AB02" w14:textId="3D3D8391" w:rsidR="00306FC2" w:rsidRDefault="00306FC2" w:rsidP="008A3657">
      <w:pPr>
        <w:pStyle w:val="ListParagraph"/>
        <w:numPr>
          <w:ilvl w:val="0"/>
          <w:numId w:val="4"/>
        </w:numPr>
        <w:spacing w:line="360" w:lineRule="auto"/>
      </w:pPr>
      <w:r>
        <w:t xml:space="preserve">Nolan, J. et al. (2020) Policing in an Age of Reform. Palgrave Macmillan. Available at: https://www.perlego.com/book/3481101 (Accessed: </w:t>
      </w:r>
      <w:r w:rsidR="00532B53">
        <w:t>15</w:t>
      </w:r>
      <w:r>
        <w:t xml:space="preserve"> November 2024).</w:t>
      </w:r>
    </w:p>
    <w:p w14:paraId="4D3B8991" w14:textId="77777777" w:rsidR="00A27B7F" w:rsidRDefault="00A27B7F" w:rsidP="008A3657">
      <w:pPr>
        <w:pStyle w:val="ListParagraph"/>
        <w:spacing w:line="360" w:lineRule="auto"/>
      </w:pPr>
    </w:p>
    <w:p w14:paraId="5DCE450A" w14:textId="74437F4D" w:rsidR="00A27B7F" w:rsidRDefault="00816531" w:rsidP="008A3657">
      <w:pPr>
        <w:pStyle w:val="ListParagraph"/>
        <w:numPr>
          <w:ilvl w:val="0"/>
          <w:numId w:val="4"/>
        </w:numPr>
        <w:spacing w:line="360" w:lineRule="auto"/>
      </w:pPr>
      <w:r w:rsidRPr="00816531">
        <w:t>O’Reilly, C. (2024) </w:t>
      </w:r>
      <w:r w:rsidRPr="00816531">
        <w:rPr>
          <w:i/>
          <w:iCs/>
        </w:rPr>
        <w:t>Neighbourhood Policing</w:t>
      </w:r>
      <w:r w:rsidRPr="00816531">
        <w:t>. 1st ed</w:t>
      </w:r>
      <w:r>
        <w:t>itio</w:t>
      </w:r>
      <w:r w:rsidRPr="00816531">
        <w:t xml:space="preserve">n. Policy Press. Available at: https://www.perlego.com/book/4314428 (Accessed: </w:t>
      </w:r>
      <w:r w:rsidR="001C5BE4">
        <w:t>15</w:t>
      </w:r>
      <w:r w:rsidRPr="00816531">
        <w:t xml:space="preserve"> November 2024).</w:t>
      </w:r>
    </w:p>
    <w:p w14:paraId="350D42B8" w14:textId="77777777" w:rsidR="00306FC2" w:rsidRDefault="00306FC2" w:rsidP="008A3657">
      <w:pPr>
        <w:pStyle w:val="ListParagraph"/>
        <w:spacing w:line="360" w:lineRule="auto"/>
      </w:pPr>
    </w:p>
    <w:p w14:paraId="58C56243" w14:textId="6B85FD60" w:rsidR="00306FC2" w:rsidRDefault="00306FC2" w:rsidP="008A3657">
      <w:pPr>
        <w:pStyle w:val="ListParagraph"/>
        <w:numPr>
          <w:ilvl w:val="0"/>
          <w:numId w:val="4"/>
        </w:numPr>
        <w:spacing w:line="360" w:lineRule="auto"/>
      </w:pPr>
      <w:r>
        <w:t xml:space="preserve">Parsons, D. and Kremling, J. (2020) Community Policing Today. 1st edition. SAGE Publications, Inc. Available at: https://www.perlego.com/book/3798876 (Accessed: </w:t>
      </w:r>
      <w:r w:rsidR="001C5BE4">
        <w:t>14</w:t>
      </w:r>
      <w:r>
        <w:t xml:space="preserve"> November 2024).</w:t>
      </w:r>
    </w:p>
    <w:p w14:paraId="275780E1" w14:textId="77777777" w:rsidR="00306FC2" w:rsidRDefault="00306FC2" w:rsidP="008A3657">
      <w:pPr>
        <w:pStyle w:val="ListParagraph"/>
        <w:spacing w:line="360" w:lineRule="auto"/>
      </w:pPr>
    </w:p>
    <w:p w14:paraId="62F7F7BA" w14:textId="7B4B6119" w:rsidR="00306FC2" w:rsidRDefault="00306FC2" w:rsidP="008A3657">
      <w:pPr>
        <w:pStyle w:val="ListParagraph"/>
        <w:numPr>
          <w:ilvl w:val="0"/>
          <w:numId w:val="4"/>
        </w:numPr>
        <w:spacing w:line="360" w:lineRule="auto"/>
      </w:pPr>
      <w:r>
        <w:t xml:space="preserve">Pellissery, S. et al. (2019) Transformative Law and Public Policy. 1st edition. Routledge India. Available at: https://www.perlego.com/book/1601610 (Accessed: </w:t>
      </w:r>
      <w:r w:rsidR="00E71831">
        <w:t>1</w:t>
      </w:r>
      <w:r w:rsidR="00532B53">
        <w:t xml:space="preserve">5 </w:t>
      </w:r>
      <w:r>
        <w:t>November 2024).</w:t>
      </w:r>
    </w:p>
    <w:p w14:paraId="5DE7790E" w14:textId="77777777" w:rsidR="00306FC2" w:rsidRDefault="00306FC2" w:rsidP="008A3657">
      <w:pPr>
        <w:pStyle w:val="ListParagraph"/>
        <w:spacing w:line="360" w:lineRule="auto"/>
      </w:pPr>
    </w:p>
    <w:p w14:paraId="141BE9CD" w14:textId="77777777" w:rsidR="00306FC2" w:rsidRDefault="00306FC2" w:rsidP="008A3657">
      <w:pPr>
        <w:pStyle w:val="ListParagraph"/>
        <w:numPr>
          <w:ilvl w:val="0"/>
          <w:numId w:val="4"/>
        </w:numPr>
        <w:spacing w:line="360" w:lineRule="auto"/>
      </w:pPr>
      <w:r>
        <w:t>Pope, D. W. and Weiner, N. (2023) Modern Policing. 1st edition. Routledge. Available at: https://www.perlego.com/book/3843172 (Accessed: 14 November 2024).</w:t>
      </w:r>
    </w:p>
    <w:p w14:paraId="0DE51D8A" w14:textId="77777777" w:rsidR="00306FC2" w:rsidRDefault="00306FC2" w:rsidP="008A3657">
      <w:pPr>
        <w:pStyle w:val="ListParagraph"/>
        <w:spacing w:line="360" w:lineRule="auto"/>
      </w:pPr>
    </w:p>
    <w:p w14:paraId="49DF1707" w14:textId="642D707C" w:rsidR="00D81584" w:rsidRDefault="00306FC2" w:rsidP="008A3657">
      <w:pPr>
        <w:pStyle w:val="ListParagraph"/>
        <w:numPr>
          <w:ilvl w:val="0"/>
          <w:numId w:val="4"/>
        </w:numPr>
        <w:spacing w:line="360" w:lineRule="auto"/>
      </w:pPr>
      <w:r>
        <w:t>Rawls, J. (1971) A Theory of Justice. Harvard University Press, Cambridge, MA.</w:t>
      </w:r>
    </w:p>
    <w:p w14:paraId="4F94969C" w14:textId="77777777" w:rsidR="00623D2D" w:rsidRDefault="00623D2D" w:rsidP="008A3657">
      <w:pPr>
        <w:pStyle w:val="ListParagraph"/>
        <w:spacing w:line="360" w:lineRule="auto"/>
      </w:pPr>
    </w:p>
    <w:p w14:paraId="7B2E3DA4" w14:textId="244DCE13" w:rsidR="00166F00" w:rsidRDefault="00623D2D" w:rsidP="008A3657">
      <w:pPr>
        <w:pStyle w:val="ListParagraph"/>
        <w:numPr>
          <w:ilvl w:val="0"/>
          <w:numId w:val="4"/>
        </w:numPr>
        <w:spacing w:line="360" w:lineRule="auto"/>
      </w:pPr>
      <w:r w:rsidRPr="00623D2D">
        <w:t>Schneider, S. (2014) </w:t>
      </w:r>
      <w:r w:rsidRPr="00623D2D">
        <w:rPr>
          <w:i/>
          <w:iCs/>
        </w:rPr>
        <w:t>Crime Prevention</w:t>
      </w:r>
      <w:r w:rsidRPr="00623D2D">
        <w:t>. 2nd ed</w:t>
      </w:r>
      <w:r>
        <w:t>it</w:t>
      </w:r>
      <w:r w:rsidR="00FC3B21">
        <w:t>io</w:t>
      </w:r>
      <w:r w:rsidRPr="00623D2D">
        <w:t xml:space="preserve">n. Routledge. Available at: https://www.perlego.com/book/1516177 (Accessed: </w:t>
      </w:r>
      <w:r w:rsidR="001C5BE4">
        <w:t>15</w:t>
      </w:r>
      <w:r w:rsidRPr="00623D2D">
        <w:t xml:space="preserve"> November 2024).</w:t>
      </w:r>
    </w:p>
    <w:p w14:paraId="1EB4C04D" w14:textId="77777777" w:rsidR="00306FC2" w:rsidRDefault="00306FC2" w:rsidP="008A3657">
      <w:pPr>
        <w:pStyle w:val="ListParagraph"/>
        <w:spacing w:line="360" w:lineRule="auto"/>
      </w:pPr>
    </w:p>
    <w:p w14:paraId="17420A6A" w14:textId="413A0E4A" w:rsidR="00306FC2" w:rsidRDefault="00306FC2" w:rsidP="008A3657">
      <w:pPr>
        <w:pStyle w:val="ListParagraph"/>
        <w:numPr>
          <w:ilvl w:val="0"/>
          <w:numId w:val="4"/>
        </w:numPr>
        <w:spacing w:line="360" w:lineRule="auto"/>
      </w:pPr>
      <w:r>
        <w:t xml:space="preserve">The Guardian (2021) George Floyd's murder and the worldwide change sparked by BLM. Available at: https://www.theguardian.com/us-news/2021/may/22/george-floyd-murder-change-across-world-blm (Accessed: </w:t>
      </w:r>
      <w:r w:rsidR="00E71831">
        <w:t>14</w:t>
      </w:r>
      <w:r>
        <w:t xml:space="preserve"> November 2024).</w:t>
      </w:r>
    </w:p>
    <w:p w14:paraId="5B964013" w14:textId="77777777" w:rsidR="00306FC2" w:rsidRDefault="00306FC2" w:rsidP="008A3657">
      <w:pPr>
        <w:pStyle w:val="ListParagraph"/>
        <w:spacing w:line="360" w:lineRule="auto"/>
      </w:pPr>
    </w:p>
    <w:p w14:paraId="78729A8A" w14:textId="0A5E8B3A" w:rsidR="0024395D" w:rsidRDefault="00306FC2" w:rsidP="008A3657">
      <w:pPr>
        <w:pStyle w:val="ListParagraph"/>
        <w:numPr>
          <w:ilvl w:val="0"/>
          <w:numId w:val="4"/>
        </w:numPr>
        <w:spacing w:line="360" w:lineRule="auto"/>
      </w:pPr>
      <w:r>
        <w:lastRenderedPageBreak/>
        <w:t xml:space="preserve">The Guardian (2024) Only 40% of people in England trust their police force, research reveals. Available at: https://www.theguardian.com/uk-news/2024/apr/18/only-40-of-people-in-england-trust-their-police-force-research-reveals (Accessed: </w:t>
      </w:r>
      <w:r w:rsidR="00532B53">
        <w:t>14</w:t>
      </w:r>
      <w:r>
        <w:t xml:space="preserve"> November 2024).</w:t>
      </w:r>
    </w:p>
    <w:p w14:paraId="177014ED" w14:textId="77777777" w:rsidR="002C54DF" w:rsidRDefault="002C54DF" w:rsidP="008A3657">
      <w:pPr>
        <w:pStyle w:val="ListParagraph"/>
        <w:spacing w:line="360" w:lineRule="auto"/>
      </w:pPr>
    </w:p>
    <w:p w14:paraId="65AC20B8" w14:textId="618194FE" w:rsidR="002C54DF" w:rsidRDefault="002C54DF" w:rsidP="008A3657">
      <w:pPr>
        <w:pStyle w:val="ListParagraph"/>
        <w:numPr>
          <w:ilvl w:val="0"/>
          <w:numId w:val="4"/>
        </w:numPr>
        <w:spacing w:line="360" w:lineRule="auto"/>
      </w:pPr>
      <w:r w:rsidRPr="002C54DF">
        <w:t>Tilley, N. and Farrell, G. (2013) </w:t>
      </w:r>
      <w:r w:rsidRPr="002C54DF">
        <w:rPr>
          <w:i/>
          <w:iCs/>
        </w:rPr>
        <w:t>The Reasoning Criminologist</w:t>
      </w:r>
      <w:r w:rsidRPr="002C54DF">
        <w:t>. 1st ed</w:t>
      </w:r>
      <w:r>
        <w:t>itio</w:t>
      </w:r>
      <w:r w:rsidRPr="002C54DF">
        <w:t>n. Routledge. Available at: https://www.perlego.com/book/1618577 (Accessed: 22 November 2024).</w:t>
      </w:r>
    </w:p>
    <w:p w14:paraId="733D123F" w14:textId="77777777" w:rsidR="00D81584" w:rsidRDefault="00D81584" w:rsidP="00D81584">
      <w:pPr>
        <w:pStyle w:val="ListParagraph"/>
      </w:pPr>
    </w:p>
    <w:p w14:paraId="6C38A77E" w14:textId="77777777" w:rsidR="006966B9" w:rsidRDefault="006966B9" w:rsidP="006966B9"/>
    <w:p w14:paraId="7759A0B6" w14:textId="77777777" w:rsidR="006966B9" w:rsidRDefault="006966B9" w:rsidP="006966B9"/>
    <w:p w14:paraId="2F7B5921" w14:textId="77777777" w:rsidR="006966B9" w:rsidRDefault="006966B9" w:rsidP="006966B9"/>
    <w:p w14:paraId="529B6A79" w14:textId="77777777" w:rsidR="006966B9" w:rsidRPr="00396323" w:rsidRDefault="006966B9" w:rsidP="006966B9"/>
    <w:p w14:paraId="16470093" w14:textId="77777777" w:rsidR="001526C1" w:rsidRPr="001526C1" w:rsidRDefault="001526C1">
      <w:pPr>
        <w:rPr>
          <w:sz w:val="24"/>
          <w:szCs w:val="24"/>
        </w:rPr>
      </w:pPr>
    </w:p>
    <w:sectPr w:rsidR="001526C1" w:rsidRPr="001526C1" w:rsidSect="002368A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41C9C"/>
    <w:multiLevelType w:val="hybridMultilevel"/>
    <w:tmpl w:val="7BBA13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1227870"/>
    <w:multiLevelType w:val="multilevel"/>
    <w:tmpl w:val="868E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C7203A"/>
    <w:multiLevelType w:val="hybridMultilevel"/>
    <w:tmpl w:val="34702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E110BA"/>
    <w:multiLevelType w:val="hybridMultilevel"/>
    <w:tmpl w:val="C0B21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4391340">
    <w:abstractNumId w:val="1"/>
  </w:num>
  <w:num w:numId="2" w16cid:durableId="2132700955">
    <w:abstractNumId w:val="2"/>
  </w:num>
  <w:num w:numId="3" w16cid:durableId="386689117">
    <w:abstractNumId w:val="0"/>
  </w:num>
  <w:num w:numId="4" w16cid:durableId="5599504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6C1"/>
    <w:rsid w:val="00057FDC"/>
    <w:rsid w:val="00064216"/>
    <w:rsid w:val="000964B6"/>
    <w:rsid w:val="000A71B9"/>
    <w:rsid w:val="001023F6"/>
    <w:rsid w:val="00105E1D"/>
    <w:rsid w:val="00121A85"/>
    <w:rsid w:val="00124AB2"/>
    <w:rsid w:val="001260B4"/>
    <w:rsid w:val="0013268E"/>
    <w:rsid w:val="0014390A"/>
    <w:rsid w:val="001526C1"/>
    <w:rsid w:val="00166F00"/>
    <w:rsid w:val="001852AB"/>
    <w:rsid w:val="001B46C0"/>
    <w:rsid w:val="001B4B1F"/>
    <w:rsid w:val="001C5BE4"/>
    <w:rsid w:val="00207453"/>
    <w:rsid w:val="00212495"/>
    <w:rsid w:val="00220E7D"/>
    <w:rsid w:val="002368A1"/>
    <w:rsid w:val="00237F89"/>
    <w:rsid w:val="0024395D"/>
    <w:rsid w:val="00244593"/>
    <w:rsid w:val="002571DF"/>
    <w:rsid w:val="002B2BEE"/>
    <w:rsid w:val="002C54DF"/>
    <w:rsid w:val="002D07A5"/>
    <w:rsid w:val="002F5526"/>
    <w:rsid w:val="00300E7E"/>
    <w:rsid w:val="003021D6"/>
    <w:rsid w:val="00306FC2"/>
    <w:rsid w:val="00335C5F"/>
    <w:rsid w:val="00352907"/>
    <w:rsid w:val="00371F61"/>
    <w:rsid w:val="003932B3"/>
    <w:rsid w:val="00396323"/>
    <w:rsid w:val="003963B5"/>
    <w:rsid w:val="003A2EB4"/>
    <w:rsid w:val="003C24C9"/>
    <w:rsid w:val="003D38FF"/>
    <w:rsid w:val="003E115C"/>
    <w:rsid w:val="003E7EF5"/>
    <w:rsid w:val="00400688"/>
    <w:rsid w:val="00421C71"/>
    <w:rsid w:val="00424713"/>
    <w:rsid w:val="00443E4F"/>
    <w:rsid w:val="004D45BB"/>
    <w:rsid w:val="004E06FA"/>
    <w:rsid w:val="004F187D"/>
    <w:rsid w:val="0051420A"/>
    <w:rsid w:val="00530493"/>
    <w:rsid w:val="00532B53"/>
    <w:rsid w:val="005A6A00"/>
    <w:rsid w:val="005D53A4"/>
    <w:rsid w:val="005E4940"/>
    <w:rsid w:val="005E4947"/>
    <w:rsid w:val="006002CB"/>
    <w:rsid w:val="00621EE5"/>
    <w:rsid w:val="00623D2D"/>
    <w:rsid w:val="00646796"/>
    <w:rsid w:val="00664651"/>
    <w:rsid w:val="00666860"/>
    <w:rsid w:val="006734AE"/>
    <w:rsid w:val="006966B9"/>
    <w:rsid w:val="006A3B78"/>
    <w:rsid w:val="006B4BFA"/>
    <w:rsid w:val="006B7D2E"/>
    <w:rsid w:val="006C37C7"/>
    <w:rsid w:val="006E36BE"/>
    <w:rsid w:val="006F0FF5"/>
    <w:rsid w:val="0071129B"/>
    <w:rsid w:val="00720B14"/>
    <w:rsid w:val="007640AD"/>
    <w:rsid w:val="00771DC6"/>
    <w:rsid w:val="007751E8"/>
    <w:rsid w:val="00781430"/>
    <w:rsid w:val="007A01E3"/>
    <w:rsid w:val="007C15A0"/>
    <w:rsid w:val="007E1E9A"/>
    <w:rsid w:val="00816531"/>
    <w:rsid w:val="008173E6"/>
    <w:rsid w:val="00822BA4"/>
    <w:rsid w:val="008456B0"/>
    <w:rsid w:val="00857D3E"/>
    <w:rsid w:val="008A302D"/>
    <w:rsid w:val="008A3657"/>
    <w:rsid w:val="008A663A"/>
    <w:rsid w:val="008B2BA4"/>
    <w:rsid w:val="008B3DA8"/>
    <w:rsid w:val="008B4092"/>
    <w:rsid w:val="008C56BB"/>
    <w:rsid w:val="008D40DB"/>
    <w:rsid w:val="00901E0B"/>
    <w:rsid w:val="00940C0B"/>
    <w:rsid w:val="00942142"/>
    <w:rsid w:val="00946248"/>
    <w:rsid w:val="00954C02"/>
    <w:rsid w:val="00966704"/>
    <w:rsid w:val="00967ED6"/>
    <w:rsid w:val="00971644"/>
    <w:rsid w:val="009A1468"/>
    <w:rsid w:val="009B72D6"/>
    <w:rsid w:val="009E310A"/>
    <w:rsid w:val="009F07AE"/>
    <w:rsid w:val="009F58A8"/>
    <w:rsid w:val="00A27B7F"/>
    <w:rsid w:val="00A47920"/>
    <w:rsid w:val="00A529DE"/>
    <w:rsid w:val="00A53233"/>
    <w:rsid w:val="00A5331E"/>
    <w:rsid w:val="00A54153"/>
    <w:rsid w:val="00A7547E"/>
    <w:rsid w:val="00A81589"/>
    <w:rsid w:val="00A93957"/>
    <w:rsid w:val="00A9535E"/>
    <w:rsid w:val="00AD48C2"/>
    <w:rsid w:val="00AE0BFF"/>
    <w:rsid w:val="00B37C63"/>
    <w:rsid w:val="00B40EAA"/>
    <w:rsid w:val="00B637D0"/>
    <w:rsid w:val="00BA21A6"/>
    <w:rsid w:val="00BA3392"/>
    <w:rsid w:val="00BA6CF2"/>
    <w:rsid w:val="00BD2364"/>
    <w:rsid w:val="00BF2E93"/>
    <w:rsid w:val="00BF70EF"/>
    <w:rsid w:val="00C36B08"/>
    <w:rsid w:val="00C50049"/>
    <w:rsid w:val="00C51771"/>
    <w:rsid w:val="00C5772D"/>
    <w:rsid w:val="00C63C9F"/>
    <w:rsid w:val="00C975EA"/>
    <w:rsid w:val="00CA6A28"/>
    <w:rsid w:val="00CC31E0"/>
    <w:rsid w:val="00CE7526"/>
    <w:rsid w:val="00CF39B7"/>
    <w:rsid w:val="00CF7922"/>
    <w:rsid w:val="00D11197"/>
    <w:rsid w:val="00D17C3C"/>
    <w:rsid w:val="00D2674E"/>
    <w:rsid w:val="00D36F91"/>
    <w:rsid w:val="00D553E4"/>
    <w:rsid w:val="00D65959"/>
    <w:rsid w:val="00D71A9C"/>
    <w:rsid w:val="00D81584"/>
    <w:rsid w:val="00DA0696"/>
    <w:rsid w:val="00DA5125"/>
    <w:rsid w:val="00DC1EA7"/>
    <w:rsid w:val="00DC2FC4"/>
    <w:rsid w:val="00DC5502"/>
    <w:rsid w:val="00DF0CAD"/>
    <w:rsid w:val="00E04EBF"/>
    <w:rsid w:val="00E17B52"/>
    <w:rsid w:val="00E637A1"/>
    <w:rsid w:val="00E71831"/>
    <w:rsid w:val="00E80459"/>
    <w:rsid w:val="00E84F8F"/>
    <w:rsid w:val="00EE5D4D"/>
    <w:rsid w:val="00EF0D22"/>
    <w:rsid w:val="00EF3D49"/>
    <w:rsid w:val="00EF6ED2"/>
    <w:rsid w:val="00F25A4B"/>
    <w:rsid w:val="00F87110"/>
    <w:rsid w:val="00FB3954"/>
    <w:rsid w:val="00FC3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651AF"/>
  <w15:chartTrackingRefBased/>
  <w15:docId w15:val="{F22DEBCB-ABC7-4AA6-AB99-6304E3092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6C1"/>
  </w:style>
  <w:style w:type="paragraph" w:styleId="Heading1">
    <w:name w:val="heading 1"/>
    <w:basedOn w:val="Normal"/>
    <w:next w:val="Normal"/>
    <w:link w:val="Heading1Char"/>
    <w:uiPriority w:val="9"/>
    <w:qFormat/>
    <w:rsid w:val="001526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26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26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26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26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26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26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26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26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26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26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26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26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26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26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26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26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26C1"/>
    <w:rPr>
      <w:rFonts w:eastAsiaTheme="majorEastAsia" w:cstheme="majorBidi"/>
      <w:color w:val="272727" w:themeColor="text1" w:themeTint="D8"/>
    </w:rPr>
  </w:style>
  <w:style w:type="paragraph" w:styleId="Title">
    <w:name w:val="Title"/>
    <w:basedOn w:val="Normal"/>
    <w:next w:val="Normal"/>
    <w:link w:val="TitleChar"/>
    <w:uiPriority w:val="10"/>
    <w:qFormat/>
    <w:rsid w:val="001526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26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26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26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26C1"/>
    <w:pPr>
      <w:spacing w:before="160"/>
      <w:jc w:val="center"/>
    </w:pPr>
    <w:rPr>
      <w:i/>
      <w:iCs/>
      <w:color w:val="404040" w:themeColor="text1" w:themeTint="BF"/>
    </w:rPr>
  </w:style>
  <w:style w:type="character" w:customStyle="1" w:styleId="QuoteChar">
    <w:name w:val="Quote Char"/>
    <w:basedOn w:val="DefaultParagraphFont"/>
    <w:link w:val="Quote"/>
    <w:uiPriority w:val="29"/>
    <w:rsid w:val="001526C1"/>
    <w:rPr>
      <w:i/>
      <w:iCs/>
      <w:color w:val="404040" w:themeColor="text1" w:themeTint="BF"/>
    </w:rPr>
  </w:style>
  <w:style w:type="paragraph" w:styleId="ListParagraph">
    <w:name w:val="List Paragraph"/>
    <w:basedOn w:val="Normal"/>
    <w:uiPriority w:val="34"/>
    <w:qFormat/>
    <w:rsid w:val="001526C1"/>
    <w:pPr>
      <w:ind w:left="720"/>
      <w:contextualSpacing/>
    </w:pPr>
  </w:style>
  <w:style w:type="character" w:styleId="IntenseEmphasis">
    <w:name w:val="Intense Emphasis"/>
    <w:basedOn w:val="DefaultParagraphFont"/>
    <w:uiPriority w:val="21"/>
    <w:qFormat/>
    <w:rsid w:val="001526C1"/>
    <w:rPr>
      <w:i/>
      <w:iCs/>
      <w:color w:val="0F4761" w:themeColor="accent1" w:themeShade="BF"/>
    </w:rPr>
  </w:style>
  <w:style w:type="paragraph" w:styleId="IntenseQuote">
    <w:name w:val="Intense Quote"/>
    <w:basedOn w:val="Normal"/>
    <w:next w:val="Normal"/>
    <w:link w:val="IntenseQuoteChar"/>
    <w:uiPriority w:val="30"/>
    <w:qFormat/>
    <w:rsid w:val="001526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26C1"/>
    <w:rPr>
      <w:i/>
      <w:iCs/>
      <w:color w:val="0F4761" w:themeColor="accent1" w:themeShade="BF"/>
    </w:rPr>
  </w:style>
  <w:style w:type="character" w:styleId="IntenseReference">
    <w:name w:val="Intense Reference"/>
    <w:basedOn w:val="DefaultParagraphFont"/>
    <w:uiPriority w:val="32"/>
    <w:qFormat/>
    <w:rsid w:val="001526C1"/>
    <w:rPr>
      <w:b/>
      <w:bCs/>
      <w:smallCaps/>
      <w:color w:val="0F4761" w:themeColor="accent1" w:themeShade="BF"/>
      <w:spacing w:val="5"/>
    </w:rPr>
  </w:style>
  <w:style w:type="paragraph" w:styleId="NormalWeb">
    <w:name w:val="Normal (Web)"/>
    <w:basedOn w:val="Normal"/>
    <w:uiPriority w:val="99"/>
    <w:semiHidden/>
    <w:unhideWhenUsed/>
    <w:rsid w:val="001526C1"/>
    <w:rPr>
      <w:rFonts w:ascii="Times New Roman" w:hAnsi="Times New Roman" w:cs="Times New Roman"/>
      <w:sz w:val="24"/>
      <w:szCs w:val="24"/>
    </w:rPr>
  </w:style>
  <w:style w:type="character" w:styleId="Hyperlink">
    <w:name w:val="Hyperlink"/>
    <w:basedOn w:val="DefaultParagraphFont"/>
    <w:uiPriority w:val="99"/>
    <w:unhideWhenUsed/>
    <w:rsid w:val="00646796"/>
    <w:rPr>
      <w:color w:val="467886" w:themeColor="hyperlink"/>
      <w:u w:val="single"/>
    </w:rPr>
  </w:style>
  <w:style w:type="character" w:styleId="UnresolvedMention">
    <w:name w:val="Unresolved Mention"/>
    <w:basedOn w:val="DefaultParagraphFont"/>
    <w:uiPriority w:val="99"/>
    <w:semiHidden/>
    <w:unhideWhenUsed/>
    <w:rsid w:val="00646796"/>
    <w:rPr>
      <w:color w:val="605E5C"/>
      <w:shd w:val="clear" w:color="auto" w:fill="E1DFDD"/>
    </w:rPr>
  </w:style>
  <w:style w:type="paragraph" w:styleId="NoSpacing">
    <w:name w:val="No Spacing"/>
    <w:link w:val="NoSpacingChar"/>
    <w:uiPriority w:val="1"/>
    <w:qFormat/>
    <w:rsid w:val="002368A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368A1"/>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65460">
      <w:bodyDiv w:val="1"/>
      <w:marLeft w:val="0"/>
      <w:marRight w:val="0"/>
      <w:marTop w:val="0"/>
      <w:marBottom w:val="0"/>
      <w:divBdr>
        <w:top w:val="none" w:sz="0" w:space="0" w:color="auto"/>
        <w:left w:val="none" w:sz="0" w:space="0" w:color="auto"/>
        <w:bottom w:val="none" w:sz="0" w:space="0" w:color="auto"/>
        <w:right w:val="none" w:sz="0" w:space="0" w:color="auto"/>
      </w:divBdr>
    </w:div>
    <w:div w:id="140972502">
      <w:bodyDiv w:val="1"/>
      <w:marLeft w:val="0"/>
      <w:marRight w:val="0"/>
      <w:marTop w:val="0"/>
      <w:marBottom w:val="0"/>
      <w:divBdr>
        <w:top w:val="none" w:sz="0" w:space="0" w:color="auto"/>
        <w:left w:val="none" w:sz="0" w:space="0" w:color="auto"/>
        <w:bottom w:val="none" w:sz="0" w:space="0" w:color="auto"/>
        <w:right w:val="none" w:sz="0" w:space="0" w:color="auto"/>
      </w:divBdr>
    </w:div>
    <w:div w:id="168721880">
      <w:bodyDiv w:val="1"/>
      <w:marLeft w:val="0"/>
      <w:marRight w:val="0"/>
      <w:marTop w:val="0"/>
      <w:marBottom w:val="0"/>
      <w:divBdr>
        <w:top w:val="none" w:sz="0" w:space="0" w:color="auto"/>
        <w:left w:val="none" w:sz="0" w:space="0" w:color="auto"/>
        <w:bottom w:val="none" w:sz="0" w:space="0" w:color="auto"/>
        <w:right w:val="none" w:sz="0" w:space="0" w:color="auto"/>
      </w:divBdr>
    </w:div>
    <w:div w:id="195435168">
      <w:bodyDiv w:val="1"/>
      <w:marLeft w:val="0"/>
      <w:marRight w:val="0"/>
      <w:marTop w:val="0"/>
      <w:marBottom w:val="0"/>
      <w:divBdr>
        <w:top w:val="none" w:sz="0" w:space="0" w:color="auto"/>
        <w:left w:val="none" w:sz="0" w:space="0" w:color="auto"/>
        <w:bottom w:val="none" w:sz="0" w:space="0" w:color="auto"/>
        <w:right w:val="none" w:sz="0" w:space="0" w:color="auto"/>
      </w:divBdr>
    </w:div>
    <w:div w:id="251860839">
      <w:bodyDiv w:val="1"/>
      <w:marLeft w:val="0"/>
      <w:marRight w:val="0"/>
      <w:marTop w:val="0"/>
      <w:marBottom w:val="0"/>
      <w:divBdr>
        <w:top w:val="none" w:sz="0" w:space="0" w:color="auto"/>
        <w:left w:val="none" w:sz="0" w:space="0" w:color="auto"/>
        <w:bottom w:val="none" w:sz="0" w:space="0" w:color="auto"/>
        <w:right w:val="none" w:sz="0" w:space="0" w:color="auto"/>
      </w:divBdr>
    </w:div>
    <w:div w:id="277837722">
      <w:bodyDiv w:val="1"/>
      <w:marLeft w:val="0"/>
      <w:marRight w:val="0"/>
      <w:marTop w:val="0"/>
      <w:marBottom w:val="0"/>
      <w:divBdr>
        <w:top w:val="none" w:sz="0" w:space="0" w:color="auto"/>
        <w:left w:val="none" w:sz="0" w:space="0" w:color="auto"/>
        <w:bottom w:val="none" w:sz="0" w:space="0" w:color="auto"/>
        <w:right w:val="none" w:sz="0" w:space="0" w:color="auto"/>
      </w:divBdr>
    </w:div>
    <w:div w:id="397020333">
      <w:bodyDiv w:val="1"/>
      <w:marLeft w:val="0"/>
      <w:marRight w:val="0"/>
      <w:marTop w:val="0"/>
      <w:marBottom w:val="0"/>
      <w:divBdr>
        <w:top w:val="none" w:sz="0" w:space="0" w:color="auto"/>
        <w:left w:val="none" w:sz="0" w:space="0" w:color="auto"/>
        <w:bottom w:val="none" w:sz="0" w:space="0" w:color="auto"/>
        <w:right w:val="none" w:sz="0" w:space="0" w:color="auto"/>
      </w:divBdr>
      <w:divsChild>
        <w:div w:id="557515179">
          <w:marLeft w:val="0"/>
          <w:marRight w:val="0"/>
          <w:marTop w:val="0"/>
          <w:marBottom w:val="0"/>
          <w:divBdr>
            <w:top w:val="none" w:sz="0" w:space="0" w:color="auto"/>
            <w:left w:val="none" w:sz="0" w:space="0" w:color="auto"/>
            <w:bottom w:val="none" w:sz="0" w:space="0" w:color="auto"/>
            <w:right w:val="none" w:sz="0" w:space="0" w:color="auto"/>
          </w:divBdr>
        </w:div>
      </w:divsChild>
    </w:div>
    <w:div w:id="520825661">
      <w:bodyDiv w:val="1"/>
      <w:marLeft w:val="0"/>
      <w:marRight w:val="0"/>
      <w:marTop w:val="0"/>
      <w:marBottom w:val="0"/>
      <w:divBdr>
        <w:top w:val="none" w:sz="0" w:space="0" w:color="auto"/>
        <w:left w:val="none" w:sz="0" w:space="0" w:color="auto"/>
        <w:bottom w:val="none" w:sz="0" w:space="0" w:color="auto"/>
        <w:right w:val="none" w:sz="0" w:space="0" w:color="auto"/>
      </w:divBdr>
    </w:div>
    <w:div w:id="541751149">
      <w:bodyDiv w:val="1"/>
      <w:marLeft w:val="0"/>
      <w:marRight w:val="0"/>
      <w:marTop w:val="0"/>
      <w:marBottom w:val="0"/>
      <w:divBdr>
        <w:top w:val="none" w:sz="0" w:space="0" w:color="auto"/>
        <w:left w:val="none" w:sz="0" w:space="0" w:color="auto"/>
        <w:bottom w:val="none" w:sz="0" w:space="0" w:color="auto"/>
        <w:right w:val="none" w:sz="0" w:space="0" w:color="auto"/>
      </w:divBdr>
      <w:divsChild>
        <w:div w:id="1561163979">
          <w:marLeft w:val="0"/>
          <w:marRight w:val="0"/>
          <w:marTop w:val="0"/>
          <w:marBottom w:val="0"/>
          <w:divBdr>
            <w:top w:val="none" w:sz="0" w:space="0" w:color="auto"/>
            <w:left w:val="none" w:sz="0" w:space="0" w:color="auto"/>
            <w:bottom w:val="none" w:sz="0" w:space="0" w:color="auto"/>
            <w:right w:val="none" w:sz="0" w:space="0" w:color="auto"/>
          </w:divBdr>
        </w:div>
      </w:divsChild>
    </w:div>
    <w:div w:id="558444701">
      <w:bodyDiv w:val="1"/>
      <w:marLeft w:val="0"/>
      <w:marRight w:val="0"/>
      <w:marTop w:val="0"/>
      <w:marBottom w:val="0"/>
      <w:divBdr>
        <w:top w:val="none" w:sz="0" w:space="0" w:color="auto"/>
        <w:left w:val="none" w:sz="0" w:space="0" w:color="auto"/>
        <w:bottom w:val="none" w:sz="0" w:space="0" w:color="auto"/>
        <w:right w:val="none" w:sz="0" w:space="0" w:color="auto"/>
      </w:divBdr>
    </w:div>
    <w:div w:id="705983167">
      <w:bodyDiv w:val="1"/>
      <w:marLeft w:val="0"/>
      <w:marRight w:val="0"/>
      <w:marTop w:val="0"/>
      <w:marBottom w:val="0"/>
      <w:divBdr>
        <w:top w:val="none" w:sz="0" w:space="0" w:color="auto"/>
        <w:left w:val="none" w:sz="0" w:space="0" w:color="auto"/>
        <w:bottom w:val="none" w:sz="0" w:space="0" w:color="auto"/>
        <w:right w:val="none" w:sz="0" w:space="0" w:color="auto"/>
      </w:divBdr>
      <w:divsChild>
        <w:div w:id="1476291990">
          <w:marLeft w:val="0"/>
          <w:marRight w:val="0"/>
          <w:marTop w:val="0"/>
          <w:marBottom w:val="0"/>
          <w:divBdr>
            <w:top w:val="none" w:sz="0" w:space="0" w:color="auto"/>
            <w:left w:val="none" w:sz="0" w:space="0" w:color="auto"/>
            <w:bottom w:val="none" w:sz="0" w:space="0" w:color="auto"/>
            <w:right w:val="none" w:sz="0" w:space="0" w:color="auto"/>
          </w:divBdr>
        </w:div>
      </w:divsChild>
    </w:div>
    <w:div w:id="820998637">
      <w:bodyDiv w:val="1"/>
      <w:marLeft w:val="0"/>
      <w:marRight w:val="0"/>
      <w:marTop w:val="0"/>
      <w:marBottom w:val="0"/>
      <w:divBdr>
        <w:top w:val="none" w:sz="0" w:space="0" w:color="auto"/>
        <w:left w:val="none" w:sz="0" w:space="0" w:color="auto"/>
        <w:bottom w:val="none" w:sz="0" w:space="0" w:color="auto"/>
        <w:right w:val="none" w:sz="0" w:space="0" w:color="auto"/>
      </w:divBdr>
    </w:div>
    <w:div w:id="846747978">
      <w:bodyDiv w:val="1"/>
      <w:marLeft w:val="0"/>
      <w:marRight w:val="0"/>
      <w:marTop w:val="0"/>
      <w:marBottom w:val="0"/>
      <w:divBdr>
        <w:top w:val="none" w:sz="0" w:space="0" w:color="auto"/>
        <w:left w:val="none" w:sz="0" w:space="0" w:color="auto"/>
        <w:bottom w:val="none" w:sz="0" w:space="0" w:color="auto"/>
        <w:right w:val="none" w:sz="0" w:space="0" w:color="auto"/>
      </w:divBdr>
    </w:div>
    <w:div w:id="970286552">
      <w:bodyDiv w:val="1"/>
      <w:marLeft w:val="0"/>
      <w:marRight w:val="0"/>
      <w:marTop w:val="0"/>
      <w:marBottom w:val="0"/>
      <w:divBdr>
        <w:top w:val="none" w:sz="0" w:space="0" w:color="auto"/>
        <w:left w:val="none" w:sz="0" w:space="0" w:color="auto"/>
        <w:bottom w:val="none" w:sz="0" w:space="0" w:color="auto"/>
        <w:right w:val="none" w:sz="0" w:space="0" w:color="auto"/>
      </w:divBdr>
    </w:div>
    <w:div w:id="1057360841">
      <w:bodyDiv w:val="1"/>
      <w:marLeft w:val="0"/>
      <w:marRight w:val="0"/>
      <w:marTop w:val="0"/>
      <w:marBottom w:val="0"/>
      <w:divBdr>
        <w:top w:val="none" w:sz="0" w:space="0" w:color="auto"/>
        <w:left w:val="none" w:sz="0" w:space="0" w:color="auto"/>
        <w:bottom w:val="none" w:sz="0" w:space="0" w:color="auto"/>
        <w:right w:val="none" w:sz="0" w:space="0" w:color="auto"/>
      </w:divBdr>
    </w:div>
    <w:div w:id="1244952052">
      <w:bodyDiv w:val="1"/>
      <w:marLeft w:val="0"/>
      <w:marRight w:val="0"/>
      <w:marTop w:val="0"/>
      <w:marBottom w:val="0"/>
      <w:divBdr>
        <w:top w:val="none" w:sz="0" w:space="0" w:color="auto"/>
        <w:left w:val="none" w:sz="0" w:space="0" w:color="auto"/>
        <w:bottom w:val="none" w:sz="0" w:space="0" w:color="auto"/>
        <w:right w:val="none" w:sz="0" w:space="0" w:color="auto"/>
      </w:divBdr>
    </w:div>
    <w:div w:id="1267468836">
      <w:bodyDiv w:val="1"/>
      <w:marLeft w:val="0"/>
      <w:marRight w:val="0"/>
      <w:marTop w:val="0"/>
      <w:marBottom w:val="0"/>
      <w:divBdr>
        <w:top w:val="none" w:sz="0" w:space="0" w:color="auto"/>
        <w:left w:val="none" w:sz="0" w:space="0" w:color="auto"/>
        <w:bottom w:val="none" w:sz="0" w:space="0" w:color="auto"/>
        <w:right w:val="none" w:sz="0" w:space="0" w:color="auto"/>
      </w:divBdr>
      <w:divsChild>
        <w:div w:id="1131943736">
          <w:marLeft w:val="0"/>
          <w:marRight w:val="0"/>
          <w:marTop w:val="0"/>
          <w:marBottom w:val="0"/>
          <w:divBdr>
            <w:top w:val="none" w:sz="0" w:space="0" w:color="auto"/>
            <w:left w:val="none" w:sz="0" w:space="0" w:color="auto"/>
            <w:bottom w:val="none" w:sz="0" w:space="0" w:color="auto"/>
            <w:right w:val="none" w:sz="0" w:space="0" w:color="auto"/>
          </w:divBdr>
        </w:div>
      </w:divsChild>
    </w:div>
    <w:div w:id="1282298265">
      <w:bodyDiv w:val="1"/>
      <w:marLeft w:val="0"/>
      <w:marRight w:val="0"/>
      <w:marTop w:val="0"/>
      <w:marBottom w:val="0"/>
      <w:divBdr>
        <w:top w:val="none" w:sz="0" w:space="0" w:color="auto"/>
        <w:left w:val="none" w:sz="0" w:space="0" w:color="auto"/>
        <w:bottom w:val="none" w:sz="0" w:space="0" w:color="auto"/>
        <w:right w:val="none" w:sz="0" w:space="0" w:color="auto"/>
      </w:divBdr>
    </w:div>
    <w:div w:id="1373962720">
      <w:bodyDiv w:val="1"/>
      <w:marLeft w:val="0"/>
      <w:marRight w:val="0"/>
      <w:marTop w:val="0"/>
      <w:marBottom w:val="0"/>
      <w:divBdr>
        <w:top w:val="none" w:sz="0" w:space="0" w:color="auto"/>
        <w:left w:val="none" w:sz="0" w:space="0" w:color="auto"/>
        <w:bottom w:val="none" w:sz="0" w:space="0" w:color="auto"/>
        <w:right w:val="none" w:sz="0" w:space="0" w:color="auto"/>
      </w:divBdr>
    </w:div>
    <w:div w:id="1445808048">
      <w:bodyDiv w:val="1"/>
      <w:marLeft w:val="0"/>
      <w:marRight w:val="0"/>
      <w:marTop w:val="0"/>
      <w:marBottom w:val="0"/>
      <w:divBdr>
        <w:top w:val="none" w:sz="0" w:space="0" w:color="auto"/>
        <w:left w:val="none" w:sz="0" w:space="0" w:color="auto"/>
        <w:bottom w:val="none" w:sz="0" w:space="0" w:color="auto"/>
        <w:right w:val="none" w:sz="0" w:space="0" w:color="auto"/>
      </w:divBdr>
      <w:divsChild>
        <w:div w:id="1701587356">
          <w:marLeft w:val="0"/>
          <w:marRight w:val="0"/>
          <w:marTop w:val="0"/>
          <w:marBottom w:val="0"/>
          <w:divBdr>
            <w:top w:val="none" w:sz="0" w:space="0" w:color="auto"/>
            <w:left w:val="none" w:sz="0" w:space="0" w:color="auto"/>
            <w:bottom w:val="none" w:sz="0" w:space="0" w:color="auto"/>
            <w:right w:val="none" w:sz="0" w:space="0" w:color="auto"/>
          </w:divBdr>
          <w:divsChild>
            <w:div w:id="605582567">
              <w:marLeft w:val="0"/>
              <w:marRight w:val="0"/>
              <w:marTop w:val="0"/>
              <w:marBottom w:val="0"/>
              <w:divBdr>
                <w:top w:val="none" w:sz="0" w:space="0" w:color="auto"/>
                <w:left w:val="none" w:sz="0" w:space="0" w:color="auto"/>
                <w:bottom w:val="none" w:sz="0" w:space="0" w:color="auto"/>
                <w:right w:val="none" w:sz="0" w:space="0" w:color="auto"/>
              </w:divBdr>
              <w:divsChild>
                <w:div w:id="2093811453">
                  <w:marLeft w:val="0"/>
                  <w:marRight w:val="0"/>
                  <w:marTop w:val="0"/>
                  <w:marBottom w:val="0"/>
                  <w:divBdr>
                    <w:top w:val="none" w:sz="0" w:space="0" w:color="auto"/>
                    <w:left w:val="none" w:sz="0" w:space="0" w:color="auto"/>
                    <w:bottom w:val="none" w:sz="0" w:space="0" w:color="auto"/>
                    <w:right w:val="none" w:sz="0" w:space="0" w:color="auto"/>
                  </w:divBdr>
                  <w:divsChild>
                    <w:div w:id="1941524205">
                      <w:marLeft w:val="0"/>
                      <w:marRight w:val="0"/>
                      <w:marTop w:val="0"/>
                      <w:marBottom w:val="0"/>
                      <w:divBdr>
                        <w:top w:val="none" w:sz="0" w:space="0" w:color="auto"/>
                        <w:left w:val="none" w:sz="0" w:space="0" w:color="auto"/>
                        <w:bottom w:val="none" w:sz="0" w:space="0" w:color="auto"/>
                        <w:right w:val="none" w:sz="0" w:space="0" w:color="auto"/>
                      </w:divBdr>
                      <w:divsChild>
                        <w:div w:id="1804955609">
                          <w:marLeft w:val="0"/>
                          <w:marRight w:val="0"/>
                          <w:marTop w:val="0"/>
                          <w:marBottom w:val="0"/>
                          <w:divBdr>
                            <w:top w:val="none" w:sz="0" w:space="0" w:color="auto"/>
                            <w:left w:val="none" w:sz="0" w:space="0" w:color="auto"/>
                            <w:bottom w:val="none" w:sz="0" w:space="0" w:color="auto"/>
                            <w:right w:val="none" w:sz="0" w:space="0" w:color="auto"/>
                          </w:divBdr>
                          <w:divsChild>
                            <w:div w:id="209821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2213103">
      <w:bodyDiv w:val="1"/>
      <w:marLeft w:val="0"/>
      <w:marRight w:val="0"/>
      <w:marTop w:val="0"/>
      <w:marBottom w:val="0"/>
      <w:divBdr>
        <w:top w:val="none" w:sz="0" w:space="0" w:color="auto"/>
        <w:left w:val="none" w:sz="0" w:space="0" w:color="auto"/>
        <w:bottom w:val="none" w:sz="0" w:space="0" w:color="auto"/>
        <w:right w:val="none" w:sz="0" w:space="0" w:color="auto"/>
      </w:divBdr>
      <w:divsChild>
        <w:div w:id="1806115584">
          <w:marLeft w:val="0"/>
          <w:marRight w:val="0"/>
          <w:marTop w:val="0"/>
          <w:marBottom w:val="0"/>
          <w:divBdr>
            <w:top w:val="none" w:sz="0" w:space="0" w:color="auto"/>
            <w:left w:val="none" w:sz="0" w:space="0" w:color="auto"/>
            <w:bottom w:val="none" w:sz="0" w:space="0" w:color="auto"/>
            <w:right w:val="none" w:sz="0" w:space="0" w:color="auto"/>
          </w:divBdr>
          <w:divsChild>
            <w:div w:id="1275213907">
              <w:marLeft w:val="0"/>
              <w:marRight w:val="0"/>
              <w:marTop w:val="0"/>
              <w:marBottom w:val="0"/>
              <w:divBdr>
                <w:top w:val="none" w:sz="0" w:space="0" w:color="auto"/>
                <w:left w:val="none" w:sz="0" w:space="0" w:color="auto"/>
                <w:bottom w:val="none" w:sz="0" w:space="0" w:color="auto"/>
                <w:right w:val="none" w:sz="0" w:space="0" w:color="auto"/>
              </w:divBdr>
              <w:divsChild>
                <w:div w:id="1006521181">
                  <w:marLeft w:val="0"/>
                  <w:marRight w:val="0"/>
                  <w:marTop w:val="0"/>
                  <w:marBottom w:val="0"/>
                  <w:divBdr>
                    <w:top w:val="none" w:sz="0" w:space="0" w:color="auto"/>
                    <w:left w:val="none" w:sz="0" w:space="0" w:color="auto"/>
                    <w:bottom w:val="none" w:sz="0" w:space="0" w:color="auto"/>
                    <w:right w:val="none" w:sz="0" w:space="0" w:color="auto"/>
                  </w:divBdr>
                  <w:divsChild>
                    <w:div w:id="328825342">
                      <w:marLeft w:val="0"/>
                      <w:marRight w:val="0"/>
                      <w:marTop w:val="0"/>
                      <w:marBottom w:val="0"/>
                      <w:divBdr>
                        <w:top w:val="none" w:sz="0" w:space="0" w:color="auto"/>
                        <w:left w:val="none" w:sz="0" w:space="0" w:color="auto"/>
                        <w:bottom w:val="none" w:sz="0" w:space="0" w:color="auto"/>
                        <w:right w:val="none" w:sz="0" w:space="0" w:color="auto"/>
                      </w:divBdr>
                      <w:divsChild>
                        <w:div w:id="313416854">
                          <w:marLeft w:val="0"/>
                          <w:marRight w:val="0"/>
                          <w:marTop w:val="0"/>
                          <w:marBottom w:val="0"/>
                          <w:divBdr>
                            <w:top w:val="none" w:sz="0" w:space="0" w:color="auto"/>
                            <w:left w:val="none" w:sz="0" w:space="0" w:color="auto"/>
                            <w:bottom w:val="none" w:sz="0" w:space="0" w:color="auto"/>
                            <w:right w:val="none" w:sz="0" w:space="0" w:color="auto"/>
                          </w:divBdr>
                          <w:divsChild>
                            <w:div w:id="21380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7677831">
      <w:bodyDiv w:val="1"/>
      <w:marLeft w:val="0"/>
      <w:marRight w:val="0"/>
      <w:marTop w:val="0"/>
      <w:marBottom w:val="0"/>
      <w:divBdr>
        <w:top w:val="none" w:sz="0" w:space="0" w:color="auto"/>
        <w:left w:val="none" w:sz="0" w:space="0" w:color="auto"/>
        <w:bottom w:val="none" w:sz="0" w:space="0" w:color="auto"/>
        <w:right w:val="none" w:sz="0" w:space="0" w:color="auto"/>
      </w:divBdr>
    </w:div>
    <w:div w:id="1542597356">
      <w:bodyDiv w:val="1"/>
      <w:marLeft w:val="0"/>
      <w:marRight w:val="0"/>
      <w:marTop w:val="0"/>
      <w:marBottom w:val="0"/>
      <w:divBdr>
        <w:top w:val="none" w:sz="0" w:space="0" w:color="auto"/>
        <w:left w:val="none" w:sz="0" w:space="0" w:color="auto"/>
        <w:bottom w:val="none" w:sz="0" w:space="0" w:color="auto"/>
        <w:right w:val="none" w:sz="0" w:space="0" w:color="auto"/>
      </w:divBdr>
    </w:div>
    <w:div w:id="1706633175">
      <w:bodyDiv w:val="1"/>
      <w:marLeft w:val="0"/>
      <w:marRight w:val="0"/>
      <w:marTop w:val="0"/>
      <w:marBottom w:val="0"/>
      <w:divBdr>
        <w:top w:val="none" w:sz="0" w:space="0" w:color="auto"/>
        <w:left w:val="none" w:sz="0" w:space="0" w:color="auto"/>
        <w:bottom w:val="none" w:sz="0" w:space="0" w:color="auto"/>
        <w:right w:val="none" w:sz="0" w:space="0" w:color="auto"/>
      </w:divBdr>
    </w:div>
    <w:div w:id="180102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B3BEA-68F0-49A2-8D83-8B5182D48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2193</Words>
  <Characters>13492</Characters>
  <Application>Microsoft Office Word</Application>
  <DocSecurity>0</DocSecurity>
  <Lines>264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the public: community consent v. government control</dc:title>
  <dc:subject/>
  <dc:creator>Ffion Jones</dc:creator>
  <cp:keywords/>
  <dc:description/>
  <cp:lastModifiedBy>Ffion Jones</cp:lastModifiedBy>
  <cp:revision>8</cp:revision>
  <dcterms:created xsi:type="dcterms:W3CDTF">2024-11-22T20:59:00Z</dcterms:created>
  <dcterms:modified xsi:type="dcterms:W3CDTF">2024-11-22T22:11:00Z</dcterms:modified>
</cp:coreProperties>
</file>