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124F1A">
    <v:background id="_x0000_s1025" o:bwmode="white" fillcolor="#124f1a" o:targetscreensize="1024,768">
      <v:fill color2="fill darken(118)" method="linear sigma" focus="-50%" type="gradient"/>
    </v:background>
  </w:background>
  <w:body>
    <w:p w14:paraId="7A74A032" w14:textId="578D07F3" w:rsidR="003A2F4E" w:rsidRPr="00F95863" w:rsidRDefault="00AD0B95" w:rsidP="00F95863">
      <w:r>
        <w:rPr>
          <w:noProof/>
        </w:rPr>
        <w:drawing>
          <wp:anchor distT="0" distB="0" distL="114300" distR="114300" simplePos="0" relativeHeight="251671552" behindDoc="1" locked="0" layoutInCell="1" allowOverlap="1" wp14:anchorId="5C0EAAD3" wp14:editId="4787353C">
            <wp:simplePos x="0" y="0"/>
            <wp:positionH relativeFrom="margin">
              <wp:posOffset>4366260</wp:posOffset>
            </wp:positionH>
            <wp:positionV relativeFrom="page">
              <wp:posOffset>8869680</wp:posOffset>
            </wp:positionV>
            <wp:extent cx="1874520" cy="1432560"/>
            <wp:effectExtent l="0" t="0" r="0" b="0"/>
            <wp:wrapTight wrapText="bothSides">
              <wp:wrapPolygon edited="0">
                <wp:start x="0" y="0"/>
                <wp:lineTo x="0" y="21255"/>
                <wp:lineTo x="21293" y="21255"/>
                <wp:lineTo x="21293" y="0"/>
                <wp:lineTo x="0" y="0"/>
              </wp:wrapPolygon>
            </wp:wrapTight>
            <wp:docPr id="28473753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74520" cy="143256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1" locked="0" layoutInCell="1" allowOverlap="1" wp14:anchorId="3C0864FE" wp14:editId="263AE143">
            <wp:simplePos x="0" y="0"/>
            <wp:positionH relativeFrom="column">
              <wp:posOffset>2560320</wp:posOffset>
            </wp:positionH>
            <wp:positionV relativeFrom="margin">
              <wp:posOffset>7962900</wp:posOffset>
            </wp:positionV>
            <wp:extent cx="1767840" cy="1409700"/>
            <wp:effectExtent l="0" t="0" r="3810" b="0"/>
            <wp:wrapTight wrapText="bothSides">
              <wp:wrapPolygon edited="0">
                <wp:start x="0" y="0"/>
                <wp:lineTo x="0" y="21308"/>
                <wp:lineTo x="21414" y="21308"/>
                <wp:lineTo x="21414" y="0"/>
                <wp:lineTo x="0" y="0"/>
              </wp:wrapPolygon>
            </wp:wrapTight>
            <wp:docPr id="1837805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67840" cy="1409700"/>
                    </a:xfrm>
                    <a:prstGeom prst="rect">
                      <a:avLst/>
                    </a:prstGeom>
                    <a:noFill/>
                  </pic:spPr>
                </pic:pic>
              </a:graphicData>
            </a:graphic>
            <wp14:sizeRelH relativeFrom="margin">
              <wp14:pctWidth>0</wp14:pctWidth>
            </wp14:sizeRelH>
            <wp14:sizeRelV relativeFrom="margin">
              <wp14:pctHeight>0</wp14:pctHeight>
            </wp14:sizeRelV>
          </wp:anchor>
        </w:drawing>
      </w:r>
      <w:r w:rsidR="00294D60">
        <w:rPr>
          <w:noProof/>
        </w:rPr>
        <w:drawing>
          <wp:anchor distT="0" distB="0" distL="114300" distR="114300" simplePos="0" relativeHeight="251669504" behindDoc="1" locked="0" layoutInCell="1" allowOverlap="1" wp14:anchorId="26937367" wp14:editId="4654D9F8">
            <wp:simplePos x="0" y="0"/>
            <wp:positionH relativeFrom="column">
              <wp:posOffset>-518160</wp:posOffset>
            </wp:positionH>
            <wp:positionV relativeFrom="topMargin">
              <wp:align>bottom</wp:align>
            </wp:positionV>
            <wp:extent cx="845820" cy="533400"/>
            <wp:effectExtent l="0" t="0" r="0" b="0"/>
            <wp:wrapTight wrapText="bothSides">
              <wp:wrapPolygon edited="0">
                <wp:start x="0" y="0"/>
                <wp:lineTo x="0" y="20829"/>
                <wp:lineTo x="20919" y="20829"/>
                <wp:lineTo x="20919" y="0"/>
                <wp:lineTo x="0" y="0"/>
              </wp:wrapPolygon>
            </wp:wrapTight>
            <wp:docPr id="508476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845820" cy="533400"/>
                    </a:xfrm>
                    <a:prstGeom prst="rect">
                      <a:avLst/>
                    </a:prstGeom>
                    <a:noFill/>
                  </pic:spPr>
                </pic:pic>
              </a:graphicData>
            </a:graphic>
            <wp14:sizeRelH relativeFrom="margin">
              <wp14:pctWidth>0</wp14:pctWidth>
            </wp14:sizeRelH>
            <wp14:sizeRelV relativeFrom="margin">
              <wp14:pctHeight>0</wp14:pctHeight>
            </wp14:sizeRelV>
          </wp:anchor>
        </w:drawing>
      </w:r>
      <w:r w:rsidR="00294D60">
        <w:rPr>
          <w:noProof/>
        </w:rPr>
        <w:drawing>
          <wp:anchor distT="0" distB="0" distL="114300" distR="114300" simplePos="0" relativeHeight="251668480" behindDoc="1" locked="0" layoutInCell="1" allowOverlap="1" wp14:anchorId="15BC3CFA" wp14:editId="4B23FF30">
            <wp:simplePos x="0" y="0"/>
            <wp:positionH relativeFrom="column">
              <wp:posOffset>5494020</wp:posOffset>
            </wp:positionH>
            <wp:positionV relativeFrom="topMargin">
              <wp:align>bottom</wp:align>
            </wp:positionV>
            <wp:extent cx="777240" cy="516890"/>
            <wp:effectExtent l="0" t="0" r="3810" b="0"/>
            <wp:wrapTight wrapText="bothSides">
              <wp:wrapPolygon edited="0">
                <wp:start x="0" y="0"/>
                <wp:lineTo x="0" y="20698"/>
                <wp:lineTo x="21176" y="20698"/>
                <wp:lineTo x="21176" y="0"/>
                <wp:lineTo x="0" y="0"/>
              </wp:wrapPolygon>
            </wp:wrapTight>
            <wp:docPr id="203531316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7240" cy="516890"/>
                    </a:xfrm>
                    <a:prstGeom prst="rect">
                      <a:avLst/>
                    </a:prstGeom>
                    <a:noFill/>
                  </pic:spPr>
                </pic:pic>
              </a:graphicData>
            </a:graphic>
            <wp14:sizeRelH relativeFrom="margin">
              <wp14:pctWidth>0</wp14:pctWidth>
            </wp14:sizeRelH>
            <wp14:sizeRelV relativeFrom="margin">
              <wp14:pctHeight>0</wp14:pctHeight>
            </wp14:sizeRelV>
          </wp:anchor>
        </w:drawing>
      </w:r>
      <w:r w:rsidR="00F95863">
        <w:rPr>
          <w:noProof/>
        </w:rPr>
        <mc:AlternateContent>
          <mc:Choice Requires="wps">
            <w:drawing>
              <wp:anchor distT="0" distB="0" distL="114300" distR="114300" simplePos="0" relativeHeight="251664384" behindDoc="0" locked="0" layoutInCell="1" allowOverlap="1" wp14:anchorId="751C03C7" wp14:editId="50B5DBA3">
                <wp:simplePos x="0" y="0"/>
                <wp:positionH relativeFrom="column">
                  <wp:posOffset>-548640</wp:posOffset>
                </wp:positionH>
                <wp:positionV relativeFrom="paragraph">
                  <wp:posOffset>8511540</wp:posOffset>
                </wp:positionV>
                <wp:extent cx="3032760" cy="830580"/>
                <wp:effectExtent l="266700" t="266700" r="262890" b="274320"/>
                <wp:wrapNone/>
                <wp:docPr id="515367751" name="Text Box 6"/>
                <wp:cNvGraphicFramePr/>
                <a:graphic xmlns:a="http://schemas.openxmlformats.org/drawingml/2006/main">
                  <a:graphicData uri="http://schemas.microsoft.com/office/word/2010/wordprocessingShape">
                    <wps:wsp>
                      <wps:cNvSpPr txBox="1"/>
                      <wps:spPr>
                        <a:xfrm>
                          <a:off x="0" y="0"/>
                          <a:ext cx="3032760" cy="830580"/>
                        </a:xfrm>
                        <a:prstGeom prst="rect">
                          <a:avLst/>
                        </a:prstGeom>
                        <a:solidFill>
                          <a:srgbClr val="FF7474"/>
                        </a:solidFill>
                        <a:ln w="76200">
                          <a:solidFill>
                            <a:prstClr val="black"/>
                          </a:solidFill>
                        </a:ln>
                        <a:effectLst>
                          <a:glow rad="228600">
                            <a:schemeClr val="accent5">
                              <a:satMod val="175000"/>
                              <a:alpha val="40000"/>
                            </a:schemeClr>
                          </a:glow>
                        </a:effectLst>
                      </wps:spPr>
                      <wps:txbx>
                        <w:txbxContent>
                          <w:p w14:paraId="278E0862" w14:textId="60450CF4" w:rsidR="00A47B1B" w:rsidRPr="00A47B1B" w:rsidRDefault="00A47B1B">
                            <w:pPr>
                              <w:rPr>
                                <w:rFonts w:ascii="Times New Roman" w:hAnsi="Times New Roman" w:cs="Times New Roman"/>
                                <w:sz w:val="16"/>
                                <w:szCs w:val="16"/>
                              </w:rPr>
                            </w:pPr>
                            <w:r w:rsidRPr="00F95863">
                              <w:rPr>
                                <w:rFonts w:ascii="Times New Roman" w:hAnsi="Times New Roman" w:cs="Times New Roman"/>
                                <w:sz w:val="16"/>
                                <w:szCs w:val="16"/>
                                <w:highlight w:val="darkYellow"/>
                              </w:rPr>
                              <w:t>The community development initiatives in Swansea provide many possibilities for residents to participate in the city's advancement and welfare. Through engagement in these efforts, individuals can significantly contribute to the development of a dynamic, inclusive, and sustainable community.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1C03C7" id="_x0000_t202" coordsize="21600,21600" o:spt="202" path="m,l,21600r21600,l21600,xe">
                <v:stroke joinstyle="miter"/>
                <v:path gradientshapeok="t" o:connecttype="rect"/>
              </v:shapetype>
              <v:shape id="Text Box 6" o:spid="_x0000_s1026" type="#_x0000_t202" style="position:absolute;margin-left:-43.2pt;margin-top:670.2pt;width:238.8pt;height:6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" fillcolor="#ff7474" strokeweight="6pt">
                <v:textbox>
                  <w:txbxContent>
                    <w:p w14:paraId="278E0862" w14:textId="60450CF4" w:rsidR="00A47B1B" w:rsidRPr="00A47B1B" w:rsidRDefault="00A47B1B">
                      <w:pPr>
                        <w:rPr>
                          <w:rFonts w:ascii="Times New Roman" w:hAnsi="Times New Roman" w:cs="Times New Roman"/>
                          <w:sz w:val="16"/>
                          <w:szCs w:val="16"/>
                        </w:rPr>
                      </w:pPr>
                      <w:r w:rsidRPr="00F95863">
                        <w:rPr>
                          <w:rFonts w:ascii="Times New Roman" w:hAnsi="Times New Roman" w:cs="Times New Roman"/>
                          <w:sz w:val="16"/>
                          <w:szCs w:val="16"/>
                          <w:highlight w:val="darkYellow"/>
                        </w:rPr>
                        <w:t>The community development initiatives in Swansea provide many possibilities for residents to participate in the city's advancement and welfare. Through engagement in these efforts, individuals can significantly contribute to the development of a dynamic, inclusive, and sustainable community.</w:t>
                      </w:r>
                    </w:p>
                  </w:txbxContent>
                </v:textbox>
              </v:shape>
            </w:pict>
          </mc:Fallback>
        </mc:AlternateContent>
      </w:r>
      <w:r w:rsidR="00F95863">
        <w:rPr>
          <w:noProof/>
        </w:rPr>
        <mc:AlternateContent>
          <mc:Choice Requires="wps">
            <w:drawing>
              <wp:anchor distT="0" distB="0" distL="114300" distR="114300" simplePos="0" relativeHeight="251667456" behindDoc="0" locked="0" layoutInCell="1" allowOverlap="1" wp14:anchorId="1E01BBC4" wp14:editId="76F13F46">
                <wp:simplePos x="0" y="0"/>
                <wp:positionH relativeFrom="column">
                  <wp:posOffset>2545080</wp:posOffset>
                </wp:positionH>
                <wp:positionV relativeFrom="paragraph">
                  <wp:posOffset>6035040</wp:posOffset>
                </wp:positionV>
                <wp:extent cx="3688080" cy="1889760"/>
                <wp:effectExtent l="0" t="0" r="26670" b="15240"/>
                <wp:wrapNone/>
                <wp:docPr id="375936800" name="Text Box 7"/>
                <wp:cNvGraphicFramePr/>
                <a:graphic xmlns:a="http://schemas.openxmlformats.org/drawingml/2006/main">
                  <a:graphicData uri="http://schemas.microsoft.com/office/word/2010/wordprocessingShape">
                    <wps:wsp>
                      <wps:cNvSpPr txBox="1"/>
                      <wps:spPr>
                        <a:xfrm>
                          <a:off x="0" y="0"/>
                          <a:ext cx="3688080" cy="1889760"/>
                        </a:xfrm>
                        <a:prstGeom prst="rect">
                          <a:avLst/>
                        </a:prstGeom>
                        <a:solidFill>
                          <a:schemeClr val="tx2">
                            <a:lumMod val="90000"/>
                            <a:lumOff val="10000"/>
                          </a:schemeClr>
                        </a:solidFill>
                        <a:ln w="6350">
                          <a:solidFill>
                            <a:prstClr val="black"/>
                          </a:solidFill>
                        </a:ln>
                      </wps:spPr>
                      <wps:txbx>
                        <w:txbxContent>
                          <w:p w14:paraId="6A27D8D3" w14:textId="733E9590" w:rsidR="00F95863" w:rsidRDefault="00F95863" w:rsidP="00F95863">
                            <w:pPr>
                              <w:rPr>
                                <w:rFonts w:ascii="Times New Roman" w:hAnsi="Times New Roman" w:cs="Times New Roman"/>
                                <w:sz w:val="16"/>
                                <w:szCs w:val="16"/>
                              </w:rPr>
                            </w:pPr>
                            <w:r w:rsidRPr="00F95863">
                              <w:rPr>
                                <w:rFonts w:ascii="Times New Roman" w:hAnsi="Times New Roman" w:cs="Times New Roman"/>
                                <w:sz w:val="16"/>
                                <w:szCs w:val="16"/>
                                <w:highlight w:val="red"/>
                              </w:rPr>
                              <w:t>Swansea Council. (2023). Anchor projects approved for £38.4m funding package. Retrieved from</w:t>
                            </w:r>
                            <w:r w:rsidRPr="00F95863">
                              <w:rPr>
                                <w:rFonts w:ascii="Times New Roman" w:hAnsi="Times New Roman" w:cs="Times New Roman"/>
                                <w:sz w:val="16"/>
                                <w:szCs w:val="16"/>
                                <w:highlight w:val="red"/>
                              </w:rPr>
                              <w:t xml:space="preserve">: </w:t>
                            </w:r>
                            <w:hyperlink r:id="rId7" w:history="1">
                              <w:r w:rsidRPr="00F95863">
                                <w:rPr>
                                  <w:rStyle w:val="Hyperlink"/>
                                  <w:rFonts w:ascii="Times New Roman" w:hAnsi="Times New Roman" w:cs="Times New Roman"/>
                                  <w:sz w:val="16"/>
                                  <w:szCs w:val="16"/>
                                  <w:highlight w:val="red"/>
                                </w:rPr>
                                <w:t>https://www.swansea.gov.uk/article/23714/Close-to-30-Swansea-projects-to-benefit-from-multi-million-pound-funding-boost</w:t>
                              </w:r>
                            </w:hyperlink>
                            <w:r w:rsidRPr="00F95863">
                              <w:rPr>
                                <w:rFonts w:ascii="Times New Roman" w:hAnsi="Times New Roman" w:cs="Times New Roman"/>
                                <w:sz w:val="16"/>
                                <w:szCs w:val="16"/>
                                <w:highlight w:val="red"/>
                              </w:rPr>
                              <w:t xml:space="preserve">             </w:t>
                            </w:r>
                            <w:r w:rsidRPr="00F95863">
                              <w:rPr>
                                <w:rFonts w:ascii="Times New Roman" w:hAnsi="Times New Roman" w:cs="Times New Roman"/>
                                <w:sz w:val="16"/>
                                <w:szCs w:val="16"/>
                                <w:highlight w:val="red"/>
                              </w:rPr>
                              <w:t xml:space="preserve">Swansea Council. (2023). Supporting Communities Anchor. Retrieved from </w:t>
                            </w:r>
                            <w:hyperlink r:id="rId8" w:history="1">
                              <w:r w:rsidRPr="00F95863">
                                <w:rPr>
                                  <w:rStyle w:val="Hyperlink"/>
                                  <w:rFonts w:ascii="Times New Roman" w:hAnsi="Times New Roman" w:cs="Times New Roman"/>
                                  <w:sz w:val="16"/>
                                  <w:szCs w:val="16"/>
                                  <w:highlight w:val="red"/>
                                </w:rPr>
                                <w:t>https://www.swansea.gov.uk/article/23714/Close-to-30-Swansea-projects-to-benefit-from-multi-million-pound-funding-boost</w:t>
                              </w:r>
                            </w:hyperlink>
                            <w:r w:rsidRPr="00F95863">
                              <w:rPr>
                                <w:rFonts w:ascii="Times New Roman" w:hAnsi="Times New Roman" w:cs="Times New Roman"/>
                                <w:sz w:val="16"/>
                                <w:szCs w:val="16"/>
                                <w:highlight w:val="red"/>
                              </w:rPr>
                              <w:t xml:space="preserve">              </w:t>
                            </w:r>
                            <w:r w:rsidR="00294D60">
                              <w:rPr>
                                <w:rFonts w:ascii="Times New Roman" w:hAnsi="Times New Roman" w:cs="Times New Roman"/>
                                <w:sz w:val="16"/>
                                <w:szCs w:val="16"/>
                                <w:highlight w:val="red"/>
                              </w:rPr>
                              <w:t xml:space="preserve">                                                              </w:t>
                            </w:r>
                            <w:r w:rsidRPr="00F95863">
                              <w:rPr>
                                <w:rFonts w:ascii="Times New Roman" w:hAnsi="Times New Roman" w:cs="Times New Roman"/>
                                <w:sz w:val="16"/>
                                <w:szCs w:val="16"/>
                                <w:highlight w:val="red"/>
                              </w:rPr>
                              <w:t>Swansea Council. (2023). Rural Anchor. Retrieved from</w:t>
                            </w:r>
                            <w:r w:rsidRPr="00F95863">
                              <w:rPr>
                                <w:rFonts w:ascii="Times New Roman" w:hAnsi="Times New Roman" w:cs="Times New Roman"/>
                                <w:sz w:val="16"/>
                                <w:szCs w:val="16"/>
                                <w:highlight w:val="red"/>
                              </w:rPr>
                              <w:t xml:space="preserve"> </w:t>
                            </w:r>
                            <w:hyperlink r:id="rId9" w:history="1">
                              <w:r w:rsidRPr="00F95863">
                                <w:rPr>
                                  <w:rStyle w:val="Hyperlink"/>
                                  <w:rFonts w:ascii="Times New Roman" w:hAnsi="Times New Roman" w:cs="Times New Roman"/>
                                  <w:sz w:val="16"/>
                                  <w:szCs w:val="16"/>
                                  <w:highlight w:val="red"/>
                                </w:rPr>
                                <w:t>https://www.swansea.gov.uk/article/23714/Close-to-30-Swansea-projects-to-benefit-from-multi-million-pound-funding-boost</w:t>
                              </w:r>
                            </w:hyperlink>
                            <w:r w:rsidRPr="00F95863">
                              <w:rPr>
                                <w:rFonts w:ascii="Times New Roman" w:hAnsi="Times New Roman" w:cs="Times New Roman"/>
                                <w:sz w:val="16"/>
                                <w:szCs w:val="16"/>
                                <w:highlight w:val="red"/>
                              </w:rPr>
                              <w:t xml:space="preserve">                      </w:t>
                            </w:r>
                            <w:r w:rsidRPr="00F95863">
                              <w:rPr>
                                <w:rFonts w:ascii="Times New Roman" w:hAnsi="Times New Roman" w:cs="Times New Roman"/>
                                <w:sz w:val="16"/>
                                <w:szCs w:val="16"/>
                                <w:highlight w:val="red"/>
                              </w:rPr>
                              <w:t>Cox, F. M., Erlich, J. L., Rothman, J., &amp; Tropman, J. E. (Eds.). (1979). Strategies of community organization. Peacock Publishers.</w:t>
                            </w:r>
                            <w:r w:rsidRPr="00F95863">
                              <w:rPr>
                                <w:rFonts w:ascii="Times New Roman" w:hAnsi="Times New Roman" w:cs="Times New Roman"/>
                                <w:sz w:val="16"/>
                                <w:szCs w:val="16"/>
                                <w:highlight w:val="red"/>
                              </w:rPr>
                              <w:t xml:space="preserve">             </w:t>
                            </w:r>
                            <w:r w:rsidRPr="00F95863">
                              <w:rPr>
                                <w:rFonts w:ascii="Times New Roman" w:hAnsi="Times New Roman" w:cs="Times New Roman"/>
                                <w:sz w:val="16"/>
                                <w:szCs w:val="16"/>
                                <w:highlight w:val="red"/>
                              </w:rPr>
                              <w:t>Kretzmann, J. P., &amp; McKnight, J. L. (1993). Building communities from the inside out: A path toward finding and mobilizing a community’s assets. Evanston, IL: Institute for Policy Research.</w:t>
                            </w:r>
                            <w:r w:rsidRPr="00F95863">
                              <w:rPr>
                                <w:rFonts w:ascii="Times New Roman" w:hAnsi="Times New Roman" w:cs="Times New Roman"/>
                                <w:sz w:val="16"/>
                                <w:szCs w:val="16"/>
                                <w:highlight w:val="red"/>
                              </w:rPr>
                              <w:t xml:space="preserve">      </w:t>
                            </w:r>
                            <w:r w:rsidRPr="00F95863">
                              <w:rPr>
                                <w:rFonts w:ascii="Times New Roman" w:hAnsi="Times New Roman" w:cs="Times New Roman"/>
                                <w:sz w:val="16"/>
                                <w:szCs w:val="16"/>
                                <w:highlight w:val="red"/>
                              </w:rPr>
                              <w:t xml:space="preserve">Tamarack: An Institute for Community Engagement. (2008). Learning centre. </w:t>
                            </w:r>
                            <w:hyperlink r:id="rId10" w:history="1">
                              <w:r w:rsidRPr="00F95863">
                                <w:rPr>
                                  <w:rStyle w:val="Hyperlink"/>
                                  <w:rFonts w:ascii="Times New Roman" w:hAnsi="Times New Roman" w:cs="Times New Roman"/>
                                  <w:sz w:val="16"/>
                                  <w:szCs w:val="16"/>
                                  <w:highlight w:val="red"/>
                                </w:rPr>
                                <w:t>http://tamarackcommunity.ca/g3.php</w:t>
                              </w:r>
                            </w:hyperlink>
                          </w:p>
                          <w:p w14:paraId="3AD988AB" w14:textId="77777777" w:rsidR="00F95863" w:rsidRDefault="00F95863" w:rsidP="00F95863">
                            <w:pPr>
                              <w:rPr>
                                <w:rFonts w:ascii="Times New Roman" w:hAnsi="Times New Roman" w:cs="Times New Roman"/>
                                <w:sz w:val="16"/>
                                <w:szCs w:val="16"/>
                              </w:rPr>
                            </w:pPr>
                          </w:p>
                          <w:p w14:paraId="62277211" w14:textId="77777777" w:rsidR="00F95863" w:rsidRPr="00F95863" w:rsidRDefault="00F95863" w:rsidP="00F95863">
                            <w:pPr>
                              <w:rPr>
                                <w:rFonts w:ascii="Times New Roman" w:hAnsi="Times New Roman" w:cs="Times New Roman"/>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1BBC4" id="Text Box 7" o:spid="_x0000_s1027" type="#_x0000_t202" style="position:absolute;margin-left:200.4pt;margin-top:475.2pt;width:290.4pt;height:14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" fillcolor="#153e64 [2911]" strokeweight=".5pt">
                <v:textbox>
                  <w:txbxContent>
                    <w:p w14:paraId="6A27D8D3" w14:textId="733E9590" w:rsidR="00F95863" w:rsidRDefault="00F95863" w:rsidP="00F95863">
                      <w:pPr>
                        <w:rPr>
                          <w:rFonts w:ascii="Times New Roman" w:hAnsi="Times New Roman" w:cs="Times New Roman"/>
                          <w:sz w:val="16"/>
                          <w:szCs w:val="16"/>
                        </w:rPr>
                      </w:pPr>
                      <w:r w:rsidRPr="00F95863">
                        <w:rPr>
                          <w:rFonts w:ascii="Times New Roman" w:hAnsi="Times New Roman" w:cs="Times New Roman"/>
                          <w:sz w:val="16"/>
                          <w:szCs w:val="16"/>
                          <w:highlight w:val="red"/>
                        </w:rPr>
                        <w:t>Swansea Council. (2023). Anchor projects approved for £38.4m funding package. Retrieved from</w:t>
                      </w:r>
                      <w:r w:rsidRPr="00F95863">
                        <w:rPr>
                          <w:rFonts w:ascii="Times New Roman" w:hAnsi="Times New Roman" w:cs="Times New Roman"/>
                          <w:sz w:val="16"/>
                          <w:szCs w:val="16"/>
                          <w:highlight w:val="red"/>
                        </w:rPr>
                        <w:t xml:space="preserve">: </w:t>
                      </w:r>
                      <w:hyperlink r:id="rId11" w:history="1">
                        <w:r w:rsidRPr="00F95863">
                          <w:rPr>
                            <w:rStyle w:val="Hyperlink"/>
                            <w:rFonts w:ascii="Times New Roman" w:hAnsi="Times New Roman" w:cs="Times New Roman"/>
                            <w:sz w:val="16"/>
                            <w:szCs w:val="16"/>
                            <w:highlight w:val="red"/>
                          </w:rPr>
                          <w:t>https://www.swansea.gov.uk/article/23714/Close-to-30-Swansea-projects-to-benefit-from-multi-million-pound-funding-boost</w:t>
                        </w:r>
                      </w:hyperlink>
                      <w:r w:rsidRPr="00F95863">
                        <w:rPr>
                          <w:rFonts w:ascii="Times New Roman" w:hAnsi="Times New Roman" w:cs="Times New Roman"/>
                          <w:sz w:val="16"/>
                          <w:szCs w:val="16"/>
                          <w:highlight w:val="red"/>
                        </w:rPr>
                        <w:t xml:space="preserve">             </w:t>
                      </w:r>
                      <w:r w:rsidRPr="00F95863">
                        <w:rPr>
                          <w:rFonts w:ascii="Times New Roman" w:hAnsi="Times New Roman" w:cs="Times New Roman"/>
                          <w:sz w:val="16"/>
                          <w:szCs w:val="16"/>
                          <w:highlight w:val="red"/>
                        </w:rPr>
                        <w:t xml:space="preserve">Swansea Council. (2023). Supporting Communities Anchor. Retrieved from </w:t>
                      </w:r>
                      <w:hyperlink r:id="rId12" w:history="1">
                        <w:r w:rsidRPr="00F95863">
                          <w:rPr>
                            <w:rStyle w:val="Hyperlink"/>
                            <w:rFonts w:ascii="Times New Roman" w:hAnsi="Times New Roman" w:cs="Times New Roman"/>
                            <w:sz w:val="16"/>
                            <w:szCs w:val="16"/>
                            <w:highlight w:val="red"/>
                          </w:rPr>
                          <w:t>https://www.swansea.gov.uk/article/23714/Close-to-30-Swansea-projects-to-benefit-from-multi-million-pound-funding-boost</w:t>
                        </w:r>
                      </w:hyperlink>
                      <w:r w:rsidRPr="00F95863">
                        <w:rPr>
                          <w:rFonts w:ascii="Times New Roman" w:hAnsi="Times New Roman" w:cs="Times New Roman"/>
                          <w:sz w:val="16"/>
                          <w:szCs w:val="16"/>
                          <w:highlight w:val="red"/>
                        </w:rPr>
                        <w:t xml:space="preserve">              </w:t>
                      </w:r>
                      <w:r w:rsidR="00294D60">
                        <w:rPr>
                          <w:rFonts w:ascii="Times New Roman" w:hAnsi="Times New Roman" w:cs="Times New Roman"/>
                          <w:sz w:val="16"/>
                          <w:szCs w:val="16"/>
                          <w:highlight w:val="red"/>
                        </w:rPr>
                        <w:t xml:space="preserve">                                                              </w:t>
                      </w:r>
                      <w:r w:rsidRPr="00F95863">
                        <w:rPr>
                          <w:rFonts w:ascii="Times New Roman" w:hAnsi="Times New Roman" w:cs="Times New Roman"/>
                          <w:sz w:val="16"/>
                          <w:szCs w:val="16"/>
                          <w:highlight w:val="red"/>
                        </w:rPr>
                        <w:t>Swansea Council. (2023). Rural Anchor. Retrieved from</w:t>
                      </w:r>
                      <w:r w:rsidRPr="00F95863">
                        <w:rPr>
                          <w:rFonts w:ascii="Times New Roman" w:hAnsi="Times New Roman" w:cs="Times New Roman"/>
                          <w:sz w:val="16"/>
                          <w:szCs w:val="16"/>
                          <w:highlight w:val="red"/>
                        </w:rPr>
                        <w:t xml:space="preserve"> </w:t>
                      </w:r>
                      <w:hyperlink r:id="rId13" w:history="1">
                        <w:r w:rsidRPr="00F95863">
                          <w:rPr>
                            <w:rStyle w:val="Hyperlink"/>
                            <w:rFonts w:ascii="Times New Roman" w:hAnsi="Times New Roman" w:cs="Times New Roman"/>
                            <w:sz w:val="16"/>
                            <w:szCs w:val="16"/>
                            <w:highlight w:val="red"/>
                          </w:rPr>
                          <w:t>https://www.swansea.gov.uk/article/23714/Close-to-30-Swansea-projects-to-benefit-from-multi-million-pound-funding-boost</w:t>
                        </w:r>
                      </w:hyperlink>
                      <w:r w:rsidRPr="00F95863">
                        <w:rPr>
                          <w:rFonts w:ascii="Times New Roman" w:hAnsi="Times New Roman" w:cs="Times New Roman"/>
                          <w:sz w:val="16"/>
                          <w:szCs w:val="16"/>
                          <w:highlight w:val="red"/>
                        </w:rPr>
                        <w:t xml:space="preserve">                      </w:t>
                      </w:r>
                      <w:r w:rsidRPr="00F95863">
                        <w:rPr>
                          <w:rFonts w:ascii="Times New Roman" w:hAnsi="Times New Roman" w:cs="Times New Roman"/>
                          <w:sz w:val="16"/>
                          <w:szCs w:val="16"/>
                          <w:highlight w:val="red"/>
                        </w:rPr>
                        <w:t>Cox, F. M., Erlich, J. L., Rothman, J., &amp; Tropman, J. E. (Eds.). (1979). Strategies of community organization. Peacock Publishers.</w:t>
                      </w:r>
                      <w:r w:rsidRPr="00F95863">
                        <w:rPr>
                          <w:rFonts w:ascii="Times New Roman" w:hAnsi="Times New Roman" w:cs="Times New Roman"/>
                          <w:sz w:val="16"/>
                          <w:szCs w:val="16"/>
                          <w:highlight w:val="red"/>
                        </w:rPr>
                        <w:t xml:space="preserve">             </w:t>
                      </w:r>
                      <w:r w:rsidRPr="00F95863">
                        <w:rPr>
                          <w:rFonts w:ascii="Times New Roman" w:hAnsi="Times New Roman" w:cs="Times New Roman"/>
                          <w:sz w:val="16"/>
                          <w:szCs w:val="16"/>
                          <w:highlight w:val="red"/>
                        </w:rPr>
                        <w:t>Kretzmann, J. P., &amp; McKnight, J. L. (1993). Building communities from the inside out: A path toward finding and mobilizing a community’s assets. Evanston, IL: Institute for Policy Research.</w:t>
                      </w:r>
                      <w:r w:rsidRPr="00F95863">
                        <w:rPr>
                          <w:rFonts w:ascii="Times New Roman" w:hAnsi="Times New Roman" w:cs="Times New Roman"/>
                          <w:sz w:val="16"/>
                          <w:szCs w:val="16"/>
                          <w:highlight w:val="red"/>
                        </w:rPr>
                        <w:t xml:space="preserve">      </w:t>
                      </w:r>
                      <w:r w:rsidRPr="00F95863">
                        <w:rPr>
                          <w:rFonts w:ascii="Times New Roman" w:hAnsi="Times New Roman" w:cs="Times New Roman"/>
                          <w:sz w:val="16"/>
                          <w:szCs w:val="16"/>
                          <w:highlight w:val="red"/>
                        </w:rPr>
                        <w:t xml:space="preserve">Tamarack: An Institute for Community Engagement. (2008). Learning centre. </w:t>
                      </w:r>
                      <w:hyperlink r:id="rId14" w:history="1">
                        <w:r w:rsidRPr="00F95863">
                          <w:rPr>
                            <w:rStyle w:val="Hyperlink"/>
                            <w:rFonts w:ascii="Times New Roman" w:hAnsi="Times New Roman" w:cs="Times New Roman"/>
                            <w:sz w:val="16"/>
                            <w:szCs w:val="16"/>
                            <w:highlight w:val="red"/>
                          </w:rPr>
                          <w:t>http://tamarackcommunity.ca/g3.php</w:t>
                        </w:r>
                      </w:hyperlink>
                    </w:p>
                    <w:p w14:paraId="3AD988AB" w14:textId="77777777" w:rsidR="00F95863" w:rsidRDefault="00F95863" w:rsidP="00F95863">
                      <w:pPr>
                        <w:rPr>
                          <w:rFonts w:ascii="Times New Roman" w:hAnsi="Times New Roman" w:cs="Times New Roman"/>
                          <w:sz w:val="16"/>
                          <w:szCs w:val="16"/>
                        </w:rPr>
                      </w:pPr>
                    </w:p>
                    <w:p w14:paraId="62277211" w14:textId="77777777" w:rsidR="00F95863" w:rsidRPr="00F95863" w:rsidRDefault="00F95863" w:rsidP="00F95863">
                      <w:pPr>
                        <w:rPr>
                          <w:rFonts w:ascii="Times New Roman" w:hAnsi="Times New Roman" w:cs="Times New Roman"/>
                          <w:sz w:val="16"/>
                          <w:szCs w:val="16"/>
                        </w:rPr>
                      </w:pPr>
                    </w:p>
                  </w:txbxContent>
                </v:textbox>
              </v:shape>
            </w:pict>
          </mc:Fallback>
        </mc:AlternateContent>
      </w:r>
      <w:r w:rsidR="00F95863">
        <w:rPr>
          <w:noProof/>
        </w:rPr>
        <mc:AlternateContent>
          <mc:Choice Requires="wps">
            <w:drawing>
              <wp:anchor distT="0" distB="0" distL="114300" distR="114300" simplePos="0" relativeHeight="251663360" behindDoc="0" locked="0" layoutInCell="1" allowOverlap="1" wp14:anchorId="3B9FDB70" wp14:editId="59F50AA6">
                <wp:simplePos x="0" y="0"/>
                <wp:positionH relativeFrom="column">
                  <wp:posOffset>2537460</wp:posOffset>
                </wp:positionH>
                <wp:positionV relativeFrom="paragraph">
                  <wp:posOffset>4335780</wp:posOffset>
                </wp:positionV>
                <wp:extent cx="3703320" cy="1607820"/>
                <wp:effectExtent l="228600" t="228600" r="240030" b="240030"/>
                <wp:wrapNone/>
                <wp:docPr id="969124908" name="Text Box 5"/>
                <wp:cNvGraphicFramePr/>
                <a:graphic xmlns:a="http://schemas.openxmlformats.org/drawingml/2006/main">
                  <a:graphicData uri="http://schemas.microsoft.com/office/word/2010/wordprocessingShape">
                    <wps:wsp>
                      <wps:cNvSpPr txBox="1"/>
                      <wps:spPr>
                        <a:xfrm>
                          <a:off x="0" y="0"/>
                          <a:ext cx="3703320" cy="1607820"/>
                        </a:xfrm>
                        <a:prstGeom prst="rect">
                          <a:avLst/>
                        </a:prstGeom>
                        <a:solidFill>
                          <a:schemeClr val="accent6">
                            <a:lumMod val="75000"/>
                          </a:schemeClr>
                        </a:solidFill>
                        <a:ln w="6350">
                          <a:solidFill>
                            <a:prstClr val="black"/>
                          </a:solidFill>
                        </a:ln>
                        <a:effectLst>
                          <a:glow rad="228600">
                            <a:schemeClr val="accent5">
                              <a:satMod val="175000"/>
                              <a:alpha val="40000"/>
                            </a:schemeClr>
                          </a:glow>
                        </a:effectLst>
                      </wps:spPr>
                      <wps:txbx>
                        <w:txbxContent>
                          <w:p w14:paraId="08E5CF56" w14:textId="1215EAC1" w:rsidR="003A1B95" w:rsidRPr="00A47B1B" w:rsidRDefault="00A47B1B" w:rsidP="00A47B1B">
                            <w:pPr>
                              <w:rPr>
                                <w:rFonts w:ascii="Times New Roman" w:hAnsi="Times New Roman" w:cs="Times New Roman"/>
                                <w:sz w:val="16"/>
                                <w:szCs w:val="16"/>
                              </w:rPr>
                            </w:pPr>
                            <w:r w:rsidRPr="00F95863">
                              <w:rPr>
                                <w:rFonts w:ascii="Times New Roman" w:hAnsi="Times New Roman" w:cs="Times New Roman"/>
                                <w:sz w:val="16"/>
                                <w:szCs w:val="16"/>
                                <w:highlight w:val="magenta"/>
                              </w:rPr>
                              <w:t>City Centre Community Hub</w:t>
                            </w:r>
                            <w:r w:rsidR="00F95863" w:rsidRPr="00F95863">
                              <w:rPr>
                                <w:rFonts w:ascii="Times New Roman" w:hAnsi="Times New Roman" w:cs="Times New Roman"/>
                                <w:sz w:val="16"/>
                                <w:szCs w:val="16"/>
                                <w:highlight w:val="magenta"/>
                              </w:rPr>
                              <w:t xml:space="preserve">                                                                                           </w:t>
                            </w:r>
                            <w:r w:rsidRPr="00F95863">
                              <w:rPr>
                                <w:rFonts w:ascii="Times New Roman" w:hAnsi="Times New Roman" w:cs="Times New Roman"/>
                                <w:sz w:val="16"/>
                                <w:szCs w:val="16"/>
                                <w:highlight w:val="magenta"/>
                              </w:rPr>
                              <w:t>Approved in January 2022, this initiative entails converting the former BHS/What! building into a community hub. The hub will accommodate the city's primary library and many essential services, offering a central venue for community involvement and resource accessibility. Four THE AREA</w:t>
                            </w:r>
                            <w:r w:rsidRPr="00F95863">
                              <w:rPr>
                                <w:rFonts w:ascii="Times New Roman" w:hAnsi="Times New Roman" w:cs="Times New Roman"/>
                                <w:sz w:val="16"/>
                                <w:szCs w:val="16"/>
                                <w:highlight w:val="magenta"/>
                              </w:rPr>
                              <w:t xml:space="preserve">: </w:t>
                            </w:r>
                            <w:r w:rsidRPr="00F95863">
                              <w:rPr>
                                <w:rFonts w:ascii="Times New Roman" w:hAnsi="Times New Roman" w:cs="Times New Roman"/>
                                <w:sz w:val="16"/>
                                <w:szCs w:val="16"/>
                                <w:highlight w:val="magenta"/>
                              </w:rPr>
                              <w:t xml:space="preserve">Prospects for </w:t>
                            </w:r>
                            <w:r w:rsidR="00F95863" w:rsidRPr="00F95863">
                              <w:rPr>
                                <w:rFonts w:ascii="Times New Roman" w:hAnsi="Times New Roman" w:cs="Times New Roman"/>
                                <w:sz w:val="16"/>
                                <w:szCs w:val="16"/>
                                <w:highlight w:val="magenta"/>
                              </w:rPr>
                              <w:t xml:space="preserve">Engagement                                         </w:t>
                            </w:r>
                            <w:r w:rsidRPr="00F95863">
                              <w:rPr>
                                <w:rFonts w:ascii="Times New Roman" w:hAnsi="Times New Roman" w:cs="Times New Roman"/>
                                <w:sz w:val="16"/>
                                <w:szCs w:val="16"/>
                                <w:highlight w:val="magenta"/>
                              </w:rPr>
                              <w:t>Individuals seeking to assist in local community development may:</w:t>
                            </w:r>
                            <w:r w:rsidR="00F95863" w:rsidRPr="00F95863">
                              <w:rPr>
                                <w:rFonts w:ascii="Times New Roman" w:hAnsi="Times New Roman" w:cs="Times New Roman"/>
                                <w:sz w:val="16"/>
                                <w:szCs w:val="16"/>
                                <w:highlight w:val="magenta"/>
                              </w:rPr>
                              <w:t xml:space="preserve">                                      </w:t>
                            </w:r>
                            <w:r w:rsidRPr="00F95863">
                              <w:rPr>
                                <w:rFonts w:ascii="Times New Roman" w:hAnsi="Times New Roman" w:cs="Times New Roman"/>
                                <w:sz w:val="16"/>
                                <w:szCs w:val="16"/>
                                <w:highlight w:val="magenta"/>
                              </w:rPr>
                              <w:t>Engage in initiatives such as the Supporting Communities Anchor to improve local environments and activities.</w:t>
                            </w:r>
                            <w:r w:rsidR="00F95863" w:rsidRPr="00F95863">
                              <w:rPr>
                                <w:rFonts w:ascii="Times New Roman" w:hAnsi="Times New Roman" w:cs="Times New Roman"/>
                                <w:sz w:val="16"/>
                                <w:szCs w:val="16"/>
                                <w:highlight w:val="magenta"/>
                              </w:rPr>
                              <w:t xml:space="preserve">                                                                                          </w:t>
                            </w:r>
                            <w:r w:rsidRPr="00F95863">
                              <w:rPr>
                                <w:rFonts w:ascii="Times New Roman" w:hAnsi="Times New Roman" w:cs="Times New Roman"/>
                                <w:sz w:val="16"/>
                                <w:szCs w:val="16"/>
                                <w:highlight w:val="magenta"/>
                              </w:rPr>
                              <w:t>Champion programs like the Rural Anchor Project by endorsing sustainable practices and rural advancement.</w:t>
                            </w:r>
                            <w:r w:rsidR="00F95863" w:rsidRPr="00F95863">
                              <w:rPr>
                                <w:rFonts w:ascii="Times New Roman" w:hAnsi="Times New Roman" w:cs="Times New Roman"/>
                                <w:sz w:val="16"/>
                                <w:szCs w:val="16"/>
                                <w:highlight w:val="magenta"/>
                              </w:rPr>
                              <w:t xml:space="preserve">                                                                                                       </w:t>
                            </w:r>
                            <w:r w:rsidRPr="00F95863">
                              <w:rPr>
                                <w:rFonts w:ascii="Times New Roman" w:hAnsi="Times New Roman" w:cs="Times New Roman"/>
                                <w:sz w:val="16"/>
                                <w:szCs w:val="16"/>
                                <w:highlight w:val="magenta"/>
                              </w:rPr>
                              <w:t>Collaborate: Participate in initiatives like Biophilic Living Swansea to advance urban sustainability and communal agriculture.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9FDB70" id="Text Box 5" o:spid="_x0000_s1028" type="#_x0000_t202" style="position:absolute;margin-left:199.8pt;margin-top:341.4pt;width:291.6pt;height:126.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" fillcolor="#3a7c22 [2409]" strokeweight=".5pt">
                <v:textbox>
                  <w:txbxContent>
                    <w:p w14:paraId="08E5CF56" w14:textId="1215EAC1" w:rsidR="003A1B95" w:rsidRPr="00A47B1B" w:rsidRDefault="00A47B1B" w:rsidP="00A47B1B">
                      <w:pPr>
                        <w:rPr>
                          <w:rFonts w:ascii="Times New Roman" w:hAnsi="Times New Roman" w:cs="Times New Roman"/>
                          <w:sz w:val="16"/>
                          <w:szCs w:val="16"/>
                        </w:rPr>
                      </w:pPr>
                      <w:r w:rsidRPr="00F95863">
                        <w:rPr>
                          <w:rFonts w:ascii="Times New Roman" w:hAnsi="Times New Roman" w:cs="Times New Roman"/>
                          <w:sz w:val="16"/>
                          <w:szCs w:val="16"/>
                          <w:highlight w:val="magenta"/>
                        </w:rPr>
                        <w:t>City Centre Community Hub</w:t>
                      </w:r>
                      <w:r w:rsidR="00F95863" w:rsidRPr="00F95863">
                        <w:rPr>
                          <w:rFonts w:ascii="Times New Roman" w:hAnsi="Times New Roman" w:cs="Times New Roman"/>
                          <w:sz w:val="16"/>
                          <w:szCs w:val="16"/>
                          <w:highlight w:val="magenta"/>
                        </w:rPr>
                        <w:t xml:space="preserve">                                                                                           </w:t>
                      </w:r>
                      <w:r w:rsidRPr="00F95863">
                        <w:rPr>
                          <w:rFonts w:ascii="Times New Roman" w:hAnsi="Times New Roman" w:cs="Times New Roman"/>
                          <w:sz w:val="16"/>
                          <w:szCs w:val="16"/>
                          <w:highlight w:val="magenta"/>
                        </w:rPr>
                        <w:t>Approved in January 2022, this initiative entails converting the former BHS/What! building into a community hub. The hub will accommodate the city's primary library and many essential services, offering a central venue for community involvement and resource accessibility. Four THE AREA</w:t>
                      </w:r>
                      <w:r w:rsidRPr="00F95863">
                        <w:rPr>
                          <w:rFonts w:ascii="Times New Roman" w:hAnsi="Times New Roman" w:cs="Times New Roman"/>
                          <w:sz w:val="16"/>
                          <w:szCs w:val="16"/>
                          <w:highlight w:val="magenta"/>
                        </w:rPr>
                        <w:t xml:space="preserve">: </w:t>
                      </w:r>
                      <w:r w:rsidRPr="00F95863">
                        <w:rPr>
                          <w:rFonts w:ascii="Times New Roman" w:hAnsi="Times New Roman" w:cs="Times New Roman"/>
                          <w:sz w:val="16"/>
                          <w:szCs w:val="16"/>
                          <w:highlight w:val="magenta"/>
                        </w:rPr>
                        <w:t xml:space="preserve">Prospects for </w:t>
                      </w:r>
                      <w:r w:rsidR="00F95863" w:rsidRPr="00F95863">
                        <w:rPr>
                          <w:rFonts w:ascii="Times New Roman" w:hAnsi="Times New Roman" w:cs="Times New Roman"/>
                          <w:sz w:val="16"/>
                          <w:szCs w:val="16"/>
                          <w:highlight w:val="magenta"/>
                        </w:rPr>
                        <w:t xml:space="preserve">Engagement                                         </w:t>
                      </w:r>
                      <w:r w:rsidRPr="00F95863">
                        <w:rPr>
                          <w:rFonts w:ascii="Times New Roman" w:hAnsi="Times New Roman" w:cs="Times New Roman"/>
                          <w:sz w:val="16"/>
                          <w:szCs w:val="16"/>
                          <w:highlight w:val="magenta"/>
                        </w:rPr>
                        <w:t>Individuals seeking to assist in local community development may:</w:t>
                      </w:r>
                      <w:r w:rsidR="00F95863" w:rsidRPr="00F95863">
                        <w:rPr>
                          <w:rFonts w:ascii="Times New Roman" w:hAnsi="Times New Roman" w:cs="Times New Roman"/>
                          <w:sz w:val="16"/>
                          <w:szCs w:val="16"/>
                          <w:highlight w:val="magenta"/>
                        </w:rPr>
                        <w:t xml:space="preserve">                                      </w:t>
                      </w:r>
                      <w:r w:rsidRPr="00F95863">
                        <w:rPr>
                          <w:rFonts w:ascii="Times New Roman" w:hAnsi="Times New Roman" w:cs="Times New Roman"/>
                          <w:sz w:val="16"/>
                          <w:szCs w:val="16"/>
                          <w:highlight w:val="magenta"/>
                        </w:rPr>
                        <w:t>Engage in initiatives such as the Supporting Communities Anchor to improve local environments and activities.</w:t>
                      </w:r>
                      <w:r w:rsidR="00F95863" w:rsidRPr="00F95863">
                        <w:rPr>
                          <w:rFonts w:ascii="Times New Roman" w:hAnsi="Times New Roman" w:cs="Times New Roman"/>
                          <w:sz w:val="16"/>
                          <w:szCs w:val="16"/>
                          <w:highlight w:val="magenta"/>
                        </w:rPr>
                        <w:t xml:space="preserve">                                                                                          </w:t>
                      </w:r>
                      <w:r w:rsidRPr="00F95863">
                        <w:rPr>
                          <w:rFonts w:ascii="Times New Roman" w:hAnsi="Times New Roman" w:cs="Times New Roman"/>
                          <w:sz w:val="16"/>
                          <w:szCs w:val="16"/>
                          <w:highlight w:val="magenta"/>
                        </w:rPr>
                        <w:t>Champion programs like the Rural Anchor Project by endorsing sustainable practices and rural advancement.</w:t>
                      </w:r>
                      <w:r w:rsidR="00F95863" w:rsidRPr="00F95863">
                        <w:rPr>
                          <w:rFonts w:ascii="Times New Roman" w:hAnsi="Times New Roman" w:cs="Times New Roman"/>
                          <w:sz w:val="16"/>
                          <w:szCs w:val="16"/>
                          <w:highlight w:val="magenta"/>
                        </w:rPr>
                        <w:t xml:space="preserve">                                                                                                       </w:t>
                      </w:r>
                      <w:r w:rsidRPr="00F95863">
                        <w:rPr>
                          <w:rFonts w:ascii="Times New Roman" w:hAnsi="Times New Roman" w:cs="Times New Roman"/>
                          <w:sz w:val="16"/>
                          <w:szCs w:val="16"/>
                          <w:highlight w:val="magenta"/>
                        </w:rPr>
                        <w:t>Collaborate: Participate in initiatives like Biophilic Living Swansea to advance urban sustainability and communal agriculture.</w:t>
                      </w:r>
                    </w:p>
                  </w:txbxContent>
                </v:textbox>
              </v:shape>
            </w:pict>
          </mc:Fallback>
        </mc:AlternateContent>
      </w:r>
      <w:r w:rsidR="00F95863">
        <w:rPr>
          <w:noProof/>
        </w:rPr>
        <mc:AlternateContent>
          <mc:Choice Requires="wps">
            <w:drawing>
              <wp:anchor distT="0" distB="0" distL="114300" distR="114300" simplePos="0" relativeHeight="251662336" behindDoc="0" locked="0" layoutInCell="1" allowOverlap="1" wp14:anchorId="39FED129" wp14:editId="29E5C902">
                <wp:simplePos x="0" y="0"/>
                <wp:positionH relativeFrom="column">
                  <wp:posOffset>2529840</wp:posOffset>
                </wp:positionH>
                <wp:positionV relativeFrom="paragraph">
                  <wp:posOffset>3482340</wp:posOffset>
                </wp:positionV>
                <wp:extent cx="3695700" cy="815340"/>
                <wp:effectExtent l="228600" t="228600" r="247650" b="251460"/>
                <wp:wrapNone/>
                <wp:docPr id="169394235" name="Text Box 4"/>
                <wp:cNvGraphicFramePr/>
                <a:graphic xmlns:a="http://schemas.openxmlformats.org/drawingml/2006/main">
                  <a:graphicData uri="http://schemas.microsoft.com/office/word/2010/wordprocessingShape">
                    <wps:wsp>
                      <wps:cNvSpPr txBox="1"/>
                      <wps:spPr>
                        <a:xfrm>
                          <a:off x="0" y="0"/>
                          <a:ext cx="3695700" cy="815340"/>
                        </a:xfrm>
                        <a:prstGeom prst="rect">
                          <a:avLst/>
                        </a:prstGeom>
                        <a:solidFill>
                          <a:schemeClr val="accent5">
                            <a:lumMod val="60000"/>
                            <a:lumOff val="40000"/>
                          </a:schemeClr>
                        </a:solidFill>
                        <a:ln w="6350">
                          <a:solidFill>
                            <a:prstClr val="black"/>
                          </a:solidFill>
                        </a:ln>
                        <a:effectLst>
                          <a:glow rad="228600">
                            <a:schemeClr val="accent1">
                              <a:satMod val="175000"/>
                              <a:alpha val="40000"/>
                            </a:schemeClr>
                          </a:glow>
                        </a:effectLst>
                      </wps:spPr>
                      <wps:txbx>
                        <w:txbxContent>
                          <w:p w14:paraId="07F5EB51" w14:textId="77777777" w:rsidR="003A1B95" w:rsidRPr="00F95863" w:rsidRDefault="003A1B95" w:rsidP="003A1B95">
                            <w:pPr>
                              <w:rPr>
                                <w:rFonts w:ascii="Times New Roman" w:hAnsi="Times New Roman" w:cs="Times New Roman"/>
                                <w:sz w:val="16"/>
                                <w:szCs w:val="16"/>
                                <w:highlight w:val="green"/>
                              </w:rPr>
                            </w:pPr>
                            <w:r w:rsidRPr="00F95863">
                              <w:rPr>
                                <w:rFonts w:ascii="Times New Roman" w:hAnsi="Times New Roman" w:cs="Times New Roman"/>
                                <w:sz w:val="16"/>
                                <w:szCs w:val="16"/>
                                <w:highlight w:val="green"/>
                              </w:rPr>
                              <w:t>Rural Anchor Initiative</w:t>
                            </w:r>
                          </w:p>
                          <w:p w14:paraId="58E096F6" w14:textId="2B737901" w:rsidR="003A1B95" w:rsidRPr="003A1B95" w:rsidRDefault="003A1B95" w:rsidP="003A1B95">
                            <w:pPr>
                              <w:rPr>
                                <w:rFonts w:ascii="Times New Roman" w:hAnsi="Times New Roman" w:cs="Times New Roman"/>
                                <w:sz w:val="16"/>
                                <w:szCs w:val="16"/>
                              </w:rPr>
                            </w:pPr>
                            <w:r w:rsidRPr="00F95863">
                              <w:rPr>
                                <w:rFonts w:ascii="Times New Roman" w:hAnsi="Times New Roman" w:cs="Times New Roman"/>
                                <w:sz w:val="16"/>
                                <w:szCs w:val="16"/>
                                <w:highlight w:val="green"/>
                              </w:rPr>
                              <w:t>This project, a successor to the Rural Development Programme, provides funds for rural community development, climate change measures, and assistance for rural enterprises. It seeks to invest in small-scale renewable energy initiatives and other endeavours that support rural communities.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ED129" id="Text Box 4" o:spid="_x0000_s1029" type="#_x0000_t202" style="position:absolute;margin-left:199.2pt;margin-top:274.2pt;width:291pt;height:6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" fillcolor="#d86dcb [1944]" strokeweight=".5pt">
                <v:textbox>
                  <w:txbxContent>
                    <w:p w14:paraId="07F5EB51" w14:textId="77777777" w:rsidR="003A1B95" w:rsidRPr="00F95863" w:rsidRDefault="003A1B95" w:rsidP="003A1B95">
                      <w:pPr>
                        <w:rPr>
                          <w:rFonts w:ascii="Times New Roman" w:hAnsi="Times New Roman" w:cs="Times New Roman"/>
                          <w:sz w:val="16"/>
                          <w:szCs w:val="16"/>
                          <w:highlight w:val="green"/>
                        </w:rPr>
                      </w:pPr>
                      <w:r w:rsidRPr="00F95863">
                        <w:rPr>
                          <w:rFonts w:ascii="Times New Roman" w:hAnsi="Times New Roman" w:cs="Times New Roman"/>
                          <w:sz w:val="16"/>
                          <w:szCs w:val="16"/>
                          <w:highlight w:val="green"/>
                        </w:rPr>
                        <w:t>Rural Anchor Initiative</w:t>
                      </w:r>
                    </w:p>
                    <w:p w14:paraId="58E096F6" w14:textId="2B737901" w:rsidR="003A1B95" w:rsidRPr="003A1B95" w:rsidRDefault="003A1B95" w:rsidP="003A1B95">
                      <w:pPr>
                        <w:rPr>
                          <w:rFonts w:ascii="Times New Roman" w:hAnsi="Times New Roman" w:cs="Times New Roman"/>
                          <w:sz w:val="16"/>
                          <w:szCs w:val="16"/>
                        </w:rPr>
                      </w:pPr>
                      <w:r w:rsidRPr="00F95863">
                        <w:rPr>
                          <w:rFonts w:ascii="Times New Roman" w:hAnsi="Times New Roman" w:cs="Times New Roman"/>
                          <w:sz w:val="16"/>
                          <w:szCs w:val="16"/>
                          <w:highlight w:val="green"/>
                        </w:rPr>
                        <w:t>This project, a successor to the Rural Development Programme, provides funds for rural community development, climate change measures, and assistance for rural enterprises. It seeks to invest in small-scale renewable energy initiatives and other endeavours that support rural communities.</w:t>
                      </w:r>
                    </w:p>
                  </w:txbxContent>
                </v:textbox>
              </v:shape>
            </w:pict>
          </mc:Fallback>
        </mc:AlternateContent>
      </w:r>
      <w:r w:rsidR="00F95863">
        <w:rPr>
          <w:noProof/>
        </w:rPr>
        <mc:AlternateContent>
          <mc:Choice Requires="wps">
            <w:drawing>
              <wp:anchor distT="0" distB="0" distL="114300" distR="114300" simplePos="0" relativeHeight="251661312" behindDoc="0" locked="0" layoutInCell="1" allowOverlap="1" wp14:anchorId="68A4BF87" wp14:editId="12D615D9">
                <wp:simplePos x="0" y="0"/>
                <wp:positionH relativeFrom="column">
                  <wp:posOffset>-510540</wp:posOffset>
                </wp:positionH>
                <wp:positionV relativeFrom="paragraph">
                  <wp:posOffset>3474720</wp:posOffset>
                </wp:positionV>
                <wp:extent cx="3025140" cy="4998720"/>
                <wp:effectExtent l="228600" t="228600" r="251460" b="240030"/>
                <wp:wrapNone/>
                <wp:docPr id="710308787" name="Text Box 3"/>
                <wp:cNvGraphicFramePr/>
                <a:graphic xmlns:a="http://schemas.openxmlformats.org/drawingml/2006/main">
                  <a:graphicData uri="http://schemas.microsoft.com/office/word/2010/wordprocessingShape">
                    <wps:wsp>
                      <wps:cNvSpPr txBox="1"/>
                      <wps:spPr>
                        <a:xfrm>
                          <a:off x="0" y="0"/>
                          <a:ext cx="3025140" cy="4998720"/>
                        </a:xfrm>
                        <a:prstGeom prst="rect">
                          <a:avLst/>
                        </a:prstGeom>
                        <a:solidFill>
                          <a:schemeClr val="accent2">
                            <a:lumMod val="50000"/>
                          </a:schemeClr>
                        </a:solidFill>
                        <a:ln w="6350">
                          <a:solidFill>
                            <a:prstClr val="black"/>
                          </a:solidFill>
                        </a:ln>
                        <a:effectLst>
                          <a:glow rad="228600">
                            <a:schemeClr val="accent3">
                              <a:satMod val="175000"/>
                              <a:alpha val="40000"/>
                            </a:schemeClr>
                          </a:glow>
                        </a:effectLst>
                      </wps:spPr>
                      <wps:txbx>
                        <w:txbxContent>
                          <w:p w14:paraId="1653BC12" w14:textId="77777777" w:rsidR="003A1B95" w:rsidRPr="003A1B95" w:rsidRDefault="003A1B95" w:rsidP="003A1B95">
                            <w:pPr>
                              <w:rPr>
                                <w:rFonts w:ascii="Times New Roman" w:hAnsi="Times New Roman" w:cs="Times New Roman"/>
                                <w:color w:val="8DD873" w:themeColor="accent6" w:themeTint="99"/>
                                <w:sz w:val="16"/>
                                <w:szCs w:val="16"/>
                              </w:rPr>
                            </w:pPr>
                            <w:r w:rsidRPr="003A1B95">
                              <w:rPr>
                                <w:rFonts w:ascii="Times New Roman" w:hAnsi="Times New Roman" w:cs="Times New Roman"/>
                                <w:color w:val="8DD873" w:themeColor="accent6" w:themeTint="99"/>
                                <w:sz w:val="16"/>
                                <w:szCs w:val="16"/>
                                <w:highlight w:val="darkBlue"/>
                              </w:rPr>
                              <w:t>The Supporting Communities Anchor initiative in Swansea is a crucial element of the city's community development strategy, designed to strengthen local groups and organisations with targeted grant support. This effort aims to improve community spaces, amenities, and activities to cultivate conditions that enable residents to interact, collaborate, and prosper.</w:t>
                            </w:r>
                          </w:p>
                          <w:p w14:paraId="578A8728" w14:textId="51D5E471" w:rsidR="003A1B95" w:rsidRPr="003A1B95" w:rsidRDefault="003A1B95" w:rsidP="003A1B95">
                            <w:pPr>
                              <w:rPr>
                                <w:rFonts w:ascii="Times New Roman" w:hAnsi="Times New Roman" w:cs="Times New Roman"/>
                                <w:color w:val="8DD873" w:themeColor="accent6" w:themeTint="99"/>
                                <w:sz w:val="16"/>
                                <w:szCs w:val="16"/>
                              </w:rPr>
                            </w:pPr>
                            <w:r w:rsidRPr="003A1B95">
                              <w:rPr>
                                <w:rFonts w:ascii="Times New Roman" w:hAnsi="Times New Roman" w:cs="Times New Roman"/>
                                <w:color w:val="8DD873" w:themeColor="accent6" w:themeTint="99"/>
                                <w:sz w:val="16"/>
                                <w:szCs w:val="16"/>
                                <w:highlight w:val="darkBlue"/>
                              </w:rPr>
                              <w:t xml:space="preserve">This effort </w:t>
                            </w:r>
                            <w:r w:rsidRPr="003A1B95">
                              <w:rPr>
                                <w:rFonts w:ascii="Times New Roman" w:hAnsi="Times New Roman" w:cs="Times New Roman"/>
                                <w:color w:val="8DD873" w:themeColor="accent6" w:themeTint="99"/>
                                <w:sz w:val="16"/>
                                <w:szCs w:val="16"/>
                                <w:highlight w:val="darkBlue"/>
                              </w:rPr>
                              <w:t>focuses</w:t>
                            </w:r>
                            <w:r w:rsidRPr="003A1B95">
                              <w:rPr>
                                <w:rFonts w:ascii="Times New Roman" w:hAnsi="Times New Roman" w:cs="Times New Roman"/>
                                <w:color w:val="8DD873" w:themeColor="accent6" w:themeTint="99"/>
                                <w:sz w:val="16"/>
                                <w:szCs w:val="16"/>
                                <w:highlight w:val="darkBlue"/>
                              </w:rPr>
                              <w:t xml:space="preserve"> on cultivating social capital, which encompasses the networks, connections, and norms that facilitate collective action in communities. The initiative fosters relationships among people by investing in community spaces and supporting local events, thereby enhancing trust and mutual support. This method corresponds with Putnam's (2000) claim that social capital is crucial for the well-being and dynamism of communities</w:t>
                            </w:r>
                            <w:r w:rsidRPr="003A1B95">
                              <w:rPr>
                                <w:rFonts w:ascii="Times New Roman" w:hAnsi="Times New Roman" w:cs="Times New Roman"/>
                                <w:color w:val="8DD873" w:themeColor="accent6" w:themeTint="99"/>
                                <w:sz w:val="16"/>
                                <w:szCs w:val="16"/>
                              </w:rPr>
                              <w:t>.</w:t>
                            </w:r>
                          </w:p>
                          <w:p w14:paraId="79ABAB93" w14:textId="55EBFC10" w:rsidR="003A1B95" w:rsidRPr="003A1B95" w:rsidRDefault="003A1B95" w:rsidP="003A1B95">
                            <w:pPr>
                              <w:rPr>
                                <w:rFonts w:ascii="Times New Roman" w:hAnsi="Times New Roman" w:cs="Times New Roman"/>
                                <w:color w:val="8DD873" w:themeColor="accent6" w:themeTint="99"/>
                                <w:sz w:val="16"/>
                                <w:szCs w:val="16"/>
                              </w:rPr>
                            </w:pPr>
                            <w:r w:rsidRPr="003A1B95">
                              <w:rPr>
                                <w:rFonts w:ascii="Times New Roman" w:hAnsi="Times New Roman" w:cs="Times New Roman"/>
                                <w:color w:val="8DD873" w:themeColor="accent6" w:themeTint="99"/>
                                <w:sz w:val="16"/>
                                <w:szCs w:val="16"/>
                                <w:highlight w:val="darkBlue"/>
                              </w:rPr>
                              <w:t>The initiative prioritises asset-based community development (ABCD), a concept centred on recognising and utilising existing community strengths and resources. By acknowledging and leveraging these strengths, the program enables communities to spearhead their development, cultivating a sense of ownership and resilience. This technique diverges from deficit-based approaches that emphasise needs and issues, advocating instead for a more affirmative and proactive approach to community development.</w:t>
                            </w:r>
                          </w:p>
                          <w:p w14:paraId="0251ECAF" w14:textId="77777777" w:rsidR="003A1B95" w:rsidRPr="003A1B95" w:rsidRDefault="003A1B95" w:rsidP="003A1B95">
                            <w:pPr>
                              <w:rPr>
                                <w:rFonts w:ascii="Times New Roman" w:hAnsi="Times New Roman" w:cs="Times New Roman"/>
                                <w:color w:val="8DD873" w:themeColor="accent6" w:themeTint="99"/>
                                <w:sz w:val="16"/>
                                <w:szCs w:val="16"/>
                              </w:rPr>
                            </w:pPr>
                            <w:r w:rsidRPr="003A1B95">
                              <w:rPr>
                                <w:rFonts w:ascii="Times New Roman" w:hAnsi="Times New Roman" w:cs="Times New Roman"/>
                                <w:color w:val="8DD873" w:themeColor="accent6" w:themeTint="99"/>
                                <w:sz w:val="16"/>
                                <w:szCs w:val="16"/>
                                <w:highlight w:val="darkBlue"/>
                              </w:rPr>
                              <w:t>The Supporting Communities Anchor initiative facilitates significant volunteerism by offering residents chances for meaningful community service. The initiative promotes volunteers, addressing local needs while fostering a culture of active citizenship and civic duty. Volunteers acquire essential skills and experiences, and their efforts result in concrete enhancements within their communities, fostering a positive cycle of involvement and progress.</w:t>
                            </w:r>
                          </w:p>
                          <w:p w14:paraId="0F1FC4E3" w14:textId="47DE59F2" w:rsidR="00D84EB2" w:rsidRPr="003A1B95" w:rsidRDefault="003A1B95" w:rsidP="003A1B95">
                            <w:pPr>
                              <w:rPr>
                                <w:rFonts w:ascii="Times New Roman" w:hAnsi="Times New Roman" w:cs="Times New Roman"/>
                                <w:color w:val="8DD873" w:themeColor="accent6" w:themeTint="99"/>
                                <w:sz w:val="16"/>
                                <w:szCs w:val="16"/>
                              </w:rPr>
                            </w:pPr>
                            <w:r w:rsidRPr="003A1B95">
                              <w:rPr>
                                <w:rFonts w:ascii="Times New Roman" w:hAnsi="Times New Roman" w:cs="Times New Roman"/>
                                <w:color w:val="8DD873" w:themeColor="accent6" w:themeTint="99"/>
                                <w:sz w:val="16"/>
                                <w:szCs w:val="16"/>
                                <w:highlight w:val="darkBlue"/>
                              </w:rPr>
                              <w:t>In essence, the Supporting Communities Anchor project significantly enhances community cohesion and promotes active citizenship in Swansea by</w:t>
                            </w:r>
                            <w:r w:rsidRPr="003A1B95">
                              <w:rPr>
                                <w:color w:val="8DD873" w:themeColor="accent6" w:themeTint="99"/>
                                <w:highlight w:val="darkBlue"/>
                              </w:rPr>
                              <w:t xml:space="preserve"> </w:t>
                            </w:r>
                            <w:r w:rsidRPr="003A1B95">
                              <w:rPr>
                                <w:rFonts w:ascii="Times New Roman" w:hAnsi="Times New Roman" w:cs="Times New Roman"/>
                                <w:color w:val="8DD873" w:themeColor="accent6" w:themeTint="99"/>
                                <w:sz w:val="16"/>
                                <w:szCs w:val="16"/>
                                <w:highlight w:val="darkBlue"/>
                              </w:rPr>
                              <w:t xml:space="preserve">emphasising social capital, asset-based development, and meaningful volunteerism. </w:t>
                            </w:r>
                            <w:r w:rsidRPr="003A1B95">
                              <w:rPr>
                                <w:rFonts w:ascii="Times New Roman" w:hAnsi="Times New Roman" w:cs="Times New Roman"/>
                                <w:color w:val="8DD873" w:themeColor="accent6" w:themeTint="99"/>
                                <w:sz w:val="16"/>
                                <w:szCs w:val="16"/>
                                <w:highlight w:val="darkBlue"/>
                              </w:rPr>
                              <w:t>Empowering</w:t>
                            </w:r>
                            <w:r w:rsidRPr="003A1B95">
                              <w:rPr>
                                <w:rFonts w:ascii="Times New Roman" w:hAnsi="Times New Roman" w:cs="Times New Roman"/>
                                <w:color w:val="8DD873" w:themeColor="accent6" w:themeTint="99"/>
                                <w:sz w:val="16"/>
                                <w:szCs w:val="16"/>
                                <w:highlight w:val="darkBlue"/>
                              </w:rPr>
                              <w:t xml:space="preserve"> local groups and organisations, allows communities to leverage their intrinsic strengths and collaborate towards sustainable development and improved quality of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A4BF87" id="Text Box 3" o:spid="_x0000_s1030" type="#_x0000_t202" style="position:absolute;margin-left:-40.2pt;margin-top:273.6pt;width:238.2pt;height:39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" fillcolor="#7f340d [1605]" strokeweight=".5pt">
                <v:textbox>
                  <w:txbxContent>
                    <w:p w14:paraId="1653BC12" w14:textId="77777777" w:rsidR="003A1B95" w:rsidRPr="003A1B95" w:rsidRDefault="003A1B95" w:rsidP="003A1B95">
                      <w:pPr>
                        <w:rPr>
                          <w:rFonts w:ascii="Times New Roman" w:hAnsi="Times New Roman" w:cs="Times New Roman"/>
                          <w:color w:val="8DD873" w:themeColor="accent6" w:themeTint="99"/>
                          <w:sz w:val="16"/>
                          <w:szCs w:val="16"/>
                        </w:rPr>
                      </w:pPr>
                      <w:r w:rsidRPr="003A1B95">
                        <w:rPr>
                          <w:rFonts w:ascii="Times New Roman" w:hAnsi="Times New Roman" w:cs="Times New Roman"/>
                          <w:color w:val="8DD873" w:themeColor="accent6" w:themeTint="99"/>
                          <w:sz w:val="16"/>
                          <w:szCs w:val="16"/>
                          <w:highlight w:val="darkBlue"/>
                        </w:rPr>
                        <w:t>The Supporting Communities Anchor initiative in Swansea is a crucial element of the city's community development strategy, designed to strengthen local groups and organisations with targeted grant support. This effort aims to improve community spaces, amenities, and activities to cultivate conditions that enable residents to interact, collaborate, and prosper.</w:t>
                      </w:r>
                    </w:p>
                    <w:p w14:paraId="578A8728" w14:textId="51D5E471" w:rsidR="003A1B95" w:rsidRPr="003A1B95" w:rsidRDefault="003A1B95" w:rsidP="003A1B95">
                      <w:pPr>
                        <w:rPr>
                          <w:rFonts w:ascii="Times New Roman" w:hAnsi="Times New Roman" w:cs="Times New Roman"/>
                          <w:color w:val="8DD873" w:themeColor="accent6" w:themeTint="99"/>
                          <w:sz w:val="16"/>
                          <w:szCs w:val="16"/>
                        </w:rPr>
                      </w:pPr>
                      <w:r w:rsidRPr="003A1B95">
                        <w:rPr>
                          <w:rFonts w:ascii="Times New Roman" w:hAnsi="Times New Roman" w:cs="Times New Roman"/>
                          <w:color w:val="8DD873" w:themeColor="accent6" w:themeTint="99"/>
                          <w:sz w:val="16"/>
                          <w:szCs w:val="16"/>
                          <w:highlight w:val="darkBlue"/>
                        </w:rPr>
                        <w:t xml:space="preserve">This effort </w:t>
                      </w:r>
                      <w:r w:rsidRPr="003A1B95">
                        <w:rPr>
                          <w:rFonts w:ascii="Times New Roman" w:hAnsi="Times New Roman" w:cs="Times New Roman"/>
                          <w:color w:val="8DD873" w:themeColor="accent6" w:themeTint="99"/>
                          <w:sz w:val="16"/>
                          <w:szCs w:val="16"/>
                          <w:highlight w:val="darkBlue"/>
                        </w:rPr>
                        <w:t>focuses</w:t>
                      </w:r>
                      <w:r w:rsidRPr="003A1B95">
                        <w:rPr>
                          <w:rFonts w:ascii="Times New Roman" w:hAnsi="Times New Roman" w:cs="Times New Roman"/>
                          <w:color w:val="8DD873" w:themeColor="accent6" w:themeTint="99"/>
                          <w:sz w:val="16"/>
                          <w:szCs w:val="16"/>
                          <w:highlight w:val="darkBlue"/>
                        </w:rPr>
                        <w:t xml:space="preserve"> on cultivating social capital, which encompasses the networks, connections, and norms that facilitate collective action in communities. The initiative fosters relationships among people by investing in community spaces and supporting local events, thereby enhancing trust and mutual support. This method corresponds with Putnam's (2000) claim that social capital is crucial for the well-being and dynamism of communities</w:t>
                      </w:r>
                      <w:r w:rsidRPr="003A1B95">
                        <w:rPr>
                          <w:rFonts w:ascii="Times New Roman" w:hAnsi="Times New Roman" w:cs="Times New Roman"/>
                          <w:color w:val="8DD873" w:themeColor="accent6" w:themeTint="99"/>
                          <w:sz w:val="16"/>
                          <w:szCs w:val="16"/>
                        </w:rPr>
                        <w:t>.</w:t>
                      </w:r>
                    </w:p>
                    <w:p w14:paraId="79ABAB93" w14:textId="55EBFC10" w:rsidR="003A1B95" w:rsidRPr="003A1B95" w:rsidRDefault="003A1B95" w:rsidP="003A1B95">
                      <w:pPr>
                        <w:rPr>
                          <w:rFonts w:ascii="Times New Roman" w:hAnsi="Times New Roman" w:cs="Times New Roman"/>
                          <w:color w:val="8DD873" w:themeColor="accent6" w:themeTint="99"/>
                          <w:sz w:val="16"/>
                          <w:szCs w:val="16"/>
                        </w:rPr>
                      </w:pPr>
                      <w:r w:rsidRPr="003A1B95">
                        <w:rPr>
                          <w:rFonts w:ascii="Times New Roman" w:hAnsi="Times New Roman" w:cs="Times New Roman"/>
                          <w:color w:val="8DD873" w:themeColor="accent6" w:themeTint="99"/>
                          <w:sz w:val="16"/>
                          <w:szCs w:val="16"/>
                          <w:highlight w:val="darkBlue"/>
                        </w:rPr>
                        <w:t>The initiative prioritises asset-based community development (ABCD), a concept centred on recognising and utilising existing community strengths and resources. By acknowledging and leveraging these strengths, the program enables communities to spearhead their development, cultivating a sense of ownership and resilience. This technique diverges from deficit-based approaches that emphasise needs and issues, advocating instead for a more affirmative and proactive approach to community development.</w:t>
                      </w:r>
                    </w:p>
                    <w:p w14:paraId="0251ECAF" w14:textId="77777777" w:rsidR="003A1B95" w:rsidRPr="003A1B95" w:rsidRDefault="003A1B95" w:rsidP="003A1B95">
                      <w:pPr>
                        <w:rPr>
                          <w:rFonts w:ascii="Times New Roman" w:hAnsi="Times New Roman" w:cs="Times New Roman"/>
                          <w:color w:val="8DD873" w:themeColor="accent6" w:themeTint="99"/>
                          <w:sz w:val="16"/>
                          <w:szCs w:val="16"/>
                        </w:rPr>
                      </w:pPr>
                      <w:r w:rsidRPr="003A1B95">
                        <w:rPr>
                          <w:rFonts w:ascii="Times New Roman" w:hAnsi="Times New Roman" w:cs="Times New Roman"/>
                          <w:color w:val="8DD873" w:themeColor="accent6" w:themeTint="99"/>
                          <w:sz w:val="16"/>
                          <w:szCs w:val="16"/>
                          <w:highlight w:val="darkBlue"/>
                        </w:rPr>
                        <w:t>The Supporting Communities Anchor initiative facilitates significant volunteerism by offering residents chances for meaningful community service. The initiative promotes volunteers, addressing local needs while fostering a culture of active citizenship and civic duty. Volunteers acquire essential skills and experiences, and their efforts result in concrete enhancements within their communities, fostering a positive cycle of involvement and progress.</w:t>
                      </w:r>
                    </w:p>
                    <w:p w14:paraId="0F1FC4E3" w14:textId="47DE59F2" w:rsidR="00D84EB2" w:rsidRPr="003A1B95" w:rsidRDefault="003A1B95" w:rsidP="003A1B95">
                      <w:pPr>
                        <w:rPr>
                          <w:rFonts w:ascii="Times New Roman" w:hAnsi="Times New Roman" w:cs="Times New Roman"/>
                          <w:color w:val="8DD873" w:themeColor="accent6" w:themeTint="99"/>
                          <w:sz w:val="16"/>
                          <w:szCs w:val="16"/>
                        </w:rPr>
                      </w:pPr>
                      <w:r w:rsidRPr="003A1B95">
                        <w:rPr>
                          <w:rFonts w:ascii="Times New Roman" w:hAnsi="Times New Roman" w:cs="Times New Roman"/>
                          <w:color w:val="8DD873" w:themeColor="accent6" w:themeTint="99"/>
                          <w:sz w:val="16"/>
                          <w:szCs w:val="16"/>
                          <w:highlight w:val="darkBlue"/>
                        </w:rPr>
                        <w:t>In essence, the Supporting Communities Anchor project significantly enhances community cohesion and promotes active citizenship in Swansea by</w:t>
                      </w:r>
                      <w:r w:rsidRPr="003A1B95">
                        <w:rPr>
                          <w:color w:val="8DD873" w:themeColor="accent6" w:themeTint="99"/>
                          <w:highlight w:val="darkBlue"/>
                        </w:rPr>
                        <w:t xml:space="preserve"> </w:t>
                      </w:r>
                      <w:r w:rsidRPr="003A1B95">
                        <w:rPr>
                          <w:rFonts w:ascii="Times New Roman" w:hAnsi="Times New Roman" w:cs="Times New Roman"/>
                          <w:color w:val="8DD873" w:themeColor="accent6" w:themeTint="99"/>
                          <w:sz w:val="16"/>
                          <w:szCs w:val="16"/>
                          <w:highlight w:val="darkBlue"/>
                        </w:rPr>
                        <w:t xml:space="preserve">emphasising social capital, asset-based development, and meaningful volunteerism. </w:t>
                      </w:r>
                      <w:r w:rsidRPr="003A1B95">
                        <w:rPr>
                          <w:rFonts w:ascii="Times New Roman" w:hAnsi="Times New Roman" w:cs="Times New Roman"/>
                          <w:color w:val="8DD873" w:themeColor="accent6" w:themeTint="99"/>
                          <w:sz w:val="16"/>
                          <w:szCs w:val="16"/>
                          <w:highlight w:val="darkBlue"/>
                        </w:rPr>
                        <w:t>Empowering</w:t>
                      </w:r>
                      <w:r w:rsidRPr="003A1B95">
                        <w:rPr>
                          <w:rFonts w:ascii="Times New Roman" w:hAnsi="Times New Roman" w:cs="Times New Roman"/>
                          <w:color w:val="8DD873" w:themeColor="accent6" w:themeTint="99"/>
                          <w:sz w:val="16"/>
                          <w:szCs w:val="16"/>
                          <w:highlight w:val="darkBlue"/>
                        </w:rPr>
                        <w:t xml:space="preserve"> local groups and organisations, allows communities to leverage their intrinsic strengths and collaborate towards sustainable development and improved quality of life.</w:t>
                      </w:r>
                    </w:p>
                  </w:txbxContent>
                </v:textbox>
              </v:shape>
            </w:pict>
          </mc:Fallback>
        </mc:AlternateContent>
      </w:r>
      <w:r w:rsidR="00F95863">
        <w:rPr>
          <w:noProof/>
        </w:rPr>
        <mc:AlternateContent>
          <mc:Choice Requires="wps">
            <w:drawing>
              <wp:anchor distT="0" distB="0" distL="114300" distR="114300" simplePos="0" relativeHeight="251660288" behindDoc="0" locked="0" layoutInCell="1" allowOverlap="1" wp14:anchorId="3696FFA7" wp14:editId="754AD2D8">
                <wp:simplePos x="0" y="0"/>
                <wp:positionH relativeFrom="column">
                  <wp:posOffset>-548640</wp:posOffset>
                </wp:positionH>
                <wp:positionV relativeFrom="paragraph">
                  <wp:posOffset>1333500</wp:posOffset>
                </wp:positionV>
                <wp:extent cx="6789420" cy="2133600"/>
                <wp:effectExtent l="152400" t="152400" r="144780" b="152400"/>
                <wp:wrapNone/>
                <wp:docPr id="1570008060" name="Text Box 2"/>
                <wp:cNvGraphicFramePr/>
                <a:graphic xmlns:a="http://schemas.openxmlformats.org/drawingml/2006/main">
                  <a:graphicData uri="http://schemas.microsoft.com/office/word/2010/wordprocessingShape">
                    <wps:wsp>
                      <wps:cNvSpPr txBox="1"/>
                      <wps:spPr>
                        <a:xfrm>
                          <a:off x="0" y="0"/>
                          <a:ext cx="6789420" cy="2133600"/>
                        </a:xfrm>
                        <a:prstGeom prst="rect">
                          <a:avLst/>
                        </a:prstGeom>
                        <a:solidFill>
                          <a:srgbClr val="DC3939"/>
                        </a:solidFill>
                        <a:ln w="76200">
                          <a:solidFill>
                            <a:schemeClr val="accent3">
                              <a:lumMod val="75000"/>
                            </a:schemeClr>
                          </a:solidFill>
                        </a:ln>
                        <a:effectLst>
                          <a:glow rad="101600">
                            <a:schemeClr val="accent4">
                              <a:satMod val="175000"/>
                              <a:alpha val="40000"/>
                            </a:schemeClr>
                          </a:glow>
                        </a:effectLst>
                      </wps:spPr>
                      <wps:txbx>
                        <w:txbxContent>
                          <w:p w14:paraId="7AE84C9D" w14:textId="77777777" w:rsidR="00D84EB2" w:rsidRPr="00D84EB2" w:rsidRDefault="00D84EB2" w:rsidP="00D84EB2">
                            <w:pPr>
                              <w:rPr>
                                <w:rFonts w:ascii="Arial" w:hAnsi="Arial" w:cs="Arial"/>
                                <w:b/>
                                <w:bCs/>
                              </w:rPr>
                            </w:pPr>
                            <w:r w:rsidRPr="00D84EB2">
                              <w:rPr>
                                <w:rFonts w:ascii="Arial" w:hAnsi="Arial" w:cs="Arial"/>
                                <w:b/>
                                <w:bCs/>
                                <w:highlight w:val="yellow"/>
                              </w:rPr>
                              <w:t>Swansea has received a total of 38.4 million pounds from the Shared Prosperity Fund of the United Kingdom, which will be used to fund six 'anchor' initiatives that are in line with local goals. This project includes the following:</w:t>
                            </w:r>
                          </w:p>
                          <w:p w14:paraId="1604A26F" w14:textId="5B0B6F86" w:rsidR="00D84EB2" w:rsidRPr="00D84EB2" w:rsidRDefault="00D84EB2" w:rsidP="00D84EB2">
                            <w:pPr>
                              <w:rPr>
                                <w:rFonts w:ascii="Arial" w:hAnsi="Arial" w:cs="Arial"/>
                                <w:b/>
                                <w:bCs/>
                              </w:rPr>
                            </w:pPr>
                            <w:r w:rsidRPr="00D84EB2">
                              <w:rPr>
                                <w:rFonts w:ascii="Arial" w:hAnsi="Arial" w:cs="Arial"/>
                                <w:b/>
                                <w:bCs/>
                                <w:highlight w:val="yellow"/>
                              </w:rPr>
                              <w:t xml:space="preserve">Businesses </w:t>
                            </w:r>
                            <w:r w:rsidRPr="00D84EB2">
                              <w:rPr>
                                <w:rFonts w:ascii="Arial" w:hAnsi="Arial" w:cs="Arial"/>
                                <w:b/>
                                <w:bCs/>
                                <w:highlight w:val="yellow"/>
                              </w:rPr>
                              <w:t>that</w:t>
                            </w:r>
                            <w:r w:rsidRPr="00D84EB2">
                              <w:rPr>
                                <w:rFonts w:ascii="Arial" w:hAnsi="Arial" w:cs="Arial"/>
                                <w:b/>
                                <w:bCs/>
                                <w:highlight w:val="yellow"/>
                              </w:rPr>
                              <w:t xml:space="preserve"> are working towards achieving net-zero emissions can receive support in the form of grants for starting and growing their operations, incentives for reducing carbon emissions, and training.</w:t>
                            </w:r>
                          </w:p>
                          <w:p w14:paraId="624441EE" w14:textId="77777777" w:rsidR="00D84EB2" w:rsidRPr="00D84EB2" w:rsidRDefault="00D84EB2" w:rsidP="00D84EB2">
                            <w:pPr>
                              <w:rPr>
                                <w:rFonts w:ascii="Arial" w:hAnsi="Arial" w:cs="Arial"/>
                                <w:b/>
                                <w:bCs/>
                              </w:rPr>
                            </w:pPr>
                            <w:r w:rsidRPr="00D84EB2">
                              <w:rPr>
                                <w:rFonts w:ascii="Arial" w:hAnsi="Arial" w:cs="Arial"/>
                                <w:b/>
                                <w:bCs/>
                                <w:highlight w:val="yellow"/>
                              </w:rPr>
                              <w:t>Initiatives for Employability: Offering assistance to persons who are not actively participating in the labour market, such as paid work placements and specialised employability grants respectively.</w:t>
                            </w:r>
                          </w:p>
                          <w:p w14:paraId="39ADBB1A" w14:textId="77777777" w:rsidR="00D84EB2" w:rsidRPr="00D84EB2" w:rsidRDefault="00D84EB2" w:rsidP="00D84EB2">
                            <w:pPr>
                              <w:rPr>
                                <w:rFonts w:ascii="Arial" w:hAnsi="Arial" w:cs="Arial"/>
                                <w:b/>
                                <w:bCs/>
                              </w:rPr>
                            </w:pPr>
                            <w:r w:rsidRPr="00D84EB2">
                              <w:rPr>
                                <w:rFonts w:ascii="Arial" w:hAnsi="Arial" w:cs="Arial"/>
                                <w:b/>
                                <w:bCs/>
                                <w:highlight w:val="yellow"/>
                              </w:rPr>
                              <w:t>Community enhancement refers to the provision of financial support to community and third-sector projects with the objective of enhancing localities, facilities, and activities.</w:t>
                            </w:r>
                          </w:p>
                          <w:p w14:paraId="58EFAF7B" w14:textId="77777777" w:rsidR="00D84EB2" w:rsidRDefault="00D84EB2" w:rsidP="00D84EB2"/>
                          <w:p w14:paraId="7E2BF61E" w14:textId="77777777" w:rsidR="00D84EB2" w:rsidRDefault="00D84EB2" w:rsidP="00D84EB2">
                            <w:r>
                              <w:t>Investments in rural community development, attempts to combat climate change, and assistance for rural companies are all examples of rural development interventions.</w:t>
                            </w:r>
                          </w:p>
                          <w:p w14:paraId="778DE770" w14:textId="77777777" w:rsidR="00D84EB2" w:rsidRDefault="00D84EB2" w:rsidP="00D84EB2"/>
                          <w:p w14:paraId="20B2755D" w14:textId="19F4AE59" w:rsidR="004C6BE8" w:rsidRDefault="00D84EB2" w:rsidP="00D84EB2">
                            <w:r>
                              <w:t>The growth of local enterprises, the improvement of community areas, and the enhancement of employment possibilities are the goals of these projects.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96FFA7" id="Text Box 2" o:spid="_x0000_s1031" type="#_x0000_t202" style="position:absolute;margin-left:-43.2pt;margin-top:105pt;width:534.6pt;height:1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" fillcolor="#dc3939" strokecolor="#124f1a [2406]" strokeweight="6pt">
                <v:textbox>
                  <w:txbxContent>
                    <w:p w14:paraId="7AE84C9D" w14:textId="77777777" w:rsidR="00D84EB2" w:rsidRPr="00D84EB2" w:rsidRDefault="00D84EB2" w:rsidP="00D84EB2">
                      <w:pPr>
                        <w:rPr>
                          <w:rFonts w:ascii="Arial" w:hAnsi="Arial" w:cs="Arial"/>
                          <w:b/>
                          <w:bCs/>
                        </w:rPr>
                      </w:pPr>
                      <w:r w:rsidRPr="00D84EB2">
                        <w:rPr>
                          <w:rFonts w:ascii="Arial" w:hAnsi="Arial" w:cs="Arial"/>
                          <w:b/>
                          <w:bCs/>
                          <w:highlight w:val="yellow"/>
                        </w:rPr>
                        <w:t>Swansea has received a total of 38.4 million pounds from the Shared Prosperity Fund of the United Kingdom, which will be used to fund six 'anchor' initiatives that are in line with local goals. This project includes the following:</w:t>
                      </w:r>
                    </w:p>
                    <w:p w14:paraId="1604A26F" w14:textId="5B0B6F86" w:rsidR="00D84EB2" w:rsidRPr="00D84EB2" w:rsidRDefault="00D84EB2" w:rsidP="00D84EB2">
                      <w:pPr>
                        <w:rPr>
                          <w:rFonts w:ascii="Arial" w:hAnsi="Arial" w:cs="Arial"/>
                          <w:b/>
                          <w:bCs/>
                        </w:rPr>
                      </w:pPr>
                      <w:r w:rsidRPr="00D84EB2">
                        <w:rPr>
                          <w:rFonts w:ascii="Arial" w:hAnsi="Arial" w:cs="Arial"/>
                          <w:b/>
                          <w:bCs/>
                          <w:highlight w:val="yellow"/>
                        </w:rPr>
                        <w:t xml:space="preserve">Businesses </w:t>
                      </w:r>
                      <w:r w:rsidRPr="00D84EB2">
                        <w:rPr>
                          <w:rFonts w:ascii="Arial" w:hAnsi="Arial" w:cs="Arial"/>
                          <w:b/>
                          <w:bCs/>
                          <w:highlight w:val="yellow"/>
                        </w:rPr>
                        <w:t>that</w:t>
                      </w:r>
                      <w:r w:rsidRPr="00D84EB2">
                        <w:rPr>
                          <w:rFonts w:ascii="Arial" w:hAnsi="Arial" w:cs="Arial"/>
                          <w:b/>
                          <w:bCs/>
                          <w:highlight w:val="yellow"/>
                        </w:rPr>
                        <w:t xml:space="preserve"> are working towards achieving net-zero emissions can receive support in the form of grants for starting and growing their operations, incentives for reducing carbon emissions, and training.</w:t>
                      </w:r>
                    </w:p>
                    <w:p w14:paraId="624441EE" w14:textId="77777777" w:rsidR="00D84EB2" w:rsidRPr="00D84EB2" w:rsidRDefault="00D84EB2" w:rsidP="00D84EB2">
                      <w:pPr>
                        <w:rPr>
                          <w:rFonts w:ascii="Arial" w:hAnsi="Arial" w:cs="Arial"/>
                          <w:b/>
                          <w:bCs/>
                        </w:rPr>
                      </w:pPr>
                      <w:r w:rsidRPr="00D84EB2">
                        <w:rPr>
                          <w:rFonts w:ascii="Arial" w:hAnsi="Arial" w:cs="Arial"/>
                          <w:b/>
                          <w:bCs/>
                          <w:highlight w:val="yellow"/>
                        </w:rPr>
                        <w:t>Initiatives for Employability: Offering assistance to persons who are not actively participating in the labour market, such as paid work placements and specialised employability grants respectively.</w:t>
                      </w:r>
                    </w:p>
                    <w:p w14:paraId="39ADBB1A" w14:textId="77777777" w:rsidR="00D84EB2" w:rsidRPr="00D84EB2" w:rsidRDefault="00D84EB2" w:rsidP="00D84EB2">
                      <w:pPr>
                        <w:rPr>
                          <w:rFonts w:ascii="Arial" w:hAnsi="Arial" w:cs="Arial"/>
                          <w:b/>
                          <w:bCs/>
                        </w:rPr>
                      </w:pPr>
                      <w:r w:rsidRPr="00D84EB2">
                        <w:rPr>
                          <w:rFonts w:ascii="Arial" w:hAnsi="Arial" w:cs="Arial"/>
                          <w:b/>
                          <w:bCs/>
                          <w:highlight w:val="yellow"/>
                        </w:rPr>
                        <w:t>Community enhancement refers to the provision of financial support to community and third-sector projects with the objective of enhancing localities, facilities, and activities.</w:t>
                      </w:r>
                    </w:p>
                    <w:p w14:paraId="58EFAF7B" w14:textId="77777777" w:rsidR="00D84EB2" w:rsidRDefault="00D84EB2" w:rsidP="00D84EB2"/>
                    <w:p w14:paraId="7E2BF61E" w14:textId="77777777" w:rsidR="00D84EB2" w:rsidRDefault="00D84EB2" w:rsidP="00D84EB2">
                      <w:r>
                        <w:t>Investments in rural community development, attempts to combat climate change, and assistance for rural companies are all examples of rural development interventions.</w:t>
                      </w:r>
                    </w:p>
                    <w:p w14:paraId="778DE770" w14:textId="77777777" w:rsidR="00D84EB2" w:rsidRDefault="00D84EB2" w:rsidP="00D84EB2"/>
                    <w:p w14:paraId="20B2755D" w14:textId="19F4AE59" w:rsidR="004C6BE8" w:rsidRDefault="00D84EB2" w:rsidP="00D84EB2">
                      <w:r>
                        <w:t>The growth of local enterprises, the improvement of community areas, and the enhancement of employment possibilities are the goals of these projects.</w:t>
                      </w:r>
                    </w:p>
                  </w:txbxContent>
                </v:textbox>
              </v:shape>
            </w:pict>
          </mc:Fallback>
        </mc:AlternateContent>
      </w:r>
      <w:r w:rsidR="00F95863">
        <w:rPr>
          <w:noProof/>
        </w:rPr>
        <mc:AlternateContent>
          <mc:Choice Requires="wps">
            <w:drawing>
              <wp:anchor distT="0" distB="0" distL="114300" distR="114300" simplePos="0" relativeHeight="251659264" behindDoc="0" locked="0" layoutInCell="1" allowOverlap="1" wp14:anchorId="016E4070" wp14:editId="28517E14">
                <wp:simplePos x="0" y="0"/>
                <wp:positionH relativeFrom="column">
                  <wp:posOffset>-533400</wp:posOffset>
                </wp:positionH>
                <wp:positionV relativeFrom="paragraph">
                  <wp:posOffset>114300</wp:posOffset>
                </wp:positionV>
                <wp:extent cx="6804660" cy="1036320"/>
                <wp:effectExtent l="228600" t="228600" r="224790" b="220980"/>
                <wp:wrapNone/>
                <wp:docPr id="27750873" name="Text Box 1"/>
                <wp:cNvGraphicFramePr/>
                <a:graphic xmlns:a="http://schemas.openxmlformats.org/drawingml/2006/main">
                  <a:graphicData uri="http://schemas.microsoft.com/office/word/2010/wordprocessingShape">
                    <wps:wsp>
                      <wps:cNvSpPr txBox="1"/>
                      <wps:spPr>
                        <a:xfrm>
                          <a:off x="0" y="0"/>
                          <a:ext cx="6804660" cy="1036320"/>
                        </a:xfrm>
                        <a:prstGeom prst="rect">
                          <a:avLst/>
                        </a:prstGeom>
                        <a:solidFill>
                          <a:schemeClr val="accent4">
                            <a:alpha val="50000"/>
                          </a:schemeClr>
                        </a:solidFill>
                        <a:ln>
                          <a:noFill/>
                        </a:ln>
                        <a:effectLst>
                          <a:glow rad="228600">
                            <a:schemeClr val="accent2">
                              <a:satMod val="175000"/>
                              <a:alpha val="40000"/>
                            </a:schemeClr>
                          </a:glow>
                        </a:effectLst>
                      </wps:spPr>
                      <wps:style>
                        <a:lnRef idx="0">
                          <a:scrgbClr r="0" g="0" b="0"/>
                        </a:lnRef>
                        <a:fillRef idx="0">
                          <a:scrgbClr r="0" g="0" b="0"/>
                        </a:fillRef>
                        <a:effectRef idx="0">
                          <a:scrgbClr r="0" g="0" b="0"/>
                        </a:effectRef>
                        <a:fontRef idx="minor">
                          <a:schemeClr val="lt1"/>
                        </a:fontRef>
                      </wps:style>
                      <wps:txbx>
                        <w:txbxContent>
                          <w:p w14:paraId="555736E0" w14:textId="77777777" w:rsidR="004C6BE8" w:rsidRDefault="004C6BE8">
                            <w:pPr>
                              <w:rPr>
                                <w:rFonts w:ascii="Arial" w:hAnsi="Arial" w:cs="Arial"/>
                                <w:b/>
                                <w:bCs/>
                                <w:color w:val="BF4E14" w:themeColor="accent2" w:themeShade="BF"/>
                              </w:rPr>
                            </w:pPr>
                            <w:r>
                              <w:rPr>
                                <w:rFonts w:ascii="Arial" w:hAnsi="Arial" w:cs="Arial"/>
                                <w:b/>
                                <w:bCs/>
                                <w:color w:val="BF4E14" w:themeColor="accent2" w:themeShade="BF"/>
                              </w:rPr>
                              <w:t>Introduction</w:t>
                            </w:r>
                          </w:p>
                          <w:p w14:paraId="73447F86" w14:textId="71729F53" w:rsidR="00DE0EB6" w:rsidRDefault="004C6BE8">
                            <w:pPr>
                              <w:rPr>
                                <w:rFonts w:ascii="Arial" w:hAnsi="Arial" w:cs="Arial"/>
                                <w:b/>
                                <w:bCs/>
                                <w:color w:val="BF4E14" w:themeColor="accent2" w:themeShade="BF"/>
                              </w:rPr>
                            </w:pPr>
                            <w:r w:rsidRPr="004C6BE8">
                              <w:rPr>
                                <w:rFonts w:ascii="Arial" w:hAnsi="Arial" w:cs="Arial"/>
                                <w:b/>
                                <w:bCs/>
                                <w:color w:val="BF4E14" w:themeColor="accent2" w:themeShade="BF"/>
                              </w:rPr>
                              <w:t>The Welsh seaside city of Swansea is home to a multitude of community development initiatives that are aimed at improving the quality of life for the people who live there. Within the scope of this presentation, we will investigate significant initiatives that are now underway in Swansea, focussing on their goals, impacts, and potential for community involvement.</w:t>
                            </w:r>
                          </w:p>
                          <w:p w14:paraId="25089A01" w14:textId="77777777" w:rsidR="004C6BE8" w:rsidRDefault="004C6BE8">
                            <w:pPr>
                              <w:rPr>
                                <w:rFonts w:ascii="Arial" w:hAnsi="Arial" w:cs="Arial"/>
                                <w:b/>
                                <w:bCs/>
                                <w:color w:val="BF4E14" w:themeColor="accent2" w:themeShade="BF"/>
                              </w:rPr>
                            </w:pPr>
                          </w:p>
                          <w:p w14:paraId="2EE4B636" w14:textId="77777777" w:rsidR="004C6BE8" w:rsidRDefault="004C6BE8">
                            <w:pPr>
                              <w:rPr>
                                <w:rFonts w:ascii="Arial" w:hAnsi="Arial" w:cs="Arial"/>
                                <w:b/>
                                <w:bCs/>
                                <w:color w:val="BF4E14" w:themeColor="accent2" w:themeShade="BF"/>
                              </w:rPr>
                            </w:pPr>
                          </w:p>
                          <w:p w14:paraId="035CAE16" w14:textId="77777777" w:rsidR="004C6BE8" w:rsidRDefault="004C6BE8">
                            <w:pPr>
                              <w:rPr>
                                <w:rFonts w:ascii="Arial" w:hAnsi="Arial" w:cs="Arial"/>
                                <w:b/>
                                <w:bCs/>
                                <w:color w:val="BF4E14" w:themeColor="accent2" w:themeShade="BF"/>
                              </w:rPr>
                            </w:pPr>
                          </w:p>
                          <w:p w14:paraId="3084BF78" w14:textId="77777777" w:rsidR="004C6BE8" w:rsidRPr="004C6BE8" w:rsidRDefault="004C6BE8">
                            <w:pPr>
                              <w:rPr>
                                <w:rFonts w:ascii="Arial" w:hAnsi="Arial" w:cs="Arial"/>
                                <w:b/>
                                <w:bCs/>
                                <w:color w:val="BF4E14" w:themeColor="accent2"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6E4070" id="Text Box 1" o:spid="_x0000_s1032" type="#_x0000_t202" style="position:absolute;margin-left:-42pt;margin-top:9pt;width:535.8pt;height:8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" fillcolor="#0f9ed5 [3207]" stroked="f">
                <v:fill opacity="32896f"/>
                <v:textbox>
                  <w:txbxContent>
                    <w:p w14:paraId="555736E0" w14:textId="77777777" w:rsidR="004C6BE8" w:rsidRDefault="004C6BE8">
                      <w:pPr>
                        <w:rPr>
                          <w:rFonts w:ascii="Arial" w:hAnsi="Arial" w:cs="Arial"/>
                          <w:b/>
                          <w:bCs/>
                          <w:color w:val="BF4E14" w:themeColor="accent2" w:themeShade="BF"/>
                        </w:rPr>
                      </w:pPr>
                      <w:r>
                        <w:rPr>
                          <w:rFonts w:ascii="Arial" w:hAnsi="Arial" w:cs="Arial"/>
                          <w:b/>
                          <w:bCs/>
                          <w:color w:val="BF4E14" w:themeColor="accent2" w:themeShade="BF"/>
                        </w:rPr>
                        <w:t>Introduction</w:t>
                      </w:r>
                    </w:p>
                    <w:p w14:paraId="73447F86" w14:textId="71729F53" w:rsidR="00DE0EB6" w:rsidRDefault="004C6BE8">
                      <w:pPr>
                        <w:rPr>
                          <w:rFonts w:ascii="Arial" w:hAnsi="Arial" w:cs="Arial"/>
                          <w:b/>
                          <w:bCs/>
                          <w:color w:val="BF4E14" w:themeColor="accent2" w:themeShade="BF"/>
                        </w:rPr>
                      </w:pPr>
                      <w:r w:rsidRPr="004C6BE8">
                        <w:rPr>
                          <w:rFonts w:ascii="Arial" w:hAnsi="Arial" w:cs="Arial"/>
                          <w:b/>
                          <w:bCs/>
                          <w:color w:val="BF4E14" w:themeColor="accent2" w:themeShade="BF"/>
                        </w:rPr>
                        <w:t>The Welsh seaside city of Swansea is home to a multitude of community development initiatives that are aimed at improving the quality of life for the people who live there. Within the scope of this presentation, we will investigate significant initiatives that are now underway in Swansea, focussing on their goals, impacts, and potential for community involvement.</w:t>
                      </w:r>
                    </w:p>
                    <w:p w14:paraId="25089A01" w14:textId="77777777" w:rsidR="004C6BE8" w:rsidRDefault="004C6BE8">
                      <w:pPr>
                        <w:rPr>
                          <w:rFonts w:ascii="Arial" w:hAnsi="Arial" w:cs="Arial"/>
                          <w:b/>
                          <w:bCs/>
                          <w:color w:val="BF4E14" w:themeColor="accent2" w:themeShade="BF"/>
                        </w:rPr>
                      </w:pPr>
                    </w:p>
                    <w:p w14:paraId="2EE4B636" w14:textId="77777777" w:rsidR="004C6BE8" w:rsidRDefault="004C6BE8">
                      <w:pPr>
                        <w:rPr>
                          <w:rFonts w:ascii="Arial" w:hAnsi="Arial" w:cs="Arial"/>
                          <w:b/>
                          <w:bCs/>
                          <w:color w:val="BF4E14" w:themeColor="accent2" w:themeShade="BF"/>
                        </w:rPr>
                      </w:pPr>
                    </w:p>
                    <w:p w14:paraId="035CAE16" w14:textId="77777777" w:rsidR="004C6BE8" w:rsidRDefault="004C6BE8">
                      <w:pPr>
                        <w:rPr>
                          <w:rFonts w:ascii="Arial" w:hAnsi="Arial" w:cs="Arial"/>
                          <w:b/>
                          <w:bCs/>
                          <w:color w:val="BF4E14" w:themeColor="accent2" w:themeShade="BF"/>
                        </w:rPr>
                      </w:pPr>
                    </w:p>
                    <w:p w14:paraId="3084BF78" w14:textId="77777777" w:rsidR="004C6BE8" w:rsidRPr="004C6BE8" w:rsidRDefault="004C6BE8">
                      <w:pPr>
                        <w:rPr>
                          <w:rFonts w:ascii="Arial" w:hAnsi="Arial" w:cs="Arial"/>
                          <w:b/>
                          <w:bCs/>
                          <w:color w:val="BF4E14" w:themeColor="accent2" w:themeShade="BF"/>
                        </w:rPr>
                      </w:pPr>
                    </w:p>
                  </w:txbxContent>
                </v:textbox>
              </v:shape>
            </w:pict>
          </mc:Fallback>
        </mc:AlternateContent>
      </w:r>
      <w:r w:rsidR="00F95863">
        <w:rPr>
          <w:noProof/>
        </w:rPr>
        <mc:AlternateContent>
          <mc:Choice Requires="wps">
            <w:drawing>
              <wp:anchor distT="0" distB="0" distL="114300" distR="114300" simplePos="0" relativeHeight="251666432" behindDoc="0" locked="0" layoutInCell="1" allowOverlap="1" wp14:anchorId="4F28DFD8" wp14:editId="796F4D13">
                <wp:simplePos x="0" y="0"/>
                <wp:positionH relativeFrom="margin">
                  <wp:align>left</wp:align>
                </wp:positionH>
                <wp:positionV relativeFrom="paragraph">
                  <wp:posOffset>-533400</wp:posOffset>
                </wp:positionV>
                <wp:extent cx="5836920" cy="441960"/>
                <wp:effectExtent l="0" t="0" r="0" b="0"/>
                <wp:wrapNone/>
                <wp:docPr id="1912408812" name="Text Box 1"/>
                <wp:cNvGraphicFramePr/>
                <a:graphic xmlns:a="http://schemas.openxmlformats.org/drawingml/2006/main">
                  <a:graphicData uri="http://schemas.microsoft.com/office/word/2010/wordprocessingShape">
                    <wps:wsp>
                      <wps:cNvSpPr txBox="1"/>
                      <wps:spPr>
                        <a:xfrm>
                          <a:off x="0" y="0"/>
                          <a:ext cx="5836920" cy="441960"/>
                        </a:xfrm>
                        <a:prstGeom prst="rect">
                          <a:avLst/>
                        </a:prstGeom>
                        <a:noFill/>
                        <a:ln>
                          <a:noFill/>
                        </a:ln>
                      </wps:spPr>
                      <wps:txbx>
                        <w:txbxContent>
                          <w:p w14:paraId="6F993511" w14:textId="3654ECD3" w:rsidR="00A47B1B" w:rsidRPr="00A47B1B" w:rsidRDefault="00A47B1B" w:rsidP="00A47B1B">
                            <w:pPr>
                              <w:jc w:val="center"/>
                              <w:rPr>
                                <w:b/>
                                <w:noProof/>
                                <w:color w:val="70AD47"/>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47B1B">
                              <w:rPr>
                                <w:b/>
                                <w:noProof/>
                                <w:color w:val="70AD47"/>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Community Development Projects in Swansea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28DFD8" id="_x0000_s1033" type="#_x0000_t202" style="position:absolute;margin-left:0;margin-top:-42pt;width:459.6pt;height:34.8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" filled="f" stroked="f">
                <v:fill o:detectmouseclick="t"/>
                <v:textbox>
                  <w:txbxContent>
                    <w:p w14:paraId="6F993511" w14:textId="3654ECD3" w:rsidR="00A47B1B" w:rsidRPr="00A47B1B" w:rsidRDefault="00A47B1B" w:rsidP="00A47B1B">
                      <w:pPr>
                        <w:jc w:val="center"/>
                        <w:rPr>
                          <w:b/>
                          <w:noProof/>
                          <w:color w:val="70AD47"/>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47B1B">
                        <w:rPr>
                          <w:b/>
                          <w:noProof/>
                          <w:color w:val="70AD47"/>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Community Development Projects in Swansea</w:t>
                      </w:r>
                    </w:p>
                  </w:txbxContent>
                </v:textbox>
                <w10:wrap anchorx="margin"/>
              </v:shape>
            </w:pict>
          </mc:Fallback>
        </mc:AlternateContent>
      </w:r>
    </w:p>
    <w:sectPr w:rsidR="003A2F4E" w:rsidRPr="00F95863" w:rsidSect="00294D60">
      <w:pgSz w:w="11906" w:h="16838"/>
      <w:pgMar w:top="1440" w:right="1440" w:bottom="1440" w:left="1440" w:header="708" w:footer="708" w:gutter="0"/>
      <w:pgBorders w:offsetFrom="page">
        <w:top w:val="doubleWave" w:sz="6" w:space="24" w:color="F1A983" w:themeColor="accent2" w:themeTint="99"/>
        <w:left w:val="doubleWave" w:sz="6" w:space="24" w:color="F1A983" w:themeColor="accent2" w:themeTint="99"/>
        <w:bottom w:val="doubleWave" w:sz="6" w:space="24" w:color="F1A983" w:themeColor="accent2" w:themeTint="99"/>
        <w:right w:val="doubleWave" w:sz="6" w:space="24" w:color="F1A983" w:themeColor="accent2"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EB6"/>
    <w:rsid w:val="00294D60"/>
    <w:rsid w:val="003A1B95"/>
    <w:rsid w:val="003A2F4E"/>
    <w:rsid w:val="004C6BE8"/>
    <w:rsid w:val="007A1C6A"/>
    <w:rsid w:val="008F5A8C"/>
    <w:rsid w:val="009652AE"/>
    <w:rsid w:val="00A47B1B"/>
    <w:rsid w:val="00AD0B95"/>
    <w:rsid w:val="00D84EB2"/>
    <w:rsid w:val="00DA5D03"/>
    <w:rsid w:val="00DE0EB6"/>
    <w:rsid w:val="00F95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E22978"/>
  <w15:chartTrackingRefBased/>
  <w15:docId w15:val="{657C5AA6-4781-4256-BAC0-6D5E279BD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0E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0E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0E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0E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0E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0E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0E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0E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0E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E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0E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0E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0E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0E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0E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0E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0E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0EB6"/>
    <w:rPr>
      <w:rFonts w:eastAsiaTheme="majorEastAsia" w:cstheme="majorBidi"/>
      <w:color w:val="272727" w:themeColor="text1" w:themeTint="D8"/>
    </w:rPr>
  </w:style>
  <w:style w:type="paragraph" w:styleId="Title">
    <w:name w:val="Title"/>
    <w:basedOn w:val="Normal"/>
    <w:next w:val="Normal"/>
    <w:link w:val="TitleChar"/>
    <w:uiPriority w:val="10"/>
    <w:qFormat/>
    <w:rsid w:val="00DE0E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0E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0E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0E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0EB6"/>
    <w:pPr>
      <w:spacing w:before="160"/>
      <w:jc w:val="center"/>
    </w:pPr>
    <w:rPr>
      <w:i/>
      <w:iCs/>
      <w:color w:val="404040" w:themeColor="text1" w:themeTint="BF"/>
    </w:rPr>
  </w:style>
  <w:style w:type="character" w:customStyle="1" w:styleId="QuoteChar">
    <w:name w:val="Quote Char"/>
    <w:basedOn w:val="DefaultParagraphFont"/>
    <w:link w:val="Quote"/>
    <w:uiPriority w:val="29"/>
    <w:rsid w:val="00DE0EB6"/>
    <w:rPr>
      <w:i/>
      <w:iCs/>
      <w:color w:val="404040" w:themeColor="text1" w:themeTint="BF"/>
    </w:rPr>
  </w:style>
  <w:style w:type="paragraph" w:styleId="ListParagraph">
    <w:name w:val="List Paragraph"/>
    <w:basedOn w:val="Normal"/>
    <w:uiPriority w:val="34"/>
    <w:qFormat/>
    <w:rsid w:val="00DE0EB6"/>
    <w:pPr>
      <w:ind w:left="720"/>
      <w:contextualSpacing/>
    </w:pPr>
  </w:style>
  <w:style w:type="character" w:styleId="IntenseEmphasis">
    <w:name w:val="Intense Emphasis"/>
    <w:basedOn w:val="DefaultParagraphFont"/>
    <w:uiPriority w:val="21"/>
    <w:qFormat/>
    <w:rsid w:val="00DE0EB6"/>
    <w:rPr>
      <w:i/>
      <w:iCs/>
      <w:color w:val="0F4761" w:themeColor="accent1" w:themeShade="BF"/>
    </w:rPr>
  </w:style>
  <w:style w:type="paragraph" w:styleId="IntenseQuote">
    <w:name w:val="Intense Quote"/>
    <w:basedOn w:val="Normal"/>
    <w:next w:val="Normal"/>
    <w:link w:val="IntenseQuoteChar"/>
    <w:uiPriority w:val="30"/>
    <w:qFormat/>
    <w:rsid w:val="00DE0E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0EB6"/>
    <w:rPr>
      <w:i/>
      <w:iCs/>
      <w:color w:val="0F4761" w:themeColor="accent1" w:themeShade="BF"/>
    </w:rPr>
  </w:style>
  <w:style w:type="character" w:styleId="IntenseReference">
    <w:name w:val="Intense Reference"/>
    <w:basedOn w:val="DefaultParagraphFont"/>
    <w:uiPriority w:val="32"/>
    <w:qFormat/>
    <w:rsid w:val="00DE0EB6"/>
    <w:rPr>
      <w:b/>
      <w:bCs/>
      <w:smallCaps/>
      <w:color w:val="0F4761" w:themeColor="accent1" w:themeShade="BF"/>
      <w:spacing w:val="5"/>
    </w:rPr>
  </w:style>
  <w:style w:type="character" w:styleId="Hyperlink">
    <w:name w:val="Hyperlink"/>
    <w:basedOn w:val="DefaultParagraphFont"/>
    <w:uiPriority w:val="99"/>
    <w:unhideWhenUsed/>
    <w:rsid w:val="00F95863"/>
    <w:rPr>
      <w:color w:val="467886" w:themeColor="hyperlink"/>
      <w:u w:val="single"/>
    </w:rPr>
  </w:style>
  <w:style w:type="character" w:styleId="UnresolvedMention">
    <w:name w:val="Unresolved Mention"/>
    <w:basedOn w:val="DefaultParagraphFont"/>
    <w:uiPriority w:val="99"/>
    <w:semiHidden/>
    <w:unhideWhenUsed/>
    <w:rsid w:val="00F958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wansea.gov.uk/article/23714/Close-to-30-Swansea-projects-to-benefit-from-multi-million-pound-funding-boost" TargetMode="External"/><Relationship Id="rId13" Type="http://schemas.openxmlformats.org/officeDocument/2006/relationships/hyperlink" Target="https://www.swansea.gov.uk/article/23714/Close-to-30-Swansea-projects-to-benefit-from-multi-million-pound-funding-boost" TargetMode="External"/><Relationship Id="rId3" Type="http://schemas.openxmlformats.org/officeDocument/2006/relationships/webSettings" Target="webSettings.xml"/><Relationship Id="rId7" Type="http://schemas.openxmlformats.org/officeDocument/2006/relationships/hyperlink" Target="https://www.swansea.gov.uk/article/23714/Close-to-30-Swansea-projects-to-benefit-from-multi-million-pound-funding-boost" TargetMode="External"/><Relationship Id="rId12" Type="http://schemas.openxmlformats.org/officeDocument/2006/relationships/hyperlink" Target="https://www.swansea.gov.uk/article/23714/Close-to-30-Swansea-projects-to-benefit-from-multi-million-pound-funding-boost"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swansea.gov.uk/article/23714/Close-to-30-Swansea-projects-to-benefit-from-multi-million-pound-funding-boost" TargetMode="External"/><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hyperlink" Target="http://tamarackcommunity.ca/g3.php" TargetMode="External"/><Relationship Id="rId4" Type="http://schemas.openxmlformats.org/officeDocument/2006/relationships/image" Target="media/image1.png"/><Relationship Id="rId9" Type="http://schemas.openxmlformats.org/officeDocument/2006/relationships/hyperlink" Target="https://www.swansea.gov.uk/article/23714/Close-to-30-Swansea-projects-to-benefit-from-multi-million-pound-funding-boost" TargetMode="External"/><Relationship Id="rId14" Type="http://schemas.openxmlformats.org/officeDocument/2006/relationships/hyperlink" Target="http://tamarackcommunity.ca/g3.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0</Characters>
  <Application>Microsoft Office Word</Application>
  <DocSecurity>0</DocSecurity>
  <Lines>1</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Voican (1907947)</dc:creator>
  <cp:keywords/>
  <dc:description/>
  <cp:lastModifiedBy>Mirabela Voican (1907947)</cp:lastModifiedBy>
  <cp:revision>1</cp:revision>
  <dcterms:created xsi:type="dcterms:W3CDTF">2024-11-10T14:46:00Z</dcterms:created>
  <dcterms:modified xsi:type="dcterms:W3CDTF">2024-11-10T20:55:00Z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0951efab-ff42-45a9-8269-1417db2da438</vt:lpwstr>
  </property>
</Properties>
</file>