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7A96E6" w14:textId="77777777" w:rsidR="008538B8" w:rsidRPr="00077BEE" w:rsidRDefault="008538B8" w:rsidP="008538B8">
      <w:pPr>
        <w:pStyle w:val="ListParagraph"/>
        <w:spacing w:after="0" w:line="240" w:lineRule="auto"/>
        <w:ind w:left="567"/>
        <w:rPr>
          <w:rFonts w:ascii="Arial" w:eastAsiaTheme="minorHAnsi" w:hAnsi="Arial" w:cs="Arial"/>
          <w:sz w:val="24"/>
          <w:szCs w:val="24"/>
          <w:lang w:eastAsia="en-US"/>
        </w:rPr>
      </w:pPr>
      <w:r w:rsidRPr="00077BEE">
        <w:rPr>
          <w:rFonts w:ascii="Arial" w:eastAsiaTheme="minorHAnsi" w:hAnsi="Arial" w:cs="Arial"/>
          <w:sz w:val="24"/>
          <w:szCs w:val="24"/>
          <w:lang w:eastAsia="en-US"/>
        </w:rPr>
        <w:t>Relevant points would include:</w:t>
      </w:r>
    </w:p>
    <w:p w14:paraId="0FFBB552" w14:textId="77777777" w:rsidR="008538B8" w:rsidRPr="00077BEE" w:rsidRDefault="008538B8" w:rsidP="008538B8">
      <w:pPr>
        <w:pStyle w:val="ListParagraph"/>
        <w:numPr>
          <w:ilvl w:val="0"/>
          <w:numId w:val="2"/>
        </w:numPr>
        <w:spacing w:after="0" w:line="240" w:lineRule="auto"/>
        <w:ind w:left="1134" w:hanging="567"/>
        <w:rPr>
          <w:rFonts w:ascii="Arial" w:eastAsiaTheme="minorHAnsi" w:hAnsi="Arial" w:cs="Arial"/>
          <w:sz w:val="24"/>
          <w:szCs w:val="24"/>
          <w:lang w:eastAsia="en-US"/>
        </w:rPr>
      </w:pPr>
      <w:r w:rsidRPr="00077BEE">
        <w:rPr>
          <w:rFonts w:ascii="Arial" w:eastAsiaTheme="minorHAnsi" w:hAnsi="Arial" w:cs="Arial"/>
          <w:sz w:val="24"/>
          <w:szCs w:val="24"/>
          <w:lang w:eastAsia="en-US"/>
        </w:rPr>
        <w:t>One of the purposes of the Conceptual Framework is to help preparers of financial statements when there is no accounting standard relevant to a particular type of transaction. This applies to cryptocurrencies.</w:t>
      </w:r>
    </w:p>
    <w:p w14:paraId="4667D45E" w14:textId="77777777" w:rsidR="008538B8" w:rsidRPr="00077BEE" w:rsidRDefault="008538B8" w:rsidP="008538B8">
      <w:pPr>
        <w:pStyle w:val="ListParagraph"/>
        <w:numPr>
          <w:ilvl w:val="0"/>
          <w:numId w:val="2"/>
        </w:numPr>
        <w:spacing w:after="0" w:line="240" w:lineRule="auto"/>
        <w:ind w:left="1134" w:hanging="567"/>
        <w:rPr>
          <w:rFonts w:ascii="Arial" w:eastAsiaTheme="minorHAnsi" w:hAnsi="Arial" w:cs="Arial"/>
          <w:sz w:val="24"/>
          <w:szCs w:val="24"/>
          <w:lang w:eastAsia="en-US"/>
        </w:rPr>
      </w:pPr>
      <w:r w:rsidRPr="00077BEE">
        <w:rPr>
          <w:rFonts w:ascii="Arial" w:eastAsiaTheme="minorHAnsi" w:hAnsi="Arial" w:cs="Arial"/>
          <w:sz w:val="24"/>
          <w:szCs w:val="24"/>
          <w:lang w:eastAsia="en-US"/>
        </w:rPr>
        <w:t xml:space="preserve">The definition of an asset in the Conceptual Framework is an economic resource controlled by an entity </w:t>
      </w:r>
      <w:proofErr w:type="gramStart"/>
      <w:r w:rsidRPr="00077BEE">
        <w:rPr>
          <w:rFonts w:ascii="Arial" w:eastAsiaTheme="minorHAnsi" w:hAnsi="Arial" w:cs="Arial"/>
          <w:sz w:val="24"/>
          <w:szCs w:val="24"/>
          <w:lang w:eastAsia="en-US"/>
        </w:rPr>
        <w:t>as a consequence of</w:t>
      </w:r>
      <w:proofErr w:type="gramEnd"/>
      <w:r w:rsidRPr="00077BEE">
        <w:rPr>
          <w:rFonts w:ascii="Arial" w:eastAsiaTheme="minorHAnsi" w:hAnsi="Arial" w:cs="Arial"/>
          <w:sz w:val="24"/>
          <w:szCs w:val="24"/>
          <w:lang w:eastAsia="en-US"/>
        </w:rPr>
        <w:t xml:space="preserve"> a past event.</w:t>
      </w:r>
    </w:p>
    <w:p w14:paraId="184B023A" w14:textId="77777777" w:rsidR="008538B8" w:rsidRPr="00077BEE" w:rsidRDefault="008538B8" w:rsidP="008538B8">
      <w:pPr>
        <w:pStyle w:val="ListParagraph"/>
        <w:numPr>
          <w:ilvl w:val="0"/>
          <w:numId w:val="2"/>
        </w:numPr>
        <w:spacing w:after="0" w:line="240" w:lineRule="auto"/>
        <w:ind w:left="1134" w:hanging="567"/>
        <w:rPr>
          <w:rFonts w:ascii="Arial" w:eastAsiaTheme="minorHAnsi" w:hAnsi="Arial" w:cs="Arial"/>
          <w:sz w:val="24"/>
          <w:szCs w:val="24"/>
          <w:lang w:eastAsia="en-US"/>
        </w:rPr>
      </w:pPr>
      <w:r w:rsidRPr="00077BEE">
        <w:rPr>
          <w:rFonts w:ascii="Arial" w:eastAsiaTheme="minorHAnsi" w:hAnsi="Arial" w:cs="Arial"/>
          <w:sz w:val="24"/>
          <w:szCs w:val="24"/>
          <w:lang w:eastAsia="en-US"/>
        </w:rPr>
        <w:t>Cryptocurrency meets this definition because it can be traded and used to buy goods.</w:t>
      </w:r>
    </w:p>
    <w:p w14:paraId="10A12A03" w14:textId="77777777" w:rsidR="008538B8" w:rsidRPr="00077BEE" w:rsidRDefault="008538B8" w:rsidP="008538B8">
      <w:pPr>
        <w:pStyle w:val="ListParagraph"/>
        <w:numPr>
          <w:ilvl w:val="0"/>
          <w:numId w:val="2"/>
        </w:numPr>
        <w:spacing w:after="0" w:line="240" w:lineRule="auto"/>
        <w:ind w:left="1134" w:hanging="567"/>
        <w:rPr>
          <w:rFonts w:ascii="Arial" w:eastAsiaTheme="minorHAnsi" w:hAnsi="Arial" w:cs="Arial"/>
          <w:sz w:val="24"/>
          <w:szCs w:val="24"/>
          <w:lang w:eastAsia="en-US"/>
        </w:rPr>
      </w:pPr>
      <w:r w:rsidRPr="00077BEE">
        <w:rPr>
          <w:rFonts w:ascii="Arial" w:eastAsiaTheme="minorHAnsi" w:hAnsi="Arial" w:cs="Arial"/>
          <w:sz w:val="24"/>
          <w:szCs w:val="24"/>
          <w:lang w:eastAsia="en-US"/>
        </w:rPr>
        <w:t>Although cryptocurrency is a form of digital money, it cannot be considered as cash or cash equivalents as it cannot be exchanged readily for goods or services</w:t>
      </w:r>
      <w:r>
        <w:rPr>
          <w:rFonts w:ascii="Arial" w:eastAsiaTheme="minorHAnsi" w:hAnsi="Arial" w:cs="Arial"/>
          <w:sz w:val="24"/>
          <w:szCs w:val="24"/>
          <w:lang w:eastAsia="en-US"/>
        </w:rPr>
        <w:t>.</w:t>
      </w:r>
    </w:p>
    <w:p w14:paraId="11D57EBF" w14:textId="77777777" w:rsidR="008538B8" w:rsidRPr="00077BEE" w:rsidRDefault="008538B8" w:rsidP="008538B8">
      <w:pPr>
        <w:pStyle w:val="ListParagraph"/>
        <w:numPr>
          <w:ilvl w:val="0"/>
          <w:numId w:val="2"/>
        </w:numPr>
        <w:spacing w:after="0" w:line="240" w:lineRule="auto"/>
        <w:ind w:left="1134" w:hanging="567"/>
        <w:rPr>
          <w:rFonts w:ascii="Arial" w:eastAsiaTheme="minorHAnsi" w:hAnsi="Arial" w:cs="Arial"/>
          <w:sz w:val="24"/>
          <w:szCs w:val="24"/>
          <w:lang w:eastAsia="en-US"/>
        </w:rPr>
      </w:pPr>
      <w:r w:rsidRPr="00077BEE">
        <w:rPr>
          <w:rFonts w:ascii="Arial" w:eastAsiaTheme="minorHAnsi" w:hAnsi="Arial" w:cs="Arial"/>
          <w:sz w:val="24"/>
          <w:szCs w:val="24"/>
          <w:lang w:eastAsia="en-US"/>
        </w:rPr>
        <w:t>The definition of Cash equivalents also includes that they would be short term highly liquid investments which are subject to insignificant changes in value. The value of cryptocurrencies can, however, be highly volatile and subject to significant changes.</w:t>
      </w:r>
    </w:p>
    <w:p w14:paraId="466C2E11" w14:textId="77777777" w:rsidR="008538B8" w:rsidRPr="00077BEE" w:rsidRDefault="008538B8" w:rsidP="008538B8">
      <w:pPr>
        <w:pStyle w:val="ListParagraph"/>
        <w:numPr>
          <w:ilvl w:val="0"/>
          <w:numId w:val="2"/>
        </w:numPr>
        <w:spacing w:after="0" w:line="240" w:lineRule="auto"/>
        <w:ind w:left="1134" w:hanging="567"/>
        <w:rPr>
          <w:rFonts w:ascii="Arial" w:eastAsiaTheme="minorHAnsi" w:hAnsi="Arial" w:cs="Arial"/>
          <w:sz w:val="24"/>
          <w:szCs w:val="24"/>
          <w:lang w:eastAsia="en-US"/>
        </w:rPr>
      </w:pPr>
      <w:r w:rsidRPr="00077BEE">
        <w:rPr>
          <w:rFonts w:ascii="Arial" w:eastAsiaTheme="minorHAnsi" w:hAnsi="Arial" w:cs="Arial"/>
          <w:sz w:val="24"/>
          <w:szCs w:val="24"/>
          <w:lang w:eastAsia="en-US"/>
        </w:rPr>
        <w:t>This suggests cryptocurrencies might be accounted for as financial assets to be measured at fair value. But they fail the definition of a financial asset because they do</w:t>
      </w:r>
      <w:r w:rsidRPr="00077BEE">
        <w:rPr>
          <w:rFonts w:ascii="Arial" w:hAnsi="Arial" w:cs="Arial"/>
          <w:sz w:val="24"/>
          <w:szCs w:val="24"/>
        </w:rPr>
        <w:t xml:space="preserve"> not represent cash, an equity interest in an entity, or a contract establishing a right or obligation to deliver or receive cash or another financial instrument</w:t>
      </w:r>
      <w:r w:rsidRPr="00077BEE">
        <w:rPr>
          <w:rFonts w:ascii="Arial" w:eastAsiaTheme="minorHAnsi" w:hAnsi="Arial" w:cs="Arial"/>
          <w:sz w:val="24"/>
          <w:szCs w:val="24"/>
          <w:lang w:eastAsia="en-US"/>
        </w:rPr>
        <w:t>.</w:t>
      </w:r>
    </w:p>
    <w:p w14:paraId="3F30235C" w14:textId="77777777" w:rsidR="008538B8" w:rsidRPr="00077BEE" w:rsidRDefault="008538B8" w:rsidP="008538B8">
      <w:pPr>
        <w:pStyle w:val="ListParagraph"/>
        <w:numPr>
          <w:ilvl w:val="0"/>
          <w:numId w:val="2"/>
        </w:numPr>
        <w:spacing w:after="0" w:line="240" w:lineRule="auto"/>
        <w:ind w:left="1134" w:hanging="567"/>
        <w:rPr>
          <w:rFonts w:ascii="Arial" w:eastAsiaTheme="minorHAnsi" w:hAnsi="Arial" w:cs="Arial"/>
          <w:sz w:val="24"/>
          <w:szCs w:val="24"/>
          <w:lang w:eastAsia="en-US"/>
        </w:rPr>
      </w:pPr>
      <w:r w:rsidRPr="00077BEE">
        <w:rPr>
          <w:rFonts w:ascii="Arial" w:eastAsiaTheme="minorHAnsi" w:hAnsi="Arial" w:cs="Arial"/>
          <w:sz w:val="24"/>
          <w:szCs w:val="24"/>
          <w:lang w:eastAsia="en-US"/>
        </w:rPr>
        <w:t xml:space="preserve">They most meet the definition on an intangible asset to be recognised in accordance with IAS 38 </w:t>
      </w:r>
      <w:r w:rsidRPr="00077BEE">
        <w:rPr>
          <w:rFonts w:ascii="Arial" w:eastAsiaTheme="minorHAnsi" w:hAnsi="Arial" w:cs="Arial"/>
          <w:i/>
          <w:sz w:val="24"/>
          <w:szCs w:val="24"/>
          <w:lang w:eastAsia="en-US"/>
        </w:rPr>
        <w:t>Intangible assets</w:t>
      </w:r>
      <w:r>
        <w:rPr>
          <w:rFonts w:ascii="Arial" w:eastAsiaTheme="minorHAnsi" w:hAnsi="Arial" w:cs="Arial"/>
          <w:sz w:val="24"/>
          <w:szCs w:val="24"/>
          <w:lang w:eastAsia="en-US"/>
        </w:rPr>
        <w:t>.</w:t>
      </w:r>
    </w:p>
    <w:p w14:paraId="34C94A74" w14:textId="77777777" w:rsidR="008538B8" w:rsidRPr="00077BEE" w:rsidRDefault="008538B8" w:rsidP="008538B8">
      <w:pPr>
        <w:pStyle w:val="ListParagraph"/>
        <w:numPr>
          <w:ilvl w:val="0"/>
          <w:numId w:val="2"/>
        </w:numPr>
        <w:spacing w:after="0" w:line="240" w:lineRule="auto"/>
        <w:ind w:left="1134" w:hanging="567"/>
        <w:rPr>
          <w:rFonts w:ascii="Arial" w:eastAsiaTheme="minorHAnsi" w:hAnsi="Arial" w:cs="Arial"/>
          <w:sz w:val="24"/>
          <w:szCs w:val="24"/>
          <w:lang w:eastAsia="en-US"/>
        </w:rPr>
      </w:pPr>
      <w:r w:rsidRPr="00077BEE">
        <w:rPr>
          <w:rFonts w:ascii="Arial" w:eastAsiaTheme="minorHAnsi" w:hAnsi="Arial" w:cs="Arial"/>
          <w:sz w:val="24"/>
          <w:szCs w:val="24"/>
          <w:lang w:eastAsia="en-US"/>
        </w:rPr>
        <w:t>Intangible assets are defined as identifiable non-monetary assets without physical substance.</w:t>
      </w:r>
    </w:p>
    <w:p w14:paraId="293A094D" w14:textId="77777777" w:rsidR="008538B8" w:rsidRPr="00077BEE" w:rsidRDefault="008538B8" w:rsidP="008538B8">
      <w:pPr>
        <w:pStyle w:val="ListParagraph"/>
        <w:numPr>
          <w:ilvl w:val="0"/>
          <w:numId w:val="2"/>
        </w:numPr>
        <w:spacing w:after="0" w:line="240" w:lineRule="auto"/>
        <w:ind w:left="1134" w:hanging="567"/>
        <w:rPr>
          <w:rFonts w:ascii="Arial" w:eastAsiaTheme="minorHAnsi" w:hAnsi="Arial" w:cs="Arial"/>
          <w:sz w:val="24"/>
          <w:szCs w:val="24"/>
          <w:lang w:eastAsia="en-US"/>
        </w:rPr>
      </w:pPr>
      <w:r w:rsidRPr="00077BEE">
        <w:rPr>
          <w:rFonts w:ascii="Arial" w:eastAsiaTheme="minorHAnsi" w:hAnsi="Arial" w:cs="Arial"/>
          <w:sz w:val="24"/>
          <w:szCs w:val="24"/>
          <w:lang w:eastAsia="en-US"/>
        </w:rPr>
        <w:t>Intangible assets can be measured either at cost or at revaluation</w:t>
      </w:r>
      <w:r>
        <w:rPr>
          <w:rFonts w:ascii="Arial" w:eastAsiaTheme="minorHAnsi" w:hAnsi="Arial" w:cs="Arial"/>
          <w:sz w:val="24"/>
          <w:szCs w:val="24"/>
          <w:lang w:eastAsia="en-US"/>
        </w:rPr>
        <w:t>.</w:t>
      </w:r>
    </w:p>
    <w:p w14:paraId="36E27013"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B74FC1"/>
    <w:multiLevelType w:val="hybridMultilevel"/>
    <w:tmpl w:val="30CEB08E"/>
    <w:lvl w:ilvl="0" w:tplc="E4065E46">
      <w:start w:val="1"/>
      <w:numFmt w:val="lowerLetter"/>
      <w:lvlText w:val="%1)"/>
      <w:lvlJc w:val="left"/>
      <w:pPr>
        <w:ind w:left="1555" w:hanging="567"/>
      </w:pPr>
      <w:rPr>
        <w:rFonts w:hint="default"/>
        <w:b w:val="0"/>
        <w:bCs/>
        <w:spacing w:val="-1"/>
        <w:w w:val="99"/>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656C37"/>
    <w:multiLevelType w:val="hybridMultilevel"/>
    <w:tmpl w:val="8D021F6E"/>
    <w:lvl w:ilvl="0" w:tplc="08090001">
      <w:start w:val="1"/>
      <w:numFmt w:val="bullet"/>
      <w:lvlText w:val=""/>
      <w:lvlJc w:val="left"/>
      <w:pPr>
        <w:ind w:left="833" w:hanging="360"/>
      </w:pPr>
      <w:rPr>
        <w:rFonts w:ascii="Symbol" w:hAnsi="Symbol"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8B8"/>
    <w:rsid w:val="008538B8"/>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FBE5C"/>
  <w15:chartTrackingRefBased/>
  <w15:docId w15:val="{ED3788D0-4149-4EC7-B25F-84BA79F6B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8B8"/>
    <w:pPr>
      <w:spacing w:after="200" w:line="276" w:lineRule="auto"/>
      <w:ind w:left="720"/>
      <w:contextualSpacing/>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222</Words>
  <Characters>1269</Characters>
  <Application>Microsoft Office Word</Application>
  <DocSecurity>0</DocSecurity>
  <Lines>10</Lines>
  <Paragraphs>2</Paragraphs>
  <ScaleCrop>false</ScaleCrop>
  <Company/>
  <LinksUpToDate>false</LinksUpToDate>
  <CharactersWithSpaces>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2021-03-10T12:18:00Z</dcterms:created>
  <dcterms:modified xsi:type="dcterms:W3CDTF">2021-03-10T12:19:00Z</dcterms:modified>
</cp:coreProperties>
</file>