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296561" w14:textId="77777777" w:rsidR="00A96BEB" w:rsidRDefault="00A96BEB" w:rsidP="00332267">
      <w:pPr>
        <w:pStyle w:val="NormalWeb"/>
        <w:spacing w:before="0" w:beforeAutospacing="0" w:after="240" w:afterAutospacing="0" w:line="360" w:lineRule="auto"/>
        <w:jc w:val="center"/>
      </w:pPr>
      <w:r>
        <w:rPr>
          <w:rFonts w:ascii="Arial" w:hAnsi="Arial" w:cs="Arial"/>
          <w:b/>
          <w:bCs/>
          <w:color w:val="000000"/>
          <w:sz w:val="22"/>
          <w:szCs w:val="22"/>
          <w:u w:val="single"/>
        </w:rPr>
        <w:t>Looking forward: A critical analysis of literacy, numeracy and digital competence as cross-curricular responsibilities. </w:t>
      </w:r>
    </w:p>
    <w:p w14:paraId="5D2323A9" w14:textId="77777777" w:rsidR="00A96BEB" w:rsidRDefault="00A96BEB" w:rsidP="00332267">
      <w:pPr>
        <w:pStyle w:val="NormalWeb"/>
        <w:spacing w:before="0" w:beforeAutospacing="0" w:after="240" w:afterAutospacing="0" w:line="360" w:lineRule="auto"/>
      </w:pPr>
      <w:r>
        <w:rPr>
          <w:rFonts w:ascii="Arial" w:hAnsi="Arial" w:cs="Arial"/>
          <w:color w:val="000000"/>
          <w:sz w:val="22"/>
          <w:szCs w:val="22"/>
        </w:rPr>
        <w:t>Donaldson (2015) noticed that the current curriculum within Wales is outdated and insufficient for providing learners with enough experiences and skills for the world of work. From this, the Welsh Government (2019b) created a Draft version of a new National Curriculum for Wales; within this, they embedded key skills and principles that children will require when they enter work. Within this the Welsh Government (2019c, p. 11) identified that “there are three important skills that help learners do well in their studies [and in life]...literacy, numeracy and digital competence”. Currently, schools are expected to embed these three disciplines within their lessons using the National Literacy and Numeracy Framework (Welsh Government, 2008b) and the National Digital Competence Framework (Welsh Government, 2008a). These are also expected to be continued within the New National Curriculum as cross-curricular responsibilities (Welsh Government, 2019a). It can be argued that a cross-curricular approach will be effective for the teaching of literacy, numeracy and digital competence as it would enable the learners to progress and develop their skills through meaningful experiences (Rowley and Cooper, 2009). However, this view can be countered if the teachers' ability to teach through an integrated approach is limited; this may make the approach ineffective for particular teachers (Barnes and Shirley, 2007). This essay will critically analyse three of the main limitations that cross-curricular can have and will use these to create recommendations for both myself and other practitioners. </w:t>
      </w:r>
    </w:p>
    <w:p w14:paraId="281BFA0A" w14:textId="77777777" w:rsidR="00A96BEB" w:rsidRDefault="00A96BEB" w:rsidP="00332267">
      <w:pPr>
        <w:pStyle w:val="NormalWeb"/>
        <w:spacing w:before="0" w:beforeAutospacing="0" w:after="240" w:afterAutospacing="0" w:line="360" w:lineRule="auto"/>
      </w:pPr>
      <w:r>
        <w:rPr>
          <w:rFonts w:ascii="Arial" w:hAnsi="Arial" w:cs="Arial"/>
          <w:color w:val="000000"/>
          <w:sz w:val="22"/>
          <w:szCs w:val="22"/>
        </w:rPr>
        <w:t xml:space="preserve">Cross-curricular learning is not a new concept within education, key constructivist theorists, such as Dewey (Hickman and Alexander, 1998) and Vygotsky (Moll, 2014), have discussed, at length, the benefits of experiential learning. They each recommend that learning should take place through meaningful experiences and activities; arguably cross-curricular learning provides this for the learners. With regards to the Welsh curriculum, cross-curricular teaching was not embedded until after the Plowden Report (1967), within this report it stated that children do not learn by being told, they learn by doing. However, due to pressures of literacy and numeracy and lack of time, the effectiveness of this approach was ineffective (Department for Education and Employment, 2000). Arguably, the approach was unsuccessful because the terminology of cross-curricular learning was not defined well (Greenwood, 2013). Alexander, Rose and Woodhead (1992) believed that to teach through a cross-curricular approach was to combine subjects under one common theme. However, as Barnes (2015) would argue, this is not the only approach to cross-curricular learning as he believes that there are seven different approaches within cross-curricular teaching. It is, therefore, possible to assert that the success of the cross-curricular approach before the </w:t>
      </w:r>
      <w:r>
        <w:rPr>
          <w:rFonts w:ascii="Arial" w:hAnsi="Arial" w:cs="Arial"/>
          <w:color w:val="000000"/>
          <w:sz w:val="22"/>
          <w:szCs w:val="22"/>
        </w:rPr>
        <w:lastRenderedPageBreak/>
        <w:t>21st Century was due to the lack of understanding of different cross-curricular approaches. Thus, it can be argued that in order to prevent these misconceptions from happening again within the new curriculum, educators should develop their understanding of the cross-curricular approach. </w:t>
      </w:r>
    </w:p>
    <w:p w14:paraId="54541DD5" w14:textId="77777777" w:rsidR="00A96BEB" w:rsidRDefault="00A96BEB" w:rsidP="00332267">
      <w:pPr>
        <w:pStyle w:val="NormalWeb"/>
        <w:spacing w:before="0" w:beforeAutospacing="0" w:after="240" w:afterAutospacing="0" w:line="360" w:lineRule="auto"/>
      </w:pPr>
      <w:r>
        <w:rPr>
          <w:rFonts w:ascii="Arial" w:hAnsi="Arial" w:cs="Arial"/>
          <w:color w:val="000000"/>
          <w:sz w:val="22"/>
          <w:szCs w:val="22"/>
        </w:rPr>
        <w:t>To begin with, Donaldson (2015) believes that the new curriculum should encourage teachers to create meaningful and authentic learning experiences to enable the learners to become motivated in their learning. In addition to this, Barnes (2015) argues that in order for cross-curricular teaching and learning to be successful, teachers should use powerful and meaningful sensory experiences. This can also be supported by Hayes (2010), who believes that teachers should use meaningful experiences within the classroom, as long as it promotes learning. It can, therefore, be argued that the use of a meaningful context is relevant for the teaching of literacy, numeracy and digital competency through an integrated approach as the context can enable learners to consolidate their learning, thus, encouraging development (Cox, 2011). However, Estyn (2018a, p. 18) have identified within a range of schools that teachers are not offering students "opportunities to practise their digital skills in meaningful contexts across the curriculum". Arguably, this could be due to the limited resources a school may have access to regarding digital software (Ward and Parr, 2009). As observed on the writers first Professional Teaching Experience (PTE), the school had a limited supply of digital resources which impacted the amount of digital competence activities the classroom did, and it also had an impact on how relevant the learning was for the individuals. The National Literacy Trust (2019) found that the lack of resources was an issue for many schools, not just a selected few, this, therefore, emphasises the need for resources to be available for teaching digital competence. </w:t>
      </w:r>
    </w:p>
    <w:p w14:paraId="3A096A2B" w14:textId="77777777" w:rsidR="00A96BEB" w:rsidRDefault="00A96BEB" w:rsidP="00332267">
      <w:pPr>
        <w:pStyle w:val="NormalWeb"/>
        <w:spacing w:before="0" w:beforeAutospacing="0" w:after="240" w:afterAutospacing="0" w:line="360" w:lineRule="auto"/>
      </w:pPr>
      <w:r>
        <w:rPr>
          <w:rFonts w:ascii="Arial" w:hAnsi="Arial" w:cs="Arial"/>
          <w:color w:val="000000"/>
          <w:sz w:val="22"/>
          <w:szCs w:val="22"/>
        </w:rPr>
        <w:t>Pound and Lee (2011) believe that some numeracy problems do not engage the learners as they are not related to real-life and meaningful contexts. Suggesting that the use of meaningful contexts within numeracy can also motivate the learners to learn within their lessons. Aslan (2016, p. 1797) supports this and believes that through interaction with "real-world" materials, the learners will be able to increase their understanding of literature. For the teaching of digital competence, Williams and Easingwood (2006, p.36) argue that it "should not be an 'add on' part of any subject but should be carefully planned" within the curriculum. Abbott et al. (2017) also argue that the creation of meaningful tasks would require a great amount of planning from the teacher. Regarding the new curriculum, NASUWT (2019) identified that there would be a significant increase in workload for the teachers in order to meet the requirements. Although this is not a reliable source, it does provide insight into how the current teachers feel about the draft new curriculum. </w:t>
      </w:r>
    </w:p>
    <w:p w14:paraId="163ABBC8" w14:textId="77777777" w:rsidR="00A96BEB" w:rsidRDefault="00A96BEB" w:rsidP="00332267">
      <w:pPr>
        <w:pStyle w:val="NormalWeb"/>
        <w:spacing w:before="0" w:beforeAutospacing="0" w:after="240" w:afterAutospacing="0" w:line="360" w:lineRule="auto"/>
      </w:pPr>
      <w:r>
        <w:rPr>
          <w:rFonts w:ascii="Arial" w:hAnsi="Arial" w:cs="Arial"/>
          <w:color w:val="000000"/>
          <w:sz w:val="22"/>
          <w:szCs w:val="22"/>
        </w:rPr>
        <w:lastRenderedPageBreak/>
        <w:t>Arguably, the lack of planning for meaningful experiences can lead to artificial links across subjects. Donaldson (2015) argues that if artificial connections are made, then the learning becomes meaningless for the learners, thus making it ineffective practice. The Welsh Government (2018) also suggest that the integration of subjects needs to be meaningful in order for the learning to be successful. For the teaching of literacy and numeracy, it can be argued that these meaningful contexts can be easily implemented into classroom activities and possibly educational visits. Estyn (2018b) identified a real-life scenario being used where the children visited the community shops and interacted with people. This enabled the learners to develop their literacy and numeracy skills through natural interactions within the community. However, this activity took place with Foundation Phase students, which therefore limits the validity of this activity being effective with older students. Nevertheless, this activity could be adapted to be more suitable for older students, for example, interviewing the people in the community for a newspaper article. It is then arguable that the lack of meaningful contexts is limited within literacy, numeracy and digital competence due to the lack of teacher subject knowledge in the possibilities available. </w:t>
      </w:r>
    </w:p>
    <w:p w14:paraId="6642980F" w14:textId="77777777" w:rsidR="00A96BEB" w:rsidRDefault="00A96BEB" w:rsidP="00332267">
      <w:pPr>
        <w:pStyle w:val="NormalWeb"/>
        <w:spacing w:before="0" w:beforeAutospacing="0" w:after="240" w:afterAutospacing="0" w:line="360" w:lineRule="auto"/>
      </w:pPr>
      <w:r>
        <w:rPr>
          <w:rFonts w:ascii="Arial" w:hAnsi="Arial" w:cs="Arial"/>
          <w:color w:val="000000"/>
          <w:sz w:val="22"/>
          <w:szCs w:val="22"/>
        </w:rPr>
        <w:t>It can be argued that the lack of teacher subject knowledge can promote ineffective teaching through a cross-curricular approach, Barnes (2015) argues that in order to teach effectively through an integrated approach, the teacher needs to have sufficient subject knowledge. Cotton (2010) defines teacher subject knowledge within numeracy as being a combination of pedagogical knowledge, curriculum knowledge and subject-specific knowledge. It can be argued that when a teacher lacks in one of these areas, the cross-curricular approach can become unsuccessful, and thus ineffective (Cotton, 2010). In addition to this, Wray (2002) argues that teachers with specialist literacy subject knowledge were able to teach lessons in a way that encourages language development; this could be aimed towards cross-curricular teaching. However, Parker, Haywood and Jolly (2012) believe that it is questionable to assume that teachers will be able to create connections across areas of learning, therefore arguing that teachers need to understand how to create connections across the curriculum in order to teach through an integrated approach. The Welsh Government (2019) identified that once qualified teachers were not improving their subject knowledge, therefore updated teacher standards were made which ask for the teachers to be continuously improving their subject knowledge. Estyn (2017) identified a school improving their staff professional development through training sessions and working together, this professional development impacted the teacher's subject knowledge, enabling cross-curricular teaching to be successful within the school. This, therefore, emphasises the need to improve staff subject knowledge to enable them to teach literacy, numeracy and digital competence through an integrated approach. </w:t>
      </w:r>
    </w:p>
    <w:p w14:paraId="23D05E54" w14:textId="77777777" w:rsidR="00A96BEB" w:rsidRDefault="00A96BEB" w:rsidP="00332267">
      <w:pPr>
        <w:pStyle w:val="NormalWeb"/>
        <w:spacing w:before="0" w:beforeAutospacing="0" w:after="240" w:afterAutospacing="0" w:line="360" w:lineRule="auto"/>
      </w:pPr>
      <w:r>
        <w:rPr>
          <w:rFonts w:ascii="Arial" w:hAnsi="Arial" w:cs="Arial"/>
          <w:color w:val="000000"/>
          <w:sz w:val="22"/>
          <w:szCs w:val="22"/>
        </w:rPr>
        <w:lastRenderedPageBreak/>
        <w:t>Although lack of teacher subject knowledge can be viewed as detrimental for teaching through a cross-curricular approach, Kerry (2011) argues that it is the teacher's self-confidence which enables them to teach effectively through a cross-curricular approach. Ogier and Ghosh (2017) support this and argue that in order to take a risk within literacy and teach it through an integrated approach, teachers need to develop their self-confidence first. Interestingly, Mojavezi and Tamiz (2012) conducted a study and found a correlation between teachers' self-efficacy and student motivations, thus supporting the importance of teacher confidence in literacy as a cross-curricular subject. Concerning the teaching of numeracy, Pound (2008) argues that when a teacher lacks confidence within numeracy they are not able to make the lesson enjoyable, this, therefore, shows that confidence is needed in order for a teacher to teach through an enthusiastic way. Elston (2007) agrees with this view; however, he argues that if a teacher is without the basic skills in technology, then they cannot confidently use it within lessons. Thus, suggesting that in order to teach digital competence through a cross-curricular approach, a basic understanding is required. Although Elston (2007) had this view over ten years ago, the upskilling of teachers within technology is required in order to teach digital competence through an integrated approach. The Welsh Government (2018) has recognised the importance of professional development within schools for digital competence. Currently, the Welsh Government (2019d) are expecting that schools should be planning for this professional development, thus highlighting the need for teachers to develop their subject knowledge areas constantly. Besides, this, Estyn (2019) have recognised good practice where the excellent staff professional training experiences had a positive impact on the students' progress. Although this does not highlight the use of cross-curricular teaching, the positive impact that the training has provided is relevant, especially for the development of digital competence skills within the classroom. This, therefore, argues that in order for the cross-curricular approach to be taught effectively, teachers need to have good levels of self-confidence and appropriate levels of subject knowledge. </w:t>
      </w:r>
    </w:p>
    <w:p w14:paraId="0BBF7F0E" w14:textId="77777777" w:rsidR="00A96BEB" w:rsidRDefault="00A96BEB" w:rsidP="00332267">
      <w:pPr>
        <w:pStyle w:val="NormalWeb"/>
        <w:spacing w:before="0" w:beforeAutospacing="0" w:after="240" w:afterAutospacing="0" w:line="360" w:lineRule="auto"/>
      </w:pPr>
      <w:r>
        <w:rPr>
          <w:rFonts w:ascii="Arial" w:hAnsi="Arial" w:cs="Arial"/>
          <w:color w:val="000000"/>
          <w:sz w:val="22"/>
          <w:szCs w:val="22"/>
        </w:rPr>
        <w:t xml:space="preserve">Lastly, the success of a cross-curricular approach within literacy, numeracy and digital competence may be limited due to the assessment strategies a teacher puts in place (Greenwood, 2013). The Welsh Government (2019d, p.7) state that the idea of assessment is to "support progression" for each learner, arguably when the student is not progressing, they are not learning. Concerning this, Barnes (2015) found that teachers often use a 'tick-box' method of assessing pupils; arguably, this is not effective teaching as it does not encourage development for the learners. Black and William (1998) argue that the best way of encouraging development and providing learners with constructive feedback is through the use of assessment for learning strategies. Donaldson (2015) places assessment for </w:t>
      </w:r>
      <w:r>
        <w:rPr>
          <w:rFonts w:ascii="Arial" w:hAnsi="Arial" w:cs="Arial"/>
          <w:color w:val="000000"/>
          <w:sz w:val="22"/>
          <w:szCs w:val="22"/>
        </w:rPr>
        <w:lastRenderedPageBreak/>
        <w:t>learning within the twelve pedagogical principles, thus emphasising the importance of teachers using this within the classroom. Sriraman and English (2010) believe that the use of assessment for learning strategies within numeracy can have a positive impact on learners as it encourages development, and it provides learners with direct feedback. However, Hayes (2010) argues that although assessment for learning is good, teachers should not ignore standardised testing as it can provide a means of measuring attainment. Also, Gardner (2012) found that teachers often only assess work and skills that are easily measurable, promoting ineffective learning. Arguably, this may be due to lack of teacher subject knowledge within assessments, thus emphasising the need for teachers to upskill their assessment strategies. </w:t>
      </w:r>
    </w:p>
    <w:p w14:paraId="4C79FAF3" w14:textId="77777777" w:rsidR="00A96BEB" w:rsidRDefault="00A96BEB" w:rsidP="00332267">
      <w:pPr>
        <w:pStyle w:val="NormalWeb"/>
        <w:spacing w:before="0" w:beforeAutospacing="0" w:after="240" w:afterAutospacing="0" w:line="360" w:lineRule="auto"/>
      </w:pPr>
      <w:r>
        <w:rPr>
          <w:rFonts w:ascii="Arial" w:hAnsi="Arial" w:cs="Arial"/>
          <w:color w:val="000000"/>
          <w:sz w:val="22"/>
          <w:szCs w:val="22"/>
        </w:rPr>
        <w:t>In contrast, it can be argued that the use of standardised testing can provide teachers with a false representation of a child's understanding of a subject (Morris, 2011). With regards to the teaching of literacy, Moskowitz and Stephens (2005) found that using a cross-curricular approach provides teachers with a good view on the learners understanding as they are applying their knowledge to a different problem or context. Regarding digital competence, Calvanti et al. (2008) believe that there is not just one way of assessing, thus emphasising the need to ensure assessment strategies are varied for specific tasks that may be carried out. Wang et al. (2006) also support this, as they believe students each learn differently, and in turn, they should each be assessed according to the method of application. In addition to this, Campbell et al. (2007) recommend the use of self-assessments as being successful for individuals as it enables greater feedback for the teacher. As observed on PTE, self-assessment tools were used at the end of a cross-curricular theme, where the learners would analyse their work using evidence showing all the skills they had used within the lessons. The teachers provided learners with a grid tool, enabling the children to analyse and place themselves at appropriate levels, the use of a grid meant that they could see where the next steps were and from this identify personal targets. This was used within a Key Stage 2 class, limiting the effectiveness of this use within a foundation phase setting. However, adaptations could be made to make self-assessment tools easier for younger learners. </w:t>
      </w:r>
    </w:p>
    <w:p w14:paraId="7E9D2553" w14:textId="77777777" w:rsidR="00A96BEB" w:rsidRDefault="00A96BEB" w:rsidP="00332267">
      <w:pPr>
        <w:pStyle w:val="NormalWeb"/>
        <w:spacing w:before="240" w:beforeAutospacing="0" w:after="240" w:afterAutospacing="0" w:line="360" w:lineRule="auto"/>
      </w:pPr>
      <w:r>
        <w:rPr>
          <w:rFonts w:ascii="Arial" w:hAnsi="Arial" w:cs="Arial"/>
          <w:color w:val="000000"/>
          <w:sz w:val="22"/>
          <w:szCs w:val="22"/>
        </w:rPr>
        <w:t xml:space="preserve">To conclude, the implementation of a cross-curricular approach within literacy, numeracy and digital competence can be successful, as it can offer an engaging way of learning and developing skills (Kerry, 2011) . However, in order to provide meaningful learning experiences, the teacher will need to upskill their creativity and subject knowledge. Arguably if a teacher lacks creativity and subject knowledge within these lessons, then artificial connections and experiences may be made, which may result in unsuccessful learning </w:t>
      </w:r>
      <w:r>
        <w:rPr>
          <w:rFonts w:ascii="Arial" w:hAnsi="Arial" w:cs="Arial"/>
          <w:color w:val="000000"/>
          <w:sz w:val="22"/>
          <w:szCs w:val="22"/>
        </w:rPr>
        <w:lastRenderedPageBreak/>
        <w:t>(Pound and Lee, 2011). In addition to this, as a result of the new curriculum, it is expected that teachers should have good digital competence skills as this will enable them to provide learners with more experience across a range of platforms (Prestridge, 2011). As mentioned previously, some practitioners may lack skills within particular areas as the world of technology is fast changing. Therefore, a recommendation for the schools is to require teachers to carry out self-assessments on their digital competence skills. From this, the schools should then identify common weak areas amongst the staff and then carry out training programmes during inset days in order to develop these weaker digital competence areas. Where this is not possible, teachers could ask their students to become the teachers within the class and show the teacher how to use particular technologies. </w:t>
      </w:r>
    </w:p>
    <w:p w14:paraId="6DADD451" w14:textId="77777777" w:rsidR="00A96BEB" w:rsidRDefault="00A96BEB" w:rsidP="00332267">
      <w:pPr>
        <w:pStyle w:val="NormalWeb"/>
        <w:spacing w:before="240" w:beforeAutospacing="0" w:after="240" w:afterAutospacing="0" w:line="360" w:lineRule="auto"/>
      </w:pPr>
      <w:r>
        <w:rPr>
          <w:rFonts w:ascii="Arial" w:hAnsi="Arial" w:cs="Arial"/>
          <w:color w:val="000000"/>
          <w:sz w:val="22"/>
          <w:szCs w:val="22"/>
        </w:rPr>
        <w:t>In addition to this, teachers will also need to update their methods of assessments this may be achieved through researching; currently, the way the curriculum means that the future is going to be very different. Teachers need to progress with the fast-changing world and the way we assess our pupils needs to change too. From carrying out this research, I have identified I will need to increase my creativity skills and confidence within the classroom by researching different approaches of cross-curricular teaching as this will enable me to create rich learning experiences for my students. In order to carry out these cross-curricular responsibilities effectively, all teachers must have excellent subject knowledge within literacy, numeracy and digital competence in order to prepare learners for the world of work.</w:t>
      </w:r>
    </w:p>
    <w:p w14:paraId="40B7084F" w14:textId="78014EC6" w:rsidR="00A96BEB" w:rsidRDefault="00A96BEB" w:rsidP="00332267">
      <w:pPr>
        <w:spacing w:line="360" w:lineRule="auto"/>
      </w:pPr>
    </w:p>
    <w:p w14:paraId="65380115" w14:textId="308E65E9" w:rsidR="00332267" w:rsidRDefault="00332267" w:rsidP="00332267">
      <w:pPr>
        <w:spacing w:line="360" w:lineRule="auto"/>
      </w:pPr>
    </w:p>
    <w:p w14:paraId="61E868F8" w14:textId="2C0FDD51" w:rsidR="00332267" w:rsidRDefault="00332267" w:rsidP="00332267">
      <w:pPr>
        <w:spacing w:line="360" w:lineRule="auto"/>
      </w:pPr>
    </w:p>
    <w:p w14:paraId="77AA437D" w14:textId="59EC1529" w:rsidR="00332267" w:rsidRDefault="00332267" w:rsidP="00332267">
      <w:pPr>
        <w:spacing w:line="360" w:lineRule="auto"/>
      </w:pPr>
    </w:p>
    <w:p w14:paraId="50F49E62" w14:textId="536D034C" w:rsidR="00332267" w:rsidRDefault="00332267" w:rsidP="00332267">
      <w:pPr>
        <w:spacing w:line="360" w:lineRule="auto"/>
      </w:pPr>
    </w:p>
    <w:p w14:paraId="18245174" w14:textId="4455969F" w:rsidR="00332267" w:rsidRDefault="00332267" w:rsidP="00332267">
      <w:pPr>
        <w:spacing w:line="360" w:lineRule="auto"/>
      </w:pPr>
    </w:p>
    <w:p w14:paraId="2280368B" w14:textId="2BB931BD" w:rsidR="00332267" w:rsidRDefault="00332267" w:rsidP="00332267">
      <w:pPr>
        <w:spacing w:line="360" w:lineRule="auto"/>
      </w:pPr>
    </w:p>
    <w:p w14:paraId="7AB5DED2" w14:textId="2E322337" w:rsidR="00332267" w:rsidRDefault="00332267" w:rsidP="00332267">
      <w:pPr>
        <w:spacing w:line="360" w:lineRule="auto"/>
      </w:pPr>
    </w:p>
    <w:p w14:paraId="547DB172" w14:textId="750D52A7" w:rsidR="00332267" w:rsidRDefault="00332267" w:rsidP="00332267">
      <w:pPr>
        <w:spacing w:line="360" w:lineRule="auto"/>
      </w:pPr>
    </w:p>
    <w:p w14:paraId="1B28D49F" w14:textId="0871864C" w:rsidR="00332267" w:rsidRDefault="00332267" w:rsidP="00332267">
      <w:pPr>
        <w:spacing w:line="360" w:lineRule="auto"/>
      </w:pPr>
    </w:p>
    <w:p w14:paraId="06D92879" w14:textId="7C3D45B3" w:rsidR="00332267" w:rsidRDefault="00332267" w:rsidP="00332267">
      <w:pPr>
        <w:spacing w:line="360" w:lineRule="auto"/>
      </w:pPr>
    </w:p>
    <w:p w14:paraId="66CBB0A7" w14:textId="77777777" w:rsidR="00332267" w:rsidRDefault="00332267">
      <w:pPr>
        <w:pStyle w:val="NormalWeb"/>
        <w:spacing w:before="0" w:beforeAutospacing="0" w:after="0" w:afterAutospacing="0"/>
        <w:jc w:val="center"/>
        <w:divId w:val="645552492"/>
      </w:pPr>
      <w:r>
        <w:rPr>
          <w:rFonts w:ascii="Arial" w:hAnsi="Arial" w:cs="Arial"/>
          <w:b/>
          <w:bCs/>
          <w:color w:val="000000"/>
          <w:sz w:val="22"/>
          <w:szCs w:val="22"/>
          <w:u w:val="single"/>
        </w:rPr>
        <w:lastRenderedPageBreak/>
        <w:t>Reference List</w:t>
      </w:r>
    </w:p>
    <w:p w14:paraId="2F44F4A0" w14:textId="514462F8" w:rsidR="00332267" w:rsidRDefault="00332267">
      <w:pPr>
        <w:pStyle w:val="NormalWeb"/>
        <w:spacing w:before="0" w:beforeAutospacing="0" w:after="0" w:afterAutospacing="0"/>
        <w:divId w:val="645552492"/>
      </w:pPr>
      <w:r>
        <w:rPr>
          <w:rFonts w:ascii="Arial" w:hAnsi="Arial" w:cs="Arial"/>
          <w:color w:val="000000"/>
          <w:sz w:val="22"/>
          <w:szCs w:val="22"/>
        </w:rPr>
        <w:t xml:space="preserve">Abbott, D. et al. (2017) </w:t>
      </w:r>
      <w:r>
        <w:rPr>
          <w:rFonts w:ascii="Arial" w:hAnsi="Arial" w:cs="Arial"/>
          <w:i/>
          <w:iCs/>
          <w:color w:val="000000"/>
          <w:sz w:val="22"/>
          <w:szCs w:val="22"/>
        </w:rPr>
        <w:t>Development of cross-curricular key skills using a 3D immersive learning environment in schools.</w:t>
      </w:r>
      <w:r>
        <w:rPr>
          <w:rFonts w:ascii="Arial" w:hAnsi="Arial" w:cs="Arial"/>
          <w:color w:val="000000"/>
          <w:sz w:val="22"/>
          <w:szCs w:val="22"/>
        </w:rPr>
        <w:t xml:space="preserve"> Available at: </w:t>
      </w:r>
      <w:hyperlink r:id="rId6" w:history="1">
        <w:r>
          <w:rPr>
            <w:rStyle w:val="Hyperlink"/>
            <w:rFonts w:ascii="Arial" w:hAnsi="Arial" w:cs="Arial"/>
            <w:color w:val="1155CC"/>
            <w:sz w:val="22"/>
            <w:szCs w:val="22"/>
          </w:rPr>
          <w:t>http://radar.gsa.ac.uk/5323/1/REVISIT%20paper%20for%20iLRN-v2.pdf</w:t>
        </w:r>
      </w:hyperlink>
      <w:r>
        <w:rPr>
          <w:rFonts w:ascii="Arial" w:hAnsi="Arial" w:cs="Arial"/>
          <w:color w:val="000000"/>
          <w:sz w:val="22"/>
          <w:szCs w:val="22"/>
        </w:rPr>
        <w:t xml:space="preserve"> (</w:t>
      </w:r>
      <w:r w:rsidR="00DD4654">
        <w:rPr>
          <w:rFonts w:ascii="Arial" w:hAnsi="Arial" w:cs="Arial"/>
          <w:color w:val="000000"/>
          <w:sz w:val="22"/>
          <w:szCs w:val="22"/>
        </w:rPr>
        <w:t>A</w:t>
      </w:r>
      <w:r>
        <w:rPr>
          <w:rFonts w:ascii="Arial" w:hAnsi="Arial" w:cs="Arial"/>
          <w:color w:val="000000"/>
          <w:sz w:val="22"/>
          <w:szCs w:val="22"/>
        </w:rPr>
        <w:t>ccessed: 30th December 2019). </w:t>
      </w:r>
    </w:p>
    <w:p w14:paraId="03695E91" w14:textId="77777777" w:rsidR="00332267" w:rsidRDefault="00332267">
      <w:pPr>
        <w:divId w:val="645552492"/>
        <w:rPr>
          <w:rFonts w:eastAsia="Times New Roman"/>
        </w:rPr>
      </w:pPr>
    </w:p>
    <w:p w14:paraId="7C5D9C3E"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Alexander, R., Rose, J. and Woodhead, C. (1992) </w:t>
      </w:r>
      <w:r>
        <w:rPr>
          <w:rFonts w:ascii="Arial" w:hAnsi="Arial" w:cs="Arial"/>
          <w:i/>
          <w:iCs/>
          <w:color w:val="000000"/>
          <w:sz w:val="22"/>
          <w:szCs w:val="22"/>
        </w:rPr>
        <w:t>Curriculum Organisation and Classroom Practice in Primary Schools: A Discussion Paper.</w:t>
      </w:r>
      <w:r>
        <w:rPr>
          <w:rFonts w:ascii="Arial" w:hAnsi="Arial" w:cs="Arial"/>
          <w:color w:val="000000"/>
          <w:sz w:val="22"/>
          <w:szCs w:val="22"/>
        </w:rPr>
        <w:t xml:space="preserve"> London: DES.</w:t>
      </w:r>
    </w:p>
    <w:p w14:paraId="2E3FDFE0" w14:textId="77777777" w:rsidR="00332267" w:rsidRDefault="00332267">
      <w:pPr>
        <w:divId w:val="645552492"/>
        <w:rPr>
          <w:rFonts w:eastAsia="Times New Roman"/>
        </w:rPr>
      </w:pPr>
    </w:p>
    <w:p w14:paraId="637C56D6"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Aslan, Y. (2016) ‘The Effect of Cross-curricular Instruction on Reading Comprehension’, </w:t>
      </w:r>
      <w:r>
        <w:rPr>
          <w:rFonts w:ascii="Arial" w:hAnsi="Arial" w:cs="Arial"/>
          <w:i/>
          <w:iCs/>
          <w:color w:val="000000"/>
          <w:sz w:val="22"/>
          <w:szCs w:val="22"/>
        </w:rPr>
        <w:t>Universal Journal of Educational Research</w:t>
      </w:r>
      <w:r>
        <w:rPr>
          <w:rFonts w:ascii="Arial" w:hAnsi="Arial" w:cs="Arial"/>
          <w:color w:val="000000"/>
          <w:sz w:val="22"/>
          <w:szCs w:val="22"/>
        </w:rPr>
        <w:t xml:space="preserve">, 4(8), pp. 1797-1801. Available at: </w:t>
      </w:r>
      <w:hyperlink r:id="rId7" w:history="1">
        <w:r>
          <w:rPr>
            <w:rStyle w:val="Hyperlink"/>
            <w:rFonts w:ascii="Arial" w:hAnsi="Arial" w:cs="Arial"/>
            <w:color w:val="1155CC"/>
            <w:sz w:val="22"/>
            <w:szCs w:val="22"/>
          </w:rPr>
          <w:t>https://files.eric.ed.gov/fulltext/EJ1110738.pdf</w:t>
        </w:r>
      </w:hyperlink>
      <w:r>
        <w:rPr>
          <w:rFonts w:ascii="Arial" w:hAnsi="Arial" w:cs="Arial"/>
          <w:color w:val="000000"/>
          <w:sz w:val="22"/>
          <w:szCs w:val="22"/>
        </w:rPr>
        <w:t xml:space="preserve"> (Accessed: 4th December 2019). </w:t>
      </w:r>
    </w:p>
    <w:p w14:paraId="341C2E01" w14:textId="77777777" w:rsidR="00332267" w:rsidRDefault="00332267">
      <w:pPr>
        <w:divId w:val="645552492"/>
        <w:rPr>
          <w:rFonts w:eastAsia="Times New Roman"/>
        </w:rPr>
      </w:pPr>
    </w:p>
    <w:p w14:paraId="381DA32C" w14:textId="51741006" w:rsidR="00332267" w:rsidRDefault="00332267">
      <w:pPr>
        <w:pStyle w:val="NormalWeb"/>
        <w:spacing w:before="0" w:beforeAutospacing="0" w:after="0" w:afterAutospacing="0"/>
        <w:divId w:val="645552492"/>
      </w:pPr>
      <w:r>
        <w:rPr>
          <w:rFonts w:ascii="Arial" w:hAnsi="Arial" w:cs="Arial"/>
          <w:color w:val="000000"/>
          <w:sz w:val="22"/>
          <w:szCs w:val="22"/>
        </w:rPr>
        <w:t xml:space="preserve">Barnes, J. and Shirley, I. (2007) ‘Strangely familiar: cross-curricular and creative thinking in teacher education’, </w:t>
      </w:r>
      <w:r>
        <w:rPr>
          <w:rFonts w:ascii="Arial" w:hAnsi="Arial" w:cs="Arial"/>
          <w:i/>
          <w:iCs/>
          <w:color w:val="000000"/>
          <w:sz w:val="22"/>
          <w:szCs w:val="22"/>
        </w:rPr>
        <w:t>Improving Schools,</w:t>
      </w:r>
      <w:r>
        <w:rPr>
          <w:rFonts w:ascii="Arial" w:hAnsi="Arial" w:cs="Arial"/>
          <w:color w:val="000000"/>
          <w:sz w:val="22"/>
          <w:szCs w:val="22"/>
        </w:rPr>
        <w:t xml:space="preserve"> 10(2), pp. 162-179. Available at: </w:t>
      </w:r>
      <w:hyperlink r:id="rId8" w:history="1">
        <w:r>
          <w:rPr>
            <w:rStyle w:val="Hyperlink"/>
            <w:rFonts w:ascii="Arial" w:hAnsi="Arial" w:cs="Arial"/>
            <w:color w:val="1155CC"/>
            <w:sz w:val="22"/>
            <w:szCs w:val="22"/>
          </w:rPr>
          <w:t>https://journals.sagepub.com/doi/pdf/10.1177/1365480207078580</w:t>
        </w:r>
      </w:hyperlink>
      <w:r>
        <w:rPr>
          <w:rFonts w:ascii="Arial" w:hAnsi="Arial" w:cs="Arial"/>
          <w:color w:val="000000"/>
          <w:sz w:val="22"/>
          <w:szCs w:val="22"/>
        </w:rPr>
        <w:t xml:space="preserve"> (</w:t>
      </w:r>
      <w:r w:rsidR="00DD4654">
        <w:rPr>
          <w:rFonts w:ascii="Arial" w:hAnsi="Arial" w:cs="Arial"/>
          <w:color w:val="000000"/>
          <w:sz w:val="22"/>
          <w:szCs w:val="22"/>
        </w:rPr>
        <w:t>A</w:t>
      </w:r>
      <w:r>
        <w:rPr>
          <w:rFonts w:ascii="Arial" w:hAnsi="Arial" w:cs="Arial"/>
          <w:color w:val="000000"/>
          <w:sz w:val="22"/>
          <w:szCs w:val="22"/>
        </w:rPr>
        <w:t>ccessed: 20th December 2019). </w:t>
      </w:r>
    </w:p>
    <w:p w14:paraId="64099B69" w14:textId="77777777" w:rsidR="00332267" w:rsidRDefault="00332267">
      <w:pPr>
        <w:divId w:val="645552492"/>
        <w:rPr>
          <w:rFonts w:eastAsia="Times New Roman"/>
        </w:rPr>
      </w:pPr>
    </w:p>
    <w:p w14:paraId="5F9BEF79"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Barnes, J. (2015) </w:t>
      </w:r>
      <w:r>
        <w:rPr>
          <w:rFonts w:ascii="Arial" w:hAnsi="Arial" w:cs="Arial"/>
          <w:i/>
          <w:iCs/>
          <w:color w:val="000000"/>
          <w:sz w:val="22"/>
          <w:szCs w:val="22"/>
        </w:rPr>
        <w:t>Cross-curricular Learning 3-14.</w:t>
      </w:r>
      <w:r>
        <w:rPr>
          <w:rFonts w:ascii="Arial" w:hAnsi="Arial" w:cs="Arial"/>
          <w:color w:val="000000"/>
          <w:sz w:val="22"/>
          <w:szCs w:val="22"/>
        </w:rPr>
        <w:t xml:space="preserve"> 3rd Ed. London: SAGE Publications Ltd. </w:t>
      </w:r>
    </w:p>
    <w:p w14:paraId="7C3ED71C" w14:textId="77777777" w:rsidR="00332267" w:rsidRDefault="00332267">
      <w:pPr>
        <w:divId w:val="645552492"/>
        <w:rPr>
          <w:rFonts w:eastAsia="Times New Roman"/>
        </w:rPr>
      </w:pPr>
    </w:p>
    <w:p w14:paraId="11CF4B6E"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Black, P. and William, D. (1998) </w:t>
      </w:r>
      <w:r>
        <w:rPr>
          <w:rFonts w:ascii="Arial" w:hAnsi="Arial" w:cs="Arial"/>
          <w:i/>
          <w:iCs/>
          <w:color w:val="000000"/>
          <w:sz w:val="22"/>
          <w:szCs w:val="22"/>
        </w:rPr>
        <w:t>Inside the Black Box: Raising standards through classroom assessment</w:t>
      </w:r>
      <w:r>
        <w:rPr>
          <w:rFonts w:ascii="Arial" w:hAnsi="Arial" w:cs="Arial"/>
          <w:color w:val="000000"/>
          <w:sz w:val="22"/>
          <w:szCs w:val="22"/>
        </w:rPr>
        <w:t>. London: King’s College London. </w:t>
      </w:r>
    </w:p>
    <w:p w14:paraId="588D70FC" w14:textId="77777777" w:rsidR="00332267" w:rsidRDefault="00332267">
      <w:pPr>
        <w:divId w:val="645552492"/>
        <w:rPr>
          <w:rFonts w:eastAsia="Times New Roman"/>
        </w:rPr>
      </w:pPr>
    </w:p>
    <w:p w14:paraId="45344BF6"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Calvanti, A. et al. (2008) ‘Models and Instruments for Assessing Digital Competence at School’, </w:t>
      </w:r>
      <w:r>
        <w:rPr>
          <w:rFonts w:ascii="Arial" w:hAnsi="Arial" w:cs="Arial"/>
          <w:i/>
          <w:iCs/>
          <w:color w:val="000000"/>
          <w:sz w:val="22"/>
          <w:szCs w:val="22"/>
        </w:rPr>
        <w:t xml:space="preserve">Journal of e-Learning and Knowledge Society, </w:t>
      </w:r>
      <w:r>
        <w:rPr>
          <w:rFonts w:ascii="Arial" w:hAnsi="Arial" w:cs="Arial"/>
          <w:color w:val="000000"/>
          <w:sz w:val="22"/>
          <w:szCs w:val="22"/>
        </w:rPr>
        <w:t>4(3), pp. 183-193. Available at: file:///home/chronos/u-34be6f6f99e86e06500c9a82ea8b16f79aff5e79/MyFiles/Downloads/article_43442.pdf. (Accessed: 4th December 2019). </w:t>
      </w:r>
    </w:p>
    <w:p w14:paraId="02530319" w14:textId="77777777" w:rsidR="00332267" w:rsidRDefault="00332267">
      <w:pPr>
        <w:divId w:val="645552492"/>
        <w:rPr>
          <w:rFonts w:eastAsia="Times New Roman"/>
        </w:rPr>
      </w:pPr>
    </w:p>
    <w:p w14:paraId="45AA8AAF"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Campbell, R. et al. (2007) ‘Personalised Learning: Ambiguities in Theory and Practice’, </w:t>
      </w:r>
      <w:r>
        <w:rPr>
          <w:rFonts w:ascii="Arial" w:hAnsi="Arial" w:cs="Arial"/>
          <w:i/>
          <w:iCs/>
          <w:color w:val="000000"/>
          <w:sz w:val="22"/>
          <w:szCs w:val="22"/>
        </w:rPr>
        <w:t>British Journal of Educational Studies,</w:t>
      </w:r>
      <w:r>
        <w:rPr>
          <w:rFonts w:ascii="Arial" w:hAnsi="Arial" w:cs="Arial"/>
          <w:color w:val="000000"/>
          <w:sz w:val="22"/>
          <w:szCs w:val="22"/>
        </w:rPr>
        <w:t xml:space="preserve"> 55(2), pp. 135-154. Available at: </w:t>
      </w:r>
      <w:hyperlink r:id="rId9" w:history="1">
        <w:r>
          <w:rPr>
            <w:rStyle w:val="Hyperlink"/>
            <w:rFonts w:ascii="Arial" w:hAnsi="Arial" w:cs="Arial"/>
            <w:color w:val="1155CC"/>
            <w:sz w:val="22"/>
            <w:szCs w:val="22"/>
          </w:rPr>
          <w:t>https://www.tandfonline.com/doi/pdf/10.1111/j.1467-8527.2007.00370.x?casa_token=E_LqQBHfqNYAAAAA:4WGVPpH-D3MOLch75FvP4lM4jXd4qYzR5N5EWK8KdSnD7-ETQy2ktpE_3YekqCPMQ0j8x0p1i6psZg</w:t>
        </w:r>
      </w:hyperlink>
      <w:r>
        <w:rPr>
          <w:rFonts w:ascii="Arial" w:hAnsi="Arial" w:cs="Arial"/>
          <w:color w:val="000000"/>
          <w:sz w:val="22"/>
          <w:szCs w:val="22"/>
        </w:rPr>
        <w:t xml:space="preserve"> (Accessed: 18th December 2019). </w:t>
      </w:r>
    </w:p>
    <w:p w14:paraId="3A9722AF" w14:textId="77777777" w:rsidR="00332267" w:rsidRDefault="00332267">
      <w:pPr>
        <w:divId w:val="645552492"/>
        <w:rPr>
          <w:rFonts w:eastAsia="Times New Roman"/>
        </w:rPr>
      </w:pPr>
    </w:p>
    <w:p w14:paraId="531A6C83"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Cotton, T. (2010) </w:t>
      </w:r>
      <w:r>
        <w:rPr>
          <w:rFonts w:ascii="Arial" w:hAnsi="Arial" w:cs="Arial"/>
          <w:i/>
          <w:iCs/>
          <w:color w:val="000000"/>
          <w:sz w:val="22"/>
          <w:szCs w:val="22"/>
        </w:rPr>
        <w:t>Understanding and Teaching Primary Mathematics.</w:t>
      </w:r>
      <w:r>
        <w:rPr>
          <w:rFonts w:ascii="Arial" w:hAnsi="Arial" w:cs="Arial"/>
          <w:color w:val="000000"/>
          <w:sz w:val="22"/>
          <w:szCs w:val="22"/>
        </w:rPr>
        <w:t xml:space="preserve"> 2nd Ed. Harlow: Pearson Education Limited.</w:t>
      </w:r>
    </w:p>
    <w:p w14:paraId="37C1CEBB" w14:textId="77777777" w:rsidR="00332267" w:rsidRDefault="00332267">
      <w:pPr>
        <w:divId w:val="645552492"/>
        <w:rPr>
          <w:rFonts w:eastAsia="Times New Roman"/>
        </w:rPr>
      </w:pPr>
    </w:p>
    <w:p w14:paraId="2124C06A"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Cox, R. (2011) </w:t>
      </w:r>
      <w:r>
        <w:rPr>
          <w:rFonts w:ascii="Arial" w:hAnsi="Arial" w:cs="Arial"/>
          <w:i/>
          <w:iCs/>
          <w:color w:val="000000"/>
          <w:sz w:val="22"/>
          <w:szCs w:val="22"/>
        </w:rPr>
        <w:t>Primary English Teaching: An Introduction to Language, Literacy and Learning.</w:t>
      </w:r>
      <w:r>
        <w:rPr>
          <w:rFonts w:ascii="Arial" w:hAnsi="Arial" w:cs="Arial"/>
          <w:color w:val="000000"/>
          <w:sz w:val="22"/>
          <w:szCs w:val="22"/>
        </w:rPr>
        <w:t xml:space="preserve"> London: SAGE Publications Ltd. </w:t>
      </w:r>
    </w:p>
    <w:p w14:paraId="19F66C3D" w14:textId="77777777" w:rsidR="00332267" w:rsidRDefault="00332267">
      <w:pPr>
        <w:divId w:val="645552492"/>
        <w:rPr>
          <w:rFonts w:eastAsia="Times New Roman"/>
        </w:rPr>
      </w:pPr>
    </w:p>
    <w:p w14:paraId="1DA32FD0"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Department for Education and Employment (2000) </w:t>
      </w:r>
      <w:r>
        <w:rPr>
          <w:rFonts w:ascii="Arial" w:hAnsi="Arial" w:cs="Arial"/>
          <w:i/>
          <w:iCs/>
          <w:color w:val="000000"/>
          <w:sz w:val="22"/>
          <w:szCs w:val="22"/>
        </w:rPr>
        <w:t>National Literacy and Numeracy Strategies: Guidance on Teaching Able Children.</w:t>
      </w:r>
      <w:r>
        <w:rPr>
          <w:rFonts w:ascii="Arial" w:hAnsi="Arial" w:cs="Arial"/>
          <w:color w:val="000000"/>
          <w:sz w:val="22"/>
          <w:szCs w:val="22"/>
        </w:rPr>
        <w:t xml:space="preserve"> Available at: </w:t>
      </w:r>
      <w:hyperlink r:id="rId10" w:history="1">
        <w:r>
          <w:rPr>
            <w:rStyle w:val="Hyperlink"/>
            <w:rFonts w:ascii="Arial" w:hAnsi="Arial" w:cs="Arial"/>
            <w:color w:val="1155CC"/>
            <w:sz w:val="22"/>
            <w:szCs w:val="22"/>
          </w:rPr>
          <w:t>https://dera.ioe.ac.uk/4846/1/LNGT%20DfES.pdf</w:t>
        </w:r>
      </w:hyperlink>
      <w:r>
        <w:rPr>
          <w:rFonts w:ascii="Arial" w:hAnsi="Arial" w:cs="Arial"/>
          <w:color w:val="000000"/>
          <w:sz w:val="22"/>
          <w:szCs w:val="22"/>
        </w:rPr>
        <w:t xml:space="preserve"> (Accessed: 19th December 2019). </w:t>
      </w:r>
    </w:p>
    <w:p w14:paraId="186DF543" w14:textId="77777777" w:rsidR="00332267" w:rsidRDefault="00332267">
      <w:pPr>
        <w:divId w:val="645552492"/>
        <w:rPr>
          <w:rFonts w:eastAsia="Times New Roman"/>
        </w:rPr>
      </w:pPr>
    </w:p>
    <w:p w14:paraId="4D66D5BE" w14:textId="0C0A122D" w:rsidR="00332267" w:rsidRDefault="00332267">
      <w:pPr>
        <w:pStyle w:val="NormalWeb"/>
        <w:spacing w:before="0" w:beforeAutospacing="0" w:after="0" w:afterAutospacing="0"/>
        <w:divId w:val="645552492"/>
      </w:pPr>
      <w:r>
        <w:rPr>
          <w:rFonts w:ascii="Arial" w:hAnsi="Arial" w:cs="Arial"/>
          <w:color w:val="000000"/>
          <w:sz w:val="22"/>
          <w:szCs w:val="22"/>
        </w:rPr>
        <w:lastRenderedPageBreak/>
        <w:t xml:space="preserve">Department of Education and Science (1967) </w:t>
      </w:r>
      <w:r>
        <w:rPr>
          <w:rFonts w:ascii="Arial" w:hAnsi="Arial" w:cs="Arial"/>
          <w:i/>
          <w:iCs/>
          <w:color w:val="000000"/>
          <w:sz w:val="22"/>
          <w:szCs w:val="22"/>
        </w:rPr>
        <w:t>Children and their Primary Schools: Volume 1 the report.</w:t>
      </w:r>
      <w:r>
        <w:rPr>
          <w:rFonts w:ascii="Arial" w:hAnsi="Arial" w:cs="Arial"/>
          <w:color w:val="000000"/>
          <w:sz w:val="22"/>
          <w:szCs w:val="22"/>
        </w:rPr>
        <w:t xml:space="preserve"> Available at: </w:t>
      </w:r>
      <w:hyperlink r:id="rId11" w:history="1">
        <w:r>
          <w:rPr>
            <w:rStyle w:val="Hyperlink"/>
            <w:rFonts w:ascii="Arial" w:hAnsi="Arial" w:cs="Arial"/>
            <w:color w:val="1155CC"/>
            <w:sz w:val="22"/>
            <w:szCs w:val="22"/>
          </w:rPr>
          <w:t>http://www.educationengland.org.uk/documents/plowden/plowden1967-1.html</w:t>
        </w:r>
      </w:hyperlink>
      <w:r>
        <w:rPr>
          <w:rFonts w:ascii="Arial" w:hAnsi="Arial" w:cs="Arial"/>
          <w:color w:val="000000"/>
          <w:sz w:val="22"/>
          <w:szCs w:val="22"/>
        </w:rPr>
        <w:t xml:space="preserve"> (</w:t>
      </w:r>
      <w:r w:rsidR="00DD4654">
        <w:rPr>
          <w:rFonts w:ascii="Arial" w:hAnsi="Arial" w:cs="Arial"/>
          <w:color w:val="000000"/>
          <w:sz w:val="22"/>
          <w:szCs w:val="22"/>
        </w:rPr>
        <w:t>A</w:t>
      </w:r>
      <w:r>
        <w:rPr>
          <w:rFonts w:ascii="Arial" w:hAnsi="Arial" w:cs="Arial"/>
          <w:color w:val="000000"/>
          <w:sz w:val="22"/>
          <w:szCs w:val="22"/>
        </w:rPr>
        <w:t>ccessed: 16th December 2019). </w:t>
      </w:r>
    </w:p>
    <w:p w14:paraId="7D22C205" w14:textId="77777777" w:rsidR="00332267" w:rsidRDefault="00332267">
      <w:pPr>
        <w:divId w:val="645552492"/>
        <w:rPr>
          <w:rFonts w:eastAsia="Times New Roman"/>
        </w:rPr>
      </w:pPr>
    </w:p>
    <w:p w14:paraId="397A3E84"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Donaldson, G. (2015) </w:t>
      </w:r>
      <w:r>
        <w:rPr>
          <w:rFonts w:ascii="Arial" w:hAnsi="Arial" w:cs="Arial"/>
          <w:i/>
          <w:iCs/>
          <w:color w:val="000000"/>
          <w:sz w:val="22"/>
          <w:szCs w:val="22"/>
        </w:rPr>
        <w:t>Successful Futures.</w:t>
      </w:r>
      <w:r>
        <w:rPr>
          <w:rFonts w:ascii="Arial" w:hAnsi="Arial" w:cs="Arial"/>
          <w:color w:val="000000"/>
          <w:sz w:val="22"/>
          <w:szCs w:val="22"/>
        </w:rPr>
        <w:t xml:space="preserve"> Available at: </w:t>
      </w:r>
      <w:hyperlink r:id="rId12" w:history="1">
        <w:r>
          <w:rPr>
            <w:rStyle w:val="Hyperlink"/>
            <w:rFonts w:ascii="Arial" w:hAnsi="Arial" w:cs="Arial"/>
            <w:color w:val="1155CC"/>
            <w:sz w:val="22"/>
            <w:szCs w:val="22"/>
          </w:rPr>
          <w:t>https://gov.wales/sites/default/files/publications/2018-03/successful-futures.pdf</w:t>
        </w:r>
      </w:hyperlink>
      <w:r>
        <w:rPr>
          <w:rFonts w:ascii="Arial" w:hAnsi="Arial" w:cs="Arial"/>
          <w:color w:val="000000"/>
          <w:sz w:val="22"/>
          <w:szCs w:val="22"/>
        </w:rPr>
        <w:t xml:space="preserve"> (Accessed: 29th November 2019). </w:t>
      </w:r>
    </w:p>
    <w:p w14:paraId="21BD1BCE" w14:textId="77777777" w:rsidR="00332267" w:rsidRDefault="00332267">
      <w:pPr>
        <w:divId w:val="645552492"/>
        <w:rPr>
          <w:rFonts w:eastAsia="Times New Roman"/>
        </w:rPr>
      </w:pPr>
    </w:p>
    <w:p w14:paraId="6EE07D1C"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Elston, C. (2007) </w:t>
      </w:r>
      <w:r>
        <w:rPr>
          <w:rFonts w:ascii="Arial" w:hAnsi="Arial" w:cs="Arial"/>
          <w:i/>
          <w:iCs/>
          <w:color w:val="000000"/>
          <w:sz w:val="22"/>
          <w:szCs w:val="22"/>
        </w:rPr>
        <w:t>Using ICT in the Primary School.</w:t>
      </w:r>
      <w:r>
        <w:rPr>
          <w:rFonts w:ascii="Arial" w:hAnsi="Arial" w:cs="Arial"/>
          <w:color w:val="000000"/>
          <w:sz w:val="22"/>
          <w:szCs w:val="22"/>
        </w:rPr>
        <w:t xml:space="preserve"> London: Paul Chapman Publishing.</w:t>
      </w:r>
    </w:p>
    <w:p w14:paraId="352C7BC1" w14:textId="77777777" w:rsidR="00332267" w:rsidRDefault="00332267">
      <w:pPr>
        <w:divId w:val="645552492"/>
        <w:rPr>
          <w:rFonts w:eastAsia="Times New Roman"/>
        </w:rPr>
      </w:pPr>
    </w:p>
    <w:p w14:paraId="06947A33"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Estyn (2017) </w:t>
      </w:r>
      <w:r>
        <w:rPr>
          <w:rFonts w:ascii="Arial" w:hAnsi="Arial" w:cs="Arial"/>
          <w:i/>
          <w:iCs/>
          <w:color w:val="000000"/>
          <w:sz w:val="22"/>
          <w:szCs w:val="22"/>
        </w:rPr>
        <w:t>Developing a skills-based curriculum in primary school.</w:t>
      </w:r>
      <w:r>
        <w:rPr>
          <w:rFonts w:ascii="Arial" w:hAnsi="Arial" w:cs="Arial"/>
          <w:color w:val="000000"/>
          <w:sz w:val="22"/>
          <w:szCs w:val="22"/>
        </w:rPr>
        <w:t xml:space="preserve"> Available at: </w:t>
      </w:r>
      <w:hyperlink r:id="rId13" w:history="1">
        <w:r>
          <w:rPr>
            <w:rStyle w:val="Hyperlink"/>
            <w:rFonts w:ascii="Arial" w:hAnsi="Arial" w:cs="Arial"/>
            <w:color w:val="1155CC"/>
            <w:sz w:val="22"/>
            <w:szCs w:val="22"/>
          </w:rPr>
          <w:t>https://www.estyn.gov.wales/effective-practice/developing-skills-based-curriculum-primary-school</w:t>
        </w:r>
      </w:hyperlink>
      <w:r>
        <w:rPr>
          <w:rFonts w:ascii="Arial" w:hAnsi="Arial" w:cs="Arial"/>
          <w:color w:val="000000"/>
          <w:sz w:val="22"/>
          <w:szCs w:val="22"/>
        </w:rPr>
        <w:t xml:space="preserve"> (Accessed: 16th December 2019). </w:t>
      </w:r>
    </w:p>
    <w:p w14:paraId="0920BD43" w14:textId="77777777" w:rsidR="00332267" w:rsidRDefault="00332267">
      <w:pPr>
        <w:divId w:val="645552492"/>
        <w:rPr>
          <w:rFonts w:eastAsia="Times New Roman"/>
        </w:rPr>
      </w:pPr>
    </w:p>
    <w:p w14:paraId="480978CC"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Estyn (2018a) </w:t>
      </w:r>
      <w:r>
        <w:rPr>
          <w:rFonts w:ascii="Arial" w:hAnsi="Arial" w:cs="Arial"/>
          <w:i/>
          <w:iCs/>
          <w:color w:val="000000"/>
          <w:sz w:val="22"/>
          <w:szCs w:val="22"/>
        </w:rPr>
        <w:t>Preparing for the Digital Competence Framework (DCF).</w:t>
      </w:r>
      <w:r>
        <w:rPr>
          <w:rFonts w:ascii="Arial" w:hAnsi="Arial" w:cs="Arial"/>
          <w:color w:val="000000"/>
          <w:sz w:val="22"/>
          <w:szCs w:val="22"/>
        </w:rPr>
        <w:t xml:space="preserve"> Available at: </w:t>
      </w:r>
      <w:hyperlink r:id="rId14" w:history="1">
        <w:r>
          <w:rPr>
            <w:rStyle w:val="Hyperlink"/>
            <w:rFonts w:ascii="Arial" w:hAnsi="Arial" w:cs="Arial"/>
            <w:color w:val="1155CC"/>
            <w:sz w:val="22"/>
            <w:szCs w:val="22"/>
          </w:rPr>
          <w:t>https://www.estyn.gov.wales/sites/www.estyn.gov.wales/files/documents/Preparing%20for%20the%20DCF%20eng.pdf</w:t>
        </w:r>
      </w:hyperlink>
      <w:r>
        <w:rPr>
          <w:rFonts w:ascii="Arial" w:hAnsi="Arial" w:cs="Arial"/>
          <w:color w:val="000000"/>
          <w:sz w:val="22"/>
          <w:szCs w:val="22"/>
        </w:rPr>
        <w:t xml:space="preserve"> (Accessed: 23rd November 2019).</w:t>
      </w:r>
    </w:p>
    <w:p w14:paraId="2E6C1290" w14:textId="77777777" w:rsidR="00332267" w:rsidRDefault="00332267">
      <w:pPr>
        <w:divId w:val="645552492"/>
        <w:rPr>
          <w:rFonts w:eastAsia="Times New Roman"/>
        </w:rPr>
      </w:pPr>
    </w:p>
    <w:p w14:paraId="0310D9BC"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Estyn (2018b) </w:t>
      </w:r>
      <w:r>
        <w:rPr>
          <w:rFonts w:ascii="Arial" w:hAnsi="Arial" w:cs="Arial"/>
          <w:i/>
          <w:iCs/>
          <w:color w:val="000000"/>
          <w:sz w:val="22"/>
          <w:szCs w:val="22"/>
        </w:rPr>
        <w:t>Using real-life situations to develop children’s skills.</w:t>
      </w:r>
      <w:r>
        <w:rPr>
          <w:rFonts w:ascii="Arial" w:hAnsi="Arial" w:cs="Arial"/>
          <w:color w:val="000000"/>
          <w:sz w:val="22"/>
          <w:szCs w:val="22"/>
        </w:rPr>
        <w:t xml:space="preserve"> Available at: </w:t>
      </w:r>
      <w:hyperlink r:id="rId15" w:history="1">
        <w:r>
          <w:rPr>
            <w:rStyle w:val="Hyperlink"/>
            <w:rFonts w:ascii="Arial" w:hAnsi="Arial" w:cs="Arial"/>
            <w:color w:val="1155CC"/>
            <w:sz w:val="22"/>
            <w:szCs w:val="22"/>
          </w:rPr>
          <w:t>https://www.estyn.gov.wales/effective-practice/using-real-life-situations-develop-childrens-skills</w:t>
        </w:r>
      </w:hyperlink>
      <w:r>
        <w:rPr>
          <w:rFonts w:ascii="Arial" w:hAnsi="Arial" w:cs="Arial"/>
          <w:color w:val="000000"/>
          <w:sz w:val="22"/>
          <w:szCs w:val="22"/>
        </w:rPr>
        <w:t xml:space="preserve"> (Accessed: 10th December 2019).</w:t>
      </w:r>
    </w:p>
    <w:p w14:paraId="387DB659" w14:textId="77777777" w:rsidR="00332267" w:rsidRDefault="00332267">
      <w:pPr>
        <w:divId w:val="645552492"/>
        <w:rPr>
          <w:rFonts w:eastAsia="Times New Roman"/>
        </w:rPr>
      </w:pPr>
    </w:p>
    <w:p w14:paraId="49C93EE3"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Estyn (2019) </w:t>
      </w:r>
      <w:r>
        <w:rPr>
          <w:rFonts w:ascii="Arial" w:hAnsi="Arial" w:cs="Arial"/>
          <w:i/>
          <w:iCs/>
          <w:color w:val="000000"/>
          <w:sz w:val="22"/>
          <w:szCs w:val="22"/>
        </w:rPr>
        <w:t>The impact of professional Development.</w:t>
      </w:r>
      <w:r>
        <w:rPr>
          <w:rFonts w:ascii="Arial" w:hAnsi="Arial" w:cs="Arial"/>
          <w:color w:val="000000"/>
          <w:sz w:val="22"/>
          <w:szCs w:val="22"/>
        </w:rPr>
        <w:t xml:space="preserve"> Available at: </w:t>
      </w:r>
      <w:hyperlink r:id="rId16" w:history="1">
        <w:r>
          <w:rPr>
            <w:rStyle w:val="Hyperlink"/>
            <w:rFonts w:ascii="Arial" w:hAnsi="Arial" w:cs="Arial"/>
            <w:color w:val="1155CC"/>
            <w:sz w:val="22"/>
            <w:szCs w:val="22"/>
          </w:rPr>
          <w:t>https://www.estyn.gov.wales/effective-practice/impact-professional-development</w:t>
        </w:r>
      </w:hyperlink>
      <w:r>
        <w:rPr>
          <w:rFonts w:ascii="Arial" w:hAnsi="Arial" w:cs="Arial"/>
          <w:color w:val="000000"/>
          <w:sz w:val="22"/>
          <w:szCs w:val="22"/>
        </w:rPr>
        <w:t xml:space="preserve"> (Accessed: 16th December 2019).</w:t>
      </w:r>
    </w:p>
    <w:p w14:paraId="487E710B" w14:textId="77777777" w:rsidR="00332267" w:rsidRDefault="00332267">
      <w:pPr>
        <w:divId w:val="645552492"/>
        <w:rPr>
          <w:rFonts w:eastAsia="Times New Roman"/>
        </w:rPr>
      </w:pPr>
    </w:p>
    <w:p w14:paraId="35C38006"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Gardner, J. (2012) </w:t>
      </w:r>
      <w:r>
        <w:rPr>
          <w:rFonts w:ascii="Arial" w:hAnsi="Arial" w:cs="Arial"/>
          <w:i/>
          <w:iCs/>
          <w:color w:val="000000"/>
          <w:sz w:val="22"/>
          <w:szCs w:val="22"/>
        </w:rPr>
        <w:t>Assessment and Learning.</w:t>
      </w:r>
      <w:r>
        <w:rPr>
          <w:rFonts w:ascii="Arial" w:hAnsi="Arial" w:cs="Arial"/>
          <w:color w:val="000000"/>
          <w:sz w:val="22"/>
          <w:szCs w:val="22"/>
        </w:rPr>
        <w:t xml:space="preserve"> 2nd Ed. London: SAGE Publications. </w:t>
      </w:r>
    </w:p>
    <w:p w14:paraId="28133588" w14:textId="77777777" w:rsidR="00332267" w:rsidRDefault="00332267">
      <w:pPr>
        <w:divId w:val="645552492"/>
        <w:rPr>
          <w:rFonts w:eastAsia="Times New Roman"/>
        </w:rPr>
      </w:pPr>
    </w:p>
    <w:p w14:paraId="03F96399"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Greenwood, R. (2013) ‘Subject-based and cross-curricular approaches within the revised primary curriculum in Northern Ireland: teachers’ concerns and preferred approaches’, </w:t>
      </w:r>
      <w:r>
        <w:rPr>
          <w:rFonts w:ascii="Arial" w:hAnsi="Arial" w:cs="Arial"/>
          <w:i/>
          <w:iCs/>
          <w:color w:val="000000"/>
          <w:sz w:val="22"/>
          <w:szCs w:val="22"/>
        </w:rPr>
        <w:t>Education 3-13</w:t>
      </w:r>
      <w:r>
        <w:rPr>
          <w:rFonts w:ascii="Arial" w:hAnsi="Arial" w:cs="Arial"/>
          <w:color w:val="000000"/>
          <w:sz w:val="22"/>
          <w:szCs w:val="22"/>
        </w:rPr>
        <w:t>, 41(4), pp. 443-458. Available at: file:///home/chronos/u-34be6f6f99e86e06500c9a82ea8b16f79aff5e79/MyFiles/Downloads/R.GreenwoodEd3-132013.pdf. (Accessed: 17th December 2019). </w:t>
      </w:r>
    </w:p>
    <w:p w14:paraId="116E991C" w14:textId="77777777" w:rsidR="00332267" w:rsidRDefault="00332267">
      <w:pPr>
        <w:divId w:val="645552492"/>
        <w:rPr>
          <w:rFonts w:eastAsia="Times New Roman"/>
        </w:rPr>
      </w:pPr>
    </w:p>
    <w:p w14:paraId="5AF4874F" w14:textId="44F94066" w:rsidR="00332267" w:rsidRDefault="00332267">
      <w:pPr>
        <w:pStyle w:val="NormalWeb"/>
        <w:spacing w:before="0" w:beforeAutospacing="0" w:after="0" w:afterAutospacing="0"/>
        <w:divId w:val="645552492"/>
      </w:pPr>
      <w:r>
        <w:rPr>
          <w:rFonts w:ascii="Arial" w:hAnsi="Arial" w:cs="Arial"/>
          <w:color w:val="000000"/>
          <w:sz w:val="22"/>
          <w:szCs w:val="22"/>
        </w:rPr>
        <w:t xml:space="preserve">Hayes, D. (2010) ‘The seductive charms of a cross-curricular approach’, </w:t>
      </w:r>
      <w:r>
        <w:rPr>
          <w:rFonts w:ascii="Arial" w:hAnsi="Arial" w:cs="Arial"/>
          <w:i/>
          <w:iCs/>
          <w:color w:val="000000"/>
          <w:sz w:val="22"/>
          <w:szCs w:val="22"/>
        </w:rPr>
        <w:t>Education 3-13,</w:t>
      </w:r>
      <w:r>
        <w:rPr>
          <w:rFonts w:ascii="Arial" w:hAnsi="Arial" w:cs="Arial"/>
          <w:color w:val="000000"/>
          <w:sz w:val="22"/>
          <w:szCs w:val="22"/>
        </w:rPr>
        <w:t xml:space="preserve"> 38(4), pp. 381-387. DOI: 10.1080/03004270903519238</w:t>
      </w:r>
      <w:r w:rsidR="001470DD">
        <w:rPr>
          <w:rFonts w:ascii="Arial" w:hAnsi="Arial" w:cs="Arial"/>
          <w:color w:val="000000"/>
          <w:sz w:val="22"/>
          <w:szCs w:val="22"/>
        </w:rPr>
        <w:t xml:space="preserve"> (Accessed: 15</w:t>
      </w:r>
      <w:r w:rsidR="001470DD" w:rsidRPr="001470DD">
        <w:rPr>
          <w:rFonts w:ascii="Arial" w:hAnsi="Arial" w:cs="Arial"/>
          <w:color w:val="000000"/>
          <w:sz w:val="22"/>
          <w:szCs w:val="22"/>
          <w:vertAlign w:val="superscript"/>
        </w:rPr>
        <w:t>th</w:t>
      </w:r>
      <w:r w:rsidR="001470DD">
        <w:rPr>
          <w:rFonts w:ascii="Arial" w:hAnsi="Arial" w:cs="Arial"/>
          <w:color w:val="000000"/>
          <w:sz w:val="22"/>
          <w:szCs w:val="22"/>
        </w:rPr>
        <w:t xml:space="preserve"> December 2019).</w:t>
      </w:r>
    </w:p>
    <w:p w14:paraId="71F7CE1E" w14:textId="77777777" w:rsidR="00332267" w:rsidRDefault="00332267">
      <w:pPr>
        <w:divId w:val="645552492"/>
        <w:rPr>
          <w:rFonts w:eastAsia="Times New Roman"/>
        </w:rPr>
      </w:pPr>
    </w:p>
    <w:p w14:paraId="4AAB4EBB"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Hickman, L. and Alexander, M. (1998) </w:t>
      </w:r>
      <w:r>
        <w:rPr>
          <w:rFonts w:ascii="Arial" w:hAnsi="Arial" w:cs="Arial"/>
          <w:i/>
          <w:iCs/>
          <w:color w:val="000000"/>
          <w:sz w:val="22"/>
          <w:szCs w:val="22"/>
        </w:rPr>
        <w:t xml:space="preserve">The essential Dewey: Pragmatism, education, democracy. </w:t>
      </w:r>
      <w:r>
        <w:rPr>
          <w:rFonts w:ascii="Arial" w:hAnsi="Arial" w:cs="Arial"/>
          <w:color w:val="000000"/>
          <w:sz w:val="22"/>
          <w:szCs w:val="22"/>
        </w:rPr>
        <w:t>Bloomington: Indiana University Press. </w:t>
      </w:r>
    </w:p>
    <w:p w14:paraId="28F84343" w14:textId="77777777" w:rsidR="00332267" w:rsidRDefault="00332267">
      <w:pPr>
        <w:divId w:val="645552492"/>
        <w:rPr>
          <w:rFonts w:eastAsia="Times New Roman"/>
        </w:rPr>
      </w:pPr>
    </w:p>
    <w:p w14:paraId="57392752"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Kerry, T. (2011) </w:t>
      </w:r>
      <w:r>
        <w:rPr>
          <w:rFonts w:ascii="Arial" w:hAnsi="Arial" w:cs="Arial"/>
          <w:i/>
          <w:iCs/>
          <w:color w:val="000000"/>
          <w:sz w:val="22"/>
          <w:szCs w:val="22"/>
        </w:rPr>
        <w:t>Cross-Curricular Teaching in the Primary School.</w:t>
      </w:r>
      <w:r>
        <w:rPr>
          <w:rFonts w:ascii="Arial" w:hAnsi="Arial" w:cs="Arial"/>
          <w:color w:val="000000"/>
          <w:sz w:val="22"/>
          <w:szCs w:val="22"/>
        </w:rPr>
        <w:t xml:space="preserve"> London: Routledge. </w:t>
      </w:r>
    </w:p>
    <w:p w14:paraId="46A667A7" w14:textId="77777777" w:rsidR="00332267" w:rsidRDefault="00332267">
      <w:pPr>
        <w:divId w:val="645552492"/>
        <w:rPr>
          <w:rFonts w:eastAsia="Times New Roman"/>
        </w:rPr>
      </w:pPr>
    </w:p>
    <w:p w14:paraId="78E35CF6"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Moll, L. (2014) </w:t>
      </w:r>
      <w:r>
        <w:rPr>
          <w:rFonts w:ascii="Arial" w:hAnsi="Arial" w:cs="Arial"/>
          <w:i/>
          <w:iCs/>
          <w:color w:val="000000"/>
          <w:sz w:val="22"/>
          <w:szCs w:val="22"/>
        </w:rPr>
        <w:t>L.S. Vygotsky and Education.</w:t>
      </w:r>
      <w:r>
        <w:rPr>
          <w:rFonts w:ascii="Arial" w:hAnsi="Arial" w:cs="Arial"/>
          <w:color w:val="000000"/>
          <w:sz w:val="22"/>
          <w:szCs w:val="22"/>
        </w:rPr>
        <w:t xml:space="preserve"> Oxon: Routledge. </w:t>
      </w:r>
    </w:p>
    <w:p w14:paraId="45724DC4" w14:textId="77777777" w:rsidR="00332267" w:rsidRDefault="00332267">
      <w:pPr>
        <w:divId w:val="645552492"/>
        <w:rPr>
          <w:rFonts w:eastAsia="Times New Roman"/>
        </w:rPr>
      </w:pPr>
    </w:p>
    <w:p w14:paraId="4D1E308B" w14:textId="0BDCEE96" w:rsidR="00332267" w:rsidRDefault="00332267">
      <w:pPr>
        <w:pStyle w:val="NormalWeb"/>
        <w:spacing w:before="0" w:beforeAutospacing="0" w:after="0" w:afterAutospacing="0"/>
        <w:divId w:val="645552492"/>
      </w:pPr>
      <w:r>
        <w:rPr>
          <w:rFonts w:ascii="Arial" w:hAnsi="Arial" w:cs="Arial"/>
          <w:color w:val="000000"/>
          <w:sz w:val="22"/>
          <w:szCs w:val="22"/>
        </w:rPr>
        <w:lastRenderedPageBreak/>
        <w:t xml:space="preserve">Mojavezi, A. and Tamiz, M. (2012) ‘The Impact of Teacher Self-efficacy on the Students’ Motivation and Achievement’, </w:t>
      </w:r>
      <w:r>
        <w:rPr>
          <w:rFonts w:ascii="Arial" w:hAnsi="Arial" w:cs="Arial"/>
          <w:i/>
          <w:iCs/>
          <w:color w:val="000000"/>
          <w:sz w:val="22"/>
          <w:szCs w:val="22"/>
        </w:rPr>
        <w:t>Theory and Practice in Language Studies</w:t>
      </w:r>
      <w:r>
        <w:rPr>
          <w:rFonts w:ascii="Arial" w:hAnsi="Arial" w:cs="Arial"/>
          <w:color w:val="000000"/>
          <w:sz w:val="22"/>
          <w:szCs w:val="22"/>
        </w:rPr>
        <w:t xml:space="preserve">, 2(3), pp. 483-491. Available at: </w:t>
      </w:r>
      <w:hyperlink r:id="rId17" w:history="1">
        <w:r>
          <w:rPr>
            <w:rStyle w:val="Hyperlink"/>
            <w:rFonts w:ascii="Arial" w:hAnsi="Arial" w:cs="Arial"/>
            <w:color w:val="1155CC"/>
            <w:sz w:val="22"/>
            <w:szCs w:val="22"/>
          </w:rPr>
          <w:t>http://www.academypublication.com/issues/past/tpls/vol02/03/08.pdf</w:t>
        </w:r>
      </w:hyperlink>
      <w:r>
        <w:rPr>
          <w:rFonts w:ascii="Arial" w:hAnsi="Arial" w:cs="Arial"/>
          <w:color w:val="000000"/>
          <w:sz w:val="22"/>
          <w:szCs w:val="22"/>
        </w:rPr>
        <w:t xml:space="preserve"> (</w:t>
      </w:r>
      <w:r w:rsidR="001470DD">
        <w:rPr>
          <w:rFonts w:ascii="Arial" w:hAnsi="Arial" w:cs="Arial"/>
          <w:color w:val="000000"/>
          <w:sz w:val="22"/>
          <w:szCs w:val="22"/>
        </w:rPr>
        <w:t>A</w:t>
      </w:r>
      <w:r>
        <w:rPr>
          <w:rFonts w:ascii="Arial" w:hAnsi="Arial" w:cs="Arial"/>
          <w:color w:val="000000"/>
          <w:sz w:val="22"/>
          <w:szCs w:val="22"/>
        </w:rPr>
        <w:t>ccessed: 18th December 2019). </w:t>
      </w:r>
    </w:p>
    <w:p w14:paraId="1A392442" w14:textId="77777777" w:rsidR="00332267" w:rsidRDefault="00332267">
      <w:pPr>
        <w:divId w:val="645552492"/>
        <w:rPr>
          <w:rFonts w:eastAsia="Times New Roman"/>
        </w:rPr>
      </w:pPr>
    </w:p>
    <w:p w14:paraId="1D30B0B3"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Morris, A. (2011) ‘Student Standardised Testing: Current Practices in OECD Countries and a Literature Review’, </w:t>
      </w:r>
      <w:r>
        <w:rPr>
          <w:rFonts w:ascii="Arial" w:hAnsi="Arial" w:cs="Arial"/>
          <w:i/>
          <w:iCs/>
          <w:color w:val="000000"/>
          <w:sz w:val="22"/>
          <w:szCs w:val="22"/>
        </w:rPr>
        <w:t xml:space="preserve">OECD Education Working Papers, </w:t>
      </w:r>
      <w:r>
        <w:rPr>
          <w:rFonts w:ascii="Arial" w:hAnsi="Arial" w:cs="Arial"/>
          <w:color w:val="000000"/>
          <w:sz w:val="22"/>
          <w:szCs w:val="22"/>
        </w:rPr>
        <w:t xml:space="preserve">65, pp. 1-51. Available at: </w:t>
      </w:r>
      <w:hyperlink r:id="rId18" w:history="1">
        <w:r>
          <w:rPr>
            <w:rStyle w:val="Hyperlink"/>
            <w:rFonts w:ascii="Arial" w:hAnsi="Arial" w:cs="Arial"/>
            <w:color w:val="1155CC"/>
            <w:sz w:val="22"/>
            <w:szCs w:val="22"/>
          </w:rPr>
          <w:t>http://repositorio.minedu.gob.pe/bitstream/handle/123456789/2511/Student%20Standardised%20Testing%20Current%20Practices%20in%20OECD%20Countries%20and%20a%20Literature%20Review.pdf?sequence=1</w:t>
        </w:r>
      </w:hyperlink>
      <w:r>
        <w:rPr>
          <w:rFonts w:ascii="Arial" w:hAnsi="Arial" w:cs="Arial"/>
          <w:color w:val="000000"/>
          <w:sz w:val="22"/>
          <w:szCs w:val="22"/>
        </w:rPr>
        <w:t xml:space="preserve"> (Accessed: 15th December 2019). </w:t>
      </w:r>
    </w:p>
    <w:p w14:paraId="6FF789C2" w14:textId="77777777" w:rsidR="00332267" w:rsidRDefault="00332267">
      <w:pPr>
        <w:divId w:val="645552492"/>
        <w:rPr>
          <w:rFonts w:eastAsia="Times New Roman"/>
        </w:rPr>
      </w:pPr>
    </w:p>
    <w:p w14:paraId="066CC34D"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Moskowitz, J. and Stephens, M. (2005) </w:t>
      </w:r>
      <w:r>
        <w:rPr>
          <w:rFonts w:ascii="Arial" w:hAnsi="Arial" w:cs="Arial"/>
          <w:i/>
          <w:iCs/>
          <w:color w:val="000000"/>
          <w:sz w:val="22"/>
          <w:szCs w:val="22"/>
        </w:rPr>
        <w:t>Comparing Learning Outcomes.</w:t>
      </w:r>
      <w:r>
        <w:rPr>
          <w:rFonts w:ascii="Arial" w:hAnsi="Arial" w:cs="Arial"/>
          <w:color w:val="000000"/>
          <w:sz w:val="22"/>
          <w:szCs w:val="22"/>
        </w:rPr>
        <w:t xml:space="preserve"> London: RoutledgeFalmer. </w:t>
      </w:r>
    </w:p>
    <w:p w14:paraId="158D2323" w14:textId="77777777" w:rsidR="00332267" w:rsidRDefault="00332267">
      <w:pPr>
        <w:divId w:val="645552492"/>
        <w:rPr>
          <w:rFonts w:eastAsia="Times New Roman"/>
        </w:rPr>
      </w:pPr>
    </w:p>
    <w:p w14:paraId="6289B819"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NASUWT (2019) </w:t>
      </w:r>
      <w:r>
        <w:rPr>
          <w:rFonts w:ascii="Arial" w:hAnsi="Arial" w:cs="Arial"/>
          <w:i/>
          <w:iCs/>
          <w:color w:val="000000"/>
          <w:sz w:val="22"/>
          <w:szCs w:val="22"/>
        </w:rPr>
        <w:t>Consultation Response: Welsh Government Curriculum for Wales 2022</w:t>
      </w:r>
      <w:r>
        <w:rPr>
          <w:rFonts w:ascii="Arial" w:hAnsi="Arial" w:cs="Arial"/>
          <w:color w:val="000000"/>
          <w:sz w:val="22"/>
          <w:szCs w:val="22"/>
        </w:rPr>
        <w:t xml:space="preserve">. Available at: </w:t>
      </w:r>
      <w:hyperlink r:id="rId19" w:history="1">
        <w:r>
          <w:rPr>
            <w:rStyle w:val="Hyperlink"/>
            <w:rFonts w:ascii="Arial" w:hAnsi="Arial" w:cs="Arial"/>
            <w:color w:val="1155CC"/>
            <w:sz w:val="22"/>
            <w:szCs w:val="22"/>
          </w:rPr>
          <w:t>https://www.nasuwt.org.uk/uploads/assets/uploaded/47a240ea-2836-4f3d-b768d6a258e3d217.pdf</w:t>
        </w:r>
      </w:hyperlink>
      <w:r>
        <w:rPr>
          <w:rFonts w:ascii="Arial" w:hAnsi="Arial" w:cs="Arial"/>
          <w:color w:val="000000"/>
          <w:sz w:val="22"/>
          <w:szCs w:val="22"/>
        </w:rPr>
        <w:t xml:space="preserve"> (Accessed: 12th December 2019). </w:t>
      </w:r>
    </w:p>
    <w:p w14:paraId="586894BC" w14:textId="77777777" w:rsidR="00332267" w:rsidRDefault="00332267">
      <w:pPr>
        <w:divId w:val="645552492"/>
        <w:rPr>
          <w:rFonts w:eastAsia="Times New Roman"/>
        </w:rPr>
      </w:pPr>
    </w:p>
    <w:p w14:paraId="3F1EE197"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National Literacy Trust (2019) </w:t>
      </w:r>
      <w:r>
        <w:rPr>
          <w:rFonts w:ascii="Arial" w:hAnsi="Arial" w:cs="Arial"/>
          <w:i/>
          <w:iCs/>
          <w:color w:val="000000"/>
          <w:sz w:val="22"/>
          <w:szCs w:val="22"/>
        </w:rPr>
        <w:t>Lack of access to technology in schools is holding pupils back.</w:t>
      </w:r>
      <w:r>
        <w:rPr>
          <w:rFonts w:ascii="Arial" w:hAnsi="Arial" w:cs="Arial"/>
          <w:color w:val="000000"/>
          <w:sz w:val="22"/>
          <w:szCs w:val="22"/>
        </w:rPr>
        <w:t xml:space="preserve"> Available at: </w:t>
      </w:r>
      <w:hyperlink r:id="rId20" w:history="1">
        <w:r>
          <w:rPr>
            <w:rStyle w:val="Hyperlink"/>
            <w:rFonts w:ascii="Arial" w:hAnsi="Arial" w:cs="Arial"/>
            <w:color w:val="1155CC"/>
            <w:sz w:val="22"/>
            <w:szCs w:val="22"/>
          </w:rPr>
          <w:t>https://literacytrust.org.uk/news/lack-access-technology-schools-holding-pupils-back/</w:t>
        </w:r>
      </w:hyperlink>
      <w:r>
        <w:rPr>
          <w:rFonts w:ascii="Arial" w:hAnsi="Arial" w:cs="Arial"/>
          <w:color w:val="000000"/>
          <w:sz w:val="22"/>
          <w:szCs w:val="22"/>
        </w:rPr>
        <w:t xml:space="preserve"> (Accessed: 12th December 2019). </w:t>
      </w:r>
    </w:p>
    <w:p w14:paraId="1EC129E9" w14:textId="77777777" w:rsidR="00332267" w:rsidRDefault="00332267">
      <w:pPr>
        <w:divId w:val="645552492"/>
        <w:rPr>
          <w:rFonts w:eastAsia="Times New Roman"/>
        </w:rPr>
      </w:pPr>
    </w:p>
    <w:p w14:paraId="73719121" w14:textId="77777777" w:rsidR="00332267" w:rsidRDefault="00332267">
      <w:pPr>
        <w:pStyle w:val="NormalWeb"/>
        <w:spacing w:before="0" w:beforeAutospacing="0" w:after="0" w:afterAutospacing="0"/>
        <w:divId w:val="645552492"/>
      </w:pPr>
      <w:r>
        <w:rPr>
          <w:rFonts w:ascii="Arial" w:hAnsi="Arial" w:cs="Arial"/>
          <w:color w:val="000000"/>
          <w:sz w:val="22"/>
          <w:szCs w:val="22"/>
          <w:shd w:val="clear" w:color="auto" w:fill="FFFFFF"/>
        </w:rPr>
        <w:t xml:space="preserve">Ogier, S. and Ghosh, K. (2017) ‘Exploring student teachers’ capacity for creativity through the interdisciplinary use of comics in the primary classroom’, </w:t>
      </w:r>
      <w:r>
        <w:rPr>
          <w:rFonts w:ascii="Arial" w:hAnsi="Arial" w:cs="Arial"/>
          <w:i/>
          <w:iCs/>
          <w:color w:val="000000"/>
          <w:sz w:val="22"/>
          <w:szCs w:val="22"/>
          <w:shd w:val="clear" w:color="auto" w:fill="FFFFFF"/>
        </w:rPr>
        <w:t>Journal of Graphic Novels and Comics</w:t>
      </w:r>
      <w:r>
        <w:rPr>
          <w:rFonts w:ascii="Arial" w:hAnsi="Arial" w:cs="Arial"/>
          <w:color w:val="000000"/>
          <w:sz w:val="22"/>
          <w:szCs w:val="22"/>
          <w:shd w:val="clear" w:color="auto" w:fill="FFFFFF"/>
        </w:rPr>
        <w:t xml:space="preserve">, </w:t>
      </w:r>
      <w:r>
        <w:rPr>
          <w:rFonts w:ascii="Arial" w:hAnsi="Arial" w:cs="Arial"/>
          <w:i/>
          <w:iCs/>
          <w:color w:val="000000"/>
          <w:sz w:val="22"/>
          <w:szCs w:val="22"/>
          <w:shd w:val="clear" w:color="auto" w:fill="FFFFFF"/>
        </w:rPr>
        <w:t>9</w:t>
      </w:r>
      <w:r>
        <w:rPr>
          <w:rFonts w:ascii="Arial" w:hAnsi="Arial" w:cs="Arial"/>
          <w:color w:val="000000"/>
          <w:sz w:val="22"/>
          <w:szCs w:val="22"/>
          <w:shd w:val="clear" w:color="auto" w:fill="FFFFFF"/>
        </w:rPr>
        <w:t xml:space="preserve">(4), pp.293-309. Available at: </w:t>
      </w:r>
      <w:hyperlink r:id="rId21" w:history="1">
        <w:r>
          <w:rPr>
            <w:rStyle w:val="Hyperlink"/>
            <w:rFonts w:ascii="Arial" w:hAnsi="Arial" w:cs="Arial"/>
            <w:color w:val="1155CC"/>
            <w:sz w:val="22"/>
            <w:szCs w:val="22"/>
            <w:shd w:val="clear" w:color="auto" w:fill="FFFFFF"/>
          </w:rPr>
          <w:t>https://s3.amazonaws.com/academia.edu.documents/53625851/Exploring_student_teachers_capacity_for_creativity_through_the_interdisciplinary_use_of_comics_in_the_primary_classroom.pdf?response-content-disposition=inline%3B%20filename%3DExploring_student_teachers_capacity_for.pdf&amp;X-Amz-Algorithm=AWS4-HMAC-SHA256&amp;X-Amz-Credential=AKIAIWOWYYGZ2Y53UL3A%2F20191216%2Fus-east-1%2Fs3%2Faws4_request&amp;X-Amz-Date=20191216T115152Z&amp;X-Amz-Expires=3600&amp;X-Amz-SignedHeaders=host&amp;X-Amz-Signature=63365030f80e8f0a80e40c0f5653a1cda564c07153514047cdc65e68e7400d98</w:t>
        </w:r>
      </w:hyperlink>
      <w:r>
        <w:rPr>
          <w:rFonts w:ascii="Arial" w:hAnsi="Arial" w:cs="Arial"/>
          <w:color w:val="000000"/>
          <w:sz w:val="22"/>
          <w:szCs w:val="22"/>
        </w:rPr>
        <w:t xml:space="preserve"> (Accessed: 16th December 2019). </w:t>
      </w:r>
    </w:p>
    <w:p w14:paraId="66D995BF" w14:textId="77777777" w:rsidR="00332267" w:rsidRDefault="00332267">
      <w:pPr>
        <w:divId w:val="645552492"/>
        <w:rPr>
          <w:rFonts w:eastAsia="Times New Roman"/>
        </w:rPr>
      </w:pPr>
    </w:p>
    <w:p w14:paraId="4452BCD8"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Parker, J., Heywood, D. and Jolley, N. (2012) ‘Developing pre-service primary teachers’ perceptions of cross-curricular teaching through reflection on learning’, </w:t>
      </w:r>
      <w:r>
        <w:rPr>
          <w:rFonts w:ascii="Arial" w:hAnsi="Arial" w:cs="Arial"/>
          <w:i/>
          <w:iCs/>
          <w:color w:val="000000"/>
          <w:sz w:val="22"/>
          <w:szCs w:val="22"/>
        </w:rPr>
        <w:t>Teachers and Teaching,</w:t>
      </w:r>
      <w:r>
        <w:rPr>
          <w:rFonts w:ascii="Arial" w:hAnsi="Arial" w:cs="Arial"/>
          <w:color w:val="000000"/>
          <w:sz w:val="22"/>
          <w:szCs w:val="22"/>
        </w:rPr>
        <w:t xml:space="preserve"> 18(6), pp. 693-716. DOI: 10.1080/13540602.2012.746504. (Accessed: 25th November 2019). </w:t>
      </w:r>
    </w:p>
    <w:p w14:paraId="352378FF" w14:textId="77777777" w:rsidR="00332267" w:rsidRDefault="00332267">
      <w:pPr>
        <w:divId w:val="645552492"/>
        <w:rPr>
          <w:rFonts w:eastAsia="Times New Roman"/>
        </w:rPr>
      </w:pPr>
    </w:p>
    <w:p w14:paraId="2CE58FE7"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Pound, L. (2008) </w:t>
      </w:r>
      <w:r>
        <w:rPr>
          <w:rFonts w:ascii="Arial" w:hAnsi="Arial" w:cs="Arial"/>
          <w:i/>
          <w:iCs/>
          <w:color w:val="000000"/>
          <w:sz w:val="22"/>
          <w:szCs w:val="22"/>
        </w:rPr>
        <w:t>Thinking and Learning About Mathematics in the Early Years.</w:t>
      </w:r>
      <w:r>
        <w:rPr>
          <w:rFonts w:ascii="Arial" w:hAnsi="Arial" w:cs="Arial"/>
          <w:color w:val="000000"/>
          <w:sz w:val="22"/>
          <w:szCs w:val="22"/>
        </w:rPr>
        <w:t xml:space="preserve"> London: Routledge. </w:t>
      </w:r>
    </w:p>
    <w:p w14:paraId="7DCE4C68" w14:textId="77777777" w:rsidR="00332267" w:rsidRDefault="00332267">
      <w:pPr>
        <w:divId w:val="645552492"/>
        <w:rPr>
          <w:rFonts w:eastAsia="Times New Roman"/>
        </w:rPr>
      </w:pPr>
    </w:p>
    <w:p w14:paraId="6E563A86"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Pound, L. and Lee, T. (2011) </w:t>
      </w:r>
      <w:r>
        <w:rPr>
          <w:rFonts w:ascii="Arial" w:hAnsi="Arial" w:cs="Arial"/>
          <w:i/>
          <w:iCs/>
          <w:color w:val="000000"/>
          <w:sz w:val="22"/>
          <w:szCs w:val="22"/>
        </w:rPr>
        <w:t>Teaching Mathematics Creatively.</w:t>
      </w:r>
      <w:r>
        <w:rPr>
          <w:rFonts w:ascii="Arial" w:hAnsi="Arial" w:cs="Arial"/>
          <w:color w:val="000000"/>
          <w:sz w:val="22"/>
          <w:szCs w:val="22"/>
        </w:rPr>
        <w:t xml:space="preserve"> Oxon: Routledge.</w:t>
      </w:r>
    </w:p>
    <w:p w14:paraId="7D10138C" w14:textId="77777777" w:rsidR="00332267" w:rsidRDefault="00332267">
      <w:pPr>
        <w:divId w:val="645552492"/>
        <w:rPr>
          <w:rFonts w:eastAsia="Times New Roman"/>
        </w:rPr>
      </w:pPr>
    </w:p>
    <w:p w14:paraId="6CCADF36"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Prestridge, S. (2011) ‘The beliefs behind the teacher that influences their ICT Practices’, </w:t>
      </w:r>
      <w:r>
        <w:rPr>
          <w:rFonts w:ascii="Arial" w:hAnsi="Arial" w:cs="Arial"/>
          <w:i/>
          <w:iCs/>
          <w:color w:val="000000"/>
          <w:sz w:val="22"/>
          <w:szCs w:val="22"/>
        </w:rPr>
        <w:t>Computers and Education</w:t>
      </w:r>
      <w:r>
        <w:rPr>
          <w:rFonts w:ascii="Arial" w:hAnsi="Arial" w:cs="Arial"/>
          <w:color w:val="000000"/>
          <w:sz w:val="22"/>
          <w:szCs w:val="22"/>
        </w:rPr>
        <w:t xml:space="preserve">, 58, pp.449-458. Available at: </w:t>
      </w:r>
      <w:hyperlink r:id="rId22" w:history="1">
        <w:r>
          <w:rPr>
            <w:rStyle w:val="Hyperlink"/>
            <w:rFonts w:ascii="Arial" w:hAnsi="Arial" w:cs="Arial"/>
            <w:color w:val="1155CC"/>
            <w:sz w:val="22"/>
            <w:szCs w:val="22"/>
          </w:rPr>
          <w:t>https://s3.amazonaws.com/academia.edu.documents/56167278/j.compedu.2011.08.02820180326-8606-9jp828.pdf?response-content-disposition=inline%3B%20filename%3DThe_beliefs_behind_the_teacher_that_infl.pdf&amp;X-Amz-Algorithm=AWS4-HMAC-SHA256&amp;X-Amz-Credential=AKIAIWOWYYGZ2Y53UL3A%2F20191220%2Fus-east-1%2Fs3%2Faws4_request&amp;X-Amz-Date=20191220T175857Z&amp;X-Amz-Expires=3600&amp;X-Amz-SignedHeaders=host&amp;X-Amz-Signature=0a6e768302391bb3d42e43c37427c4327c9afebf11df888ce2c2258bfc79bc93</w:t>
        </w:r>
      </w:hyperlink>
      <w:r>
        <w:rPr>
          <w:rFonts w:ascii="Arial" w:hAnsi="Arial" w:cs="Arial"/>
          <w:color w:val="000000"/>
          <w:sz w:val="22"/>
          <w:szCs w:val="22"/>
        </w:rPr>
        <w:t xml:space="preserve"> (Accessed: 17th December 2019). </w:t>
      </w:r>
    </w:p>
    <w:p w14:paraId="3DE21679" w14:textId="77777777" w:rsidR="00332267" w:rsidRDefault="00332267">
      <w:pPr>
        <w:divId w:val="645552492"/>
        <w:rPr>
          <w:rFonts w:eastAsia="Times New Roman"/>
        </w:rPr>
      </w:pPr>
    </w:p>
    <w:p w14:paraId="2585038A"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Rowley, C. and Cooper, H. (2009) </w:t>
      </w:r>
      <w:r>
        <w:rPr>
          <w:rFonts w:ascii="Arial" w:hAnsi="Arial" w:cs="Arial"/>
          <w:i/>
          <w:iCs/>
          <w:color w:val="000000"/>
          <w:sz w:val="22"/>
          <w:szCs w:val="22"/>
        </w:rPr>
        <w:t>Cross-curricular Approaches to Teaching and Learning.</w:t>
      </w:r>
      <w:r>
        <w:rPr>
          <w:rFonts w:ascii="Arial" w:hAnsi="Arial" w:cs="Arial"/>
          <w:color w:val="000000"/>
          <w:sz w:val="22"/>
          <w:szCs w:val="22"/>
        </w:rPr>
        <w:t xml:space="preserve"> London: SAGE Publications. </w:t>
      </w:r>
    </w:p>
    <w:p w14:paraId="7AE587F7" w14:textId="77777777" w:rsidR="00332267" w:rsidRDefault="00332267">
      <w:pPr>
        <w:divId w:val="645552492"/>
        <w:rPr>
          <w:rFonts w:eastAsia="Times New Roman"/>
        </w:rPr>
      </w:pPr>
    </w:p>
    <w:p w14:paraId="529E0FD5"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Sriraman, B. and English, L. (2010) </w:t>
      </w:r>
      <w:r>
        <w:rPr>
          <w:rFonts w:ascii="Arial" w:hAnsi="Arial" w:cs="Arial"/>
          <w:i/>
          <w:iCs/>
          <w:color w:val="000000"/>
          <w:sz w:val="22"/>
          <w:szCs w:val="22"/>
        </w:rPr>
        <w:t>Theories of Mathematics Education.</w:t>
      </w:r>
      <w:r>
        <w:rPr>
          <w:rFonts w:ascii="Arial" w:hAnsi="Arial" w:cs="Arial"/>
          <w:color w:val="000000"/>
          <w:sz w:val="22"/>
          <w:szCs w:val="22"/>
        </w:rPr>
        <w:t xml:space="preserve"> London: Springer. </w:t>
      </w:r>
    </w:p>
    <w:p w14:paraId="14D23706" w14:textId="77777777" w:rsidR="00332267" w:rsidRDefault="00332267">
      <w:pPr>
        <w:divId w:val="645552492"/>
        <w:rPr>
          <w:rFonts w:eastAsia="Times New Roman"/>
        </w:rPr>
      </w:pPr>
    </w:p>
    <w:p w14:paraId="5F959015"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Ward, L. and Parr, J. (2009) ‘Revisiting and reframing use: Implications for the integration of ICT’, </w:t>
      </w:r>
      <w:r>
        <w:rPr>
          <w:rFonts w:ascii="Arial" w:hAnsi="Arial" w:cs="Arial"/>
          <w:i/>
          <w:iCs/>
          <w:color w:val="000000"/>
          <w:sz w:val="22"/>
          <w:szCs w:val="22"/>
        </w:rPr>
        <w:t>Computers and Education</w:t>
      </w:r>
      <w:r>
        <w:rPr>
          <w:rFonts w:ascii="Arial" w:hAnsi="Arial" w:cs="Arial"/>
          <w:color w:val="000000"/>
          <w:sz w:val="22"/>
          <w:szCs w:val="22"/>
        </w:rPr>
        <w:t xml:space="preserve">, 54, pp.113-122. Available at: </w:t>
      </w:r>
      <w:hyperlink r:id="rId23" w:history="1">
        <w:r>
          <w:rPr>
            <w:rStyle w:val="Hyperlink"/>
            <w:rFonts w:ascii="Arial" w:hAnsi="Arial" w:cs="Arial"/>
            <w:color w:val="1155CC"/>
            <w:sz w:val="22"/>
            <w:szCs w:val="22"/>
          </w:rPr>
          <w:t>https://s3.amazonaws.com/academia.edu.documents/51301510/j.compedu.2009.07.01120170111-15391-z14zu9.pdf?response-content-disposition=inline%3B%20filename%3DRevisiting_and_reframing_use_Implication.pdf&amp;X-Amz-Algorithm=AWS4-HMAC-SHA256&amp;X-Amz-Credential=AKIAIWOWYYGZ2Y53UL3A%2F20191220%2Fus-east-1%2Fs3%2Faws4_request&amp;X-Amz-Date=20191220T173959Z&amp;X-Amz-Expires=3600&amp;X-Amz-SignedHeaders=host&amp;X-Amz-Signature=59c1a5e7ab7b66fce3b113cee08b62e055049faf3da82799c037e32bf0607ae1</w:t>
        </w:r>
      </w:hyperlink>
      <w:r>
        <w:rPr>
          <w:rFonts w:ascii="Arial" w:hAnsi="Arial" w:cs="Arial"/>
          <w:color w:val="000000"/>
          <w:sz w:val="22"/>
          <w:szCs w:val="22"/>
        </w:rPr>
        <w:t xml:space="preserve"> (Accessed: 19th December 2019). </w:t>
      </w:r>
    </w:p>
    <w:p w14:paraId="07C56A99" w14:textId="77777777" w:rsidR="00332267" w:rsidRDefault="00332267">
      <w:pPr>
        <w:divId w:val="645552492"/>
        <w:rPr>
          <w:rFonts w:eastAsia="Times New Roman"/>
        </w:rPr>
      </w:pPr>
    </w:p>
    <w:p w14:paraId="3B971173" w14:textId="3E1D2BFD" w:rsidR="00332267" w:rsidRDefault="00332267">
      <w:pPr>
        <w:pStyle w:val="NormalWeb"/>
        <w:spacing w:before="0" w:beforeAutospacing="0" w:after="0" w:afterAutospacing="0"/>
        <w:divId w:val="645552492"/>
      </w:pPr>
      <w:r>
        <w:rPr>
          <w:rFonts w:ascii="Arial" w:hAnsi="Arial" w:cs="Arial"/>
          <w:color w:val="000000"/>
          <w:sz w:val="22"/>
          <w:szCs w:val="22"/>
        </w:rPr>
        <w:t xml:space="preserve">Wang, K. et al. (2006) ‘Learning styles and formative assessment strategy: enhancing student achievement in Web-based learning’, </w:t>
      </w:r>
      <w:r>
        <w:rPr>
          <w:rFonts w:ascii="Arial" w:hAnsi="Arial" w:cs="Arial"/>
          <w:i/>
          <w:iCs/>
          <w:color w:val="000000"/>
          <w:sz w:val="22"/>
          <w:szCs w:val="22"/>
        </w:rPr>
        <w:t>Journal of Computer Assisted Learning</w:t>
      </w:r>
      <w:r>
        <w:rPr>
          <w:rFonts w:ascii="Arial" w:hAnsi="Arial" w:cs="Arial"/>
          <w:color w:val="000000"/>
          <w:sz w:val="22"/>
          <w:szCs w:val="22"/>
        </w:rPr>
        <w:t xml:space="preserve">, 22(3), pp. 207-217. Available at: </w:t>
      </w:r>
      <w:hyperlink r:id="rId24" w:history="1">
        <w:r>
          <w:rPr>
            <w:rStyle w:val="Hyperlink"/>
            <w:rFonts w:ascii="Arial" w:hAnsi="Arial" w:cs="Arial"/>
            <w:color w:val="1155CC"/>
            <w:sz w:val="22"/>
            <w:szCs w:val="22"/>
          </w:rPr>
          <w:t>https://doi.org/10.1111/j.1365-2729.2006.00166.x</w:t>
        </w:r>
      </w:hyperlink>
      <w:r>
        <w:rPr>
          <w:rFonts w:ascii="Arial" w:hAnsi="Arial" w:cs="Arial"/>
          <w:color w:val="000000"/>
          <w:sz w:val="22"/>
          <w:szCs w:val="22"/>
        </w:rPr>
        <w:t xml:space="preserve"> (</w:t>
      </w:r>
      <w:r w:rsidR="000A14F3">
        <w:rPr>
          <w:rFonts w:ascii="Arial" w:hAnsi="Arial" w:cs="Arial"/>
          <w:color w:val="000000"/>
          <w:sz w:val="22"/>
          <w:szCs w:val="22"/>
        </w:rPr>
        <w:t>A</w:t>
      </w:r>
      <w:r>
        <w:rPr>
          <w:rFonts w:ascii="Arial" w:hAnsi="Arial" w:cs="Arial"/>
          <w:color w:val="000000"/>
          <w:sz w:val="22"/>
          <w:szCs w:val="22"/>
        </w:rPr>
        <w:t>ccessed: 19th December 2019). </w:t>
      </w:r>
    </w:p>
    <w:p w14:paraId="2D854684" w14:textId="77777777" w:rsidR="00332267" w:rsidRDefault="00332267">
      <w:pPr>
        <w:divId w:val="645552492"/>
        <w:rPr>
          <w:rFonts w:eastAsia="Times New Roman"/>
        </w:rPr>
      </w:pPr>
    </w:p>
    <w:p w14:paraId="6CEEF258"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Welsh Government (2008a) </w:t>
      </w:r>
      <w:r>
        <w:rPr>
          <w:rFonts w:ascii="Arial" w:hAnsi="Arial" w:cs="Arial"/>
          <w:i/>
          <w:iCs/>
          <w:color w:val="000000"/>
          <w:sz w:val="22"/>
          <w:szCs w:val="22"/>
        </w:rPr>
        <w:t xml:space="preserve">Digital Competence Framework: Curriculum for Wales 2008 version. </w:t>
      </w:r>
      <w:r>
        <w:rPr>
          <w:rFonts w:ascii="Arial" w:hAnsi="Arial" w:cs="Arial"/>
          <w:color w:val="000000"/>
          <w:sz w:val="22"/>
          <w:szCs w:val="22"/>
        </w:rPr>
        <w:t xml:space="preserve">Available at: </w:t>
      </w:r>
      <w:hyperlink r:id="rId25" w:history="1">
        <w:r>
          <w:rPr>
            <w:rStyle w:val="Hyperlink"/>
            <w:rFonts w:ascii="Arial" w:hAnsi="Arial" w:cs="Arial"/>
            <w:color w:val="1155CC"/>
            <w:sz w:val="22"/>
            <w:szCs w:val="22"/>
          </w:rPr>
          <w:t>https://hwb.gov.wales/curriculum-for-wales-2008/digital-competence-framework-curriculum-for-wales-2008-version</w:t>
        </w:r>
      </w:hyperlink>
      <w:r>
        <w:rPr>
          <w:rFonts w:ascii="Arial" w:hAnsi="Arial" w:cs="Arial"/>
          <w:color w:val="000000"/>
          <w:sz w:val="22"/>
          <w:szCs w:val="22"/>
        </w:rPr>
        <w:t xml:space="preserve"> (Accessed: 20th December 2019). </w:t>
      </w:r>
    </w:p>
    <w:p w14:paraId="25D4033F" w14:textId="77777777" w:rsidR="00332267" w:rsidRDefault="00332267">
      <w:pPr>
        <w:divId w:val="645552492"/>
        <w:rPr>
          <w:rFonts w:eastAsia="Times New Roman"/>
        </w:rPr>
      </w:pPr>
    </w:p>
    <w:p w14:paraId="518D434E" w14:textId="65A88EA6" w:rsidR="00332267" w:rsidRDefault="00332267">
      <w:pPr>
        <w:pStyle w:val="NormalWeb"/>
        <w:spacing w:before="0" w:beforeAutospacing="0" w:after="0" w:afterAutospacing="0"/>
        <w:divId w:val="645552492"/>
      </w:pPr>
      <w:r>
        <w:rPr>
          <w:rFonts w:ascii="Arial" w:hAnsi="Arial" w:cs="Arial"/>
          <w:color w:val="000000"/>
          <w:sz w:val="22"/>
          <w:szCs w:val="22"/>
        </w:rPr>
        <w:t xml:space="preserve">Welsh Government (2008b) </w:t>
      </w:r>
      <w:r>
        <w:rPr>
          <w:rFonts w:ascii="Arial" w:hAnsi="Arial" w:cs="Arial"/>
          <w:i/>
          <w:iCs/>
          <w:color w:val="000000"/>
          <w:sz w:val="22"/>
          <w:szCs w:val="22"/>
        </w:rPr>
        <w:t>National Literacy and Numeracy Framework: Curriculum for Wales 2008 version.</w:t>
      </w:r>
      <w:r>
        <w:rPr>
          <w:rFonts w:ascii="Arial" w:hAnsi="Arial" w:cs="Arial"/>
          <w:color w:val="000000"/>
          <w:sz w:val="22"/>
          <w:szCs w:val="22"/>
        </w:rPr>
        <w:t xml:space="preserve"> Available at: </w:t>
      </w:r>
      <w:hyperlink r:id="rId26" w:history="1">
        <w:r>
          <w:rPr>
            <w:rStyle w:val="Hyperlink"/>
            <w:rFonts w:ascii="Arial" w:hAnsi="Arial" w:cs="Arial"/>
            <w:color w:val="1155CC"/>
            <w:sz w:val="22"/>
            <w:szCs w:val="22"/>
          </w:rPr>
          <w:t>https://hwb.gov.wales/curriculum-for-wales-2008/national-literacy-and-numeracy-framework-curriculum-for-wales-2008-version</w:t>
        </w:r>
      </w:hyperlink>
      <w:r>
        <w:rPr>
          <w:rFonts w:ascii="Arial" w:hAnsi="Arial" w:cs="Arial"/>
          <w:color w:val="000000"/>
          <w:sz w:val="22"/>
          <w:szCs w:val="22"/>
        </w:rPr>
        <w:t xml:space="preserve"> (</w:t>
      </w:r>
      <w:r w:rsidR="000A14F3">
        <w:rPr>
          <w:rFonts w:ascii="Arial" w:hAnsi="Arial" w:cs="Arial"/>
          <w:color w:val="000000"/>
          <w:sz w:val="22"/>
          <w:szCs w:val="22"/>
        </w:rPr>
        <w:t>A</w:t>
      </w:r>
      <w:bookmarkStart w:id="0" w:name="_GoBack"/>
      <w:bookmarkEnd w:id="0"/>
      <w:r>
        <w:rPr>
          <w:rFonts w:ascii="Arial" w:hAnsi="Arial" w:cs="Arial"/>
          <w:color w:val="000000"/>
          <w:sz w:val="22"/>
          <w:szCs w:val="22"/>
        </w:rPr>
        <w:t>ccessed: 20th December 2019). </w:t>
      </w:r>
    </w:p>
    <w:p w14:paraId="335BE2C0" w14:textId="77777777" w:rsidR="00332267" w:rsidRDefault="00332267">
      <w:pPr>
        <w:divId w:val="645552492"/>
        <w:rPr>
          <w:rFonts w:eastAsia="Times New Roman"/>
        </w:rPr>
      </w:pPr>
    </w:p>
    <w:p w14:paraId="6716AA4D"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Welsh Government (2018) </w:t>
      </w:r>
      <w:r>
        <w:rPr>
          <w:rFonts w:ascii="Arial" w:hAnsi="Arial" w:cs="Arial"/>
          <w:i/>
          <w:iCs/>
          <w:color w:val="000000"/>
          <w:sz w:val="22"/>
          <w:szCs w:val="22"/>
        </w:rPr>
        <w:t>Digital Competence Framework guidance.</w:t>
      </w:r>
      <w:r>
        <w:rPr>
          <w:rFonts w:ascii="Arial" w:hAnsi="Arial" w:cs="Arial"/>
          <w:color w:val="000000"/>
          <w:sz w:val="22"/>
          <w:szCs w:val="22"/>
        </w:rPr>
        <w:t xml:space="preserve"> Available at: </w:t>
      </w:r>
      <w:hyperlink r:id="rId27" w:history="1">
        <w:r>
          <w:rPr>
            <w:rStyle w:val="Hyperlink"/>
            <w:rFonts w:ascii="Arial" w:hAnsi="Arial" w:cs="Arial"/>
            <w:color w:val="1155CC"/>
            <w:sz w:val="22"/>
            <w:szCs w:val="22"/>
          </w:rPr>
          <w:t>https://hwb.gov.wales/storage/337437b8-cfe3-4305-ae32-f47ad82f3e76/digital-competence-framework-guidance-2018.pdf</w:t>
        </w:r>
      </w:hyperlink>
      <w:r>
        <w:rPr>
          <w:rFonts w:ascii="Arial" w:hAnsi="Arial" w:cs="Arial"/>
          <w:color w:val="000000"/>
          <w:sz w:val="22"/>
          <w:szCs w:val="22"/>
        </w:rPr>
        <w:t xml:space="preserve"> (Accessed: 23rd November 2019). </w:t>
      </w:r>
    </w:p>
    <w:p w14:paraId="6B9041E8" w14:textId="77777777" w:rsidR="00332267" w:rsidRDefault="00332267">
      <w:pPr>
        <w:divId w:val="645552492"/>
        <w:rPr>
          <w:rFonts w:eastAsia="Times New Roman"/>
        </w:rPr>
      </w:pPr>
    </w:p>
    <w:p w14:paraId="183D5DBD"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Welsh Government (2019a) </w:t>
      </w:r>
      <w:r>
        <w:rPr>
          <w:rFonts w:ascii="Arial" w:hAnsi="Arial" w:cs="Arial"/>
          <w:i/>
          <w:iCs/>
          <w:color w:val="000000"/>
          <w:sz w:val="22"/>
          <w:szCs w:val="22"/>
        </w:rPr>
        <w:t xml:space="preserve">A guide to Curriculum for Wales 2022. </w:t>
      </w:r>
      <w:r>
        <w:rPr>
          <w:rFonts w:ascii="Arial" w:hAnsi="Arial" w:cs="Arial"/>
          <w:color w:val="000000"/>
          <w:sz w:val="22"/>
          <w:szCs w:val="22"/>
        </w:rPr>
        <w:t xml:space="preserve">Available at: </w:t>
      </w:r>
      <w:hyperlink r:id="rId28" w:history="1">
        <w:r>
          <w:rPr>
            <w:rStyle w:val="Hyperlink"/>
            <w:rFonts w:ascii="Arial" w:hAnsi="Arial" w:cs="Arial"/>
            <w:color w:val="1155CC"/>
            <w:sz w:val="22"/>
            <w:szCs w:val="22"/>
          </w:rPr>
          <w:t>https://hwb.gov.wales/storage/f8f9760c-64a1-48ea-80fd-db130ad9050b/a-guide-to-curriculum-for-wales-2022.pdf</w:t>
        </w:r>
      </w:hyperlink>
      <w:r>
        <w:rPr>
          <w:rFonts w:ascii="Arial" w:hAnsi="Arial" w:cs="Arial"/>
          <w:color w:val="000000"/>
          <w:sz w:val="22"/>
          <w:szCs w:val="22"/>
        </w:rPr>
        <w:t xml:space="preserve"> (Accessed: 17th December 2019). </w:t>
      </w:r>
    </w:p>
    <w:p w14:paraId="0541EA44" w14:textId="77777777" w:rsidR="00332267" w:rsidRDefault="00332267">
      <w:pPr>
        <w:divId w:val="645552492"/>
        <w:rPr>
          <w:rFonts w:eastAsia="Times New Roman"/>
        </w:rPr>
      </w:pPr>
    </w:p>
    <w:p w14:paraId="4CC4D492"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Welsh Government (2019b) </w:t>
      </w:r>
      <w:r>
        <w:rPr>
          <w:rFonts w:ascii="Arial" w:hAnsi="Arial" w:cs="Arial"/>
          <w:i/>
          <w:iCs/>
          <w:color w:val="000000"/>
          <w:sz w:val="22"/>
          <w:szCs w:val="22"/>
        </w:rPr>
        <w:t>Curriculum for Wales 2022 Feedback Analysis: Children and Young People’s Report.</w:t>
      </w:r>
      <w:r>
        <w:rPr>
          <w:rFonts w:ascii="Arial" w:hAnsi="Arial" w:cs="Arial"/>
          <w:color w:val="000000"/>
          <w:sz w:val="22"/>
          <w:szCs w:val="22"/>
        </w:rPr>
        <w:t xml:space="preserve"> Available at: </w:t>
      </w:r>
      <w:hyperlink r:id="rId29" w:history="1">
        <w:r>
          <w:rPr>
            <w:rStyle w:val="Hyperlink"/>
            <w:rFonts w:ascii="Arial" w:hAnsi="Arial" w:cs="Arial"/>
            <w:color w:val="1155CC"/>
            <w:sz w:val="22"/>
            <w:szCs w:val="22"/>
          </w:rPr>
          <w:t>https://gov.wales/sites/default/files/consultations/2019-10/curriculum-for-wales-2022-feedback-analysis-children-young-peoples-report.pdf</w:t>
        </w:r>
      </w:hyperlink>
      <w:r>
        <w:rPr>
          <w:rFonts w:ascii="Arial" w:hAnsi="Arial" w:cs="Arial"/>
          <w:color w:val="000000"/>
          <w:sz w:val="22"/>
          <w:szCs w:val="22"/>
        </w:rPr>
        <w:t xml:space="preserve"> (Accessed: 10th December 2019). </w:t>
      </w:r>
    </w:p>
    <w:p w14:paraId="361BC2C6" w14:textId="77777777" w:rsidR="00332267" w:rsidRDefault="00332267">
      <w:pPr>
        <w:divId w:val="645552492"/>
        <w:rPr>
          <w:rFonts w:eastAsia="Times New Roman"/>
        </w:rPr>
      </w:pPr>
    </w:p>
    <w:p w14:paraId="620C08AF"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Welsh Government (2019c) </w:t>
      </w:r>
      <w:r>
        <w:rPr>
          <w:rFonts w:ascii="Arial" w:hAnsi="Arial" w:cs="Arial"/>
          <w:i/>
          <w:iCs/>
          <w:color w:val="000000"/>
          <w:sz w:val="22"/>
          <w:szCs w:val="22"/>
        </w:rPr>
        <w:t xml:space="preserve">Education in Wales is changing. </w:t>
      </w:r>
      <w:r>
        <w:rPr>
          <w:rFonts w:ascii="Arial" w:hAnsi="Arial" w:cs="Arial"/>
          <w:color w:val="000000"/>
          <w:sz w:val="22"/>
          <w:szCs w:val="22"/>
        </w:rPr>
        <w:t xml:space="preserve">Available at: </w:t>
      </w:r>
      <w:hyperlink r:id="rId30" w:history="1">
        <w:r>
          <w:rPr>
            <w:rStyle w:val="Hyperlink"/>
            <w:rFonts w:ascii="Arial" w:hAnsi="Arial" w:cs="Arial"/>
            <w:color w:val="1155CC"/>
            <w:sz w:val="22"/>
            <w:szCs w:val="22"/>
          </w:rPr>
          <w:t>https://gov.wales/sites/default/files/consultations/2019-01/transformational-curriculum-consultation-for-young-people-and-communities.pdf</w:t>
        </w:r>
      </w:hyperlink>
      <w:r>
        <w:rPr>
          <w:rFonts w:ascii="Arial" w:hAnsi="Arial" w:cs="Arial"/>
          <w:color w:val="000000"/>
          <w:sz w:val="22"/>
          <w:szCs w:val="22"/>
        </w:rPr>
        <w:t xml:space="preserve"> (Accessed: 19th November 2019). </w:t>
      </w:r>
    </w:p>
    <w:p w14:paraId="02B60ADA" w14:textId="77777777" w:rsidR="00332267" w:rsidRDefault="00332267">
      <w:pPr>
        <w:divId w:val="645552492"/>
        <w:rPr>
          <w:rFonts w:eastAsia="Times New Roman"/>
        </w:rPr>
      </w:pPr>
    </w:p>
    <w:p w14:paraId="1CCB088A"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Welsh Government (2019d) </w:t>
      </w:r>
      <w:r>
        <w:rPr>
          <w:rFonts w:ascii="Arial" w:hAnsi="Arial" w:cs="Arial"/>
          <w:i/>
          <w:iCs/>
          <w:color w:val="000000"/>
          <w:sz w:val="22"/>
          <w:szCs w:val="22"/>
        </w:rPr>
        <w:t>Assessment proposals to inform the development of statutory guidance.</w:t>
      </w:r>
      <w:r>
        <w:rPr>
          <w:rFonts w:ascii="Arial" w:hAnsi="Arial" w:cs="Arial"/>
          <w:color w:val="000000"/>
          <w:sz w:val="22"/>
          <w:szCs w:val="22"/>
        </w:rPr>
        <w:t xml:space="preserve"> Available at: </w:t>
      </w:r>
      <w:hyperlink r:id="rId31" w:history="1">
        <w:r>
          <w:rPr>
            <w:rStyle w:val="Hyperlink"/>
            <w:rFonts w:ascii="Arial" w:hAnsi="Arial" w:cs="Arial"/>
            <w:color w:val="1155CC"/>
            <w:sz w:val="22"/>
            <w:szCs w:val="22"/>
          </w:rPr>
          <w:t>https://hwb.gov.wales/storage/e6055241-9774-437f-994e-5308deef82e9/assessment-proposals-to-inform-the-development-of-statutory-guidance.pdf</w:t>
        </w:r>
      </w:hyperlink>
      <w:r>
        <w:rPr>
          <w:rFonts w:ascii="Arial" w:hAnsi="Arial" w:cs="Arial"/>
          <w:color w:val="000000"/>
          <w:sz w:val="22"/>
          <w:szCs w:val="22"/>
        </w:rPr>
        <w:t xml:space="preserve"> (Accessed: 18th December 2019). </w:t>
      </w:r>
    </w:p>
    <w:p w14:paraId="34136A95" w14:textId="77777777" w:rsidR="00332267" w:rsidRDefault="00332267">
      <w:pPr>
        <w:divId w:val="645552492"/>
        <w:rPr>
          <w:rFonts w:eastAsia="Times New Roman"/>
        </w:rPr>
      </w:pPr>
    </w:p>
    <w:p w14:paraId="7A2DFC8B" w14:textId="5C28E8B0" w:rsidR="00332267" w:rsidRDefault="00332267" w:rsidP="000E08F0">
      <w:pPr>
        <w:pStyle w:val="NormalWeb"/>
        <w:spacing w:before="0" w:beforeAutospacing="0" w:after="0" w:afterAutospacing="0"/>
        <w:divId w:val="645552492"/>
        <w:rPr>
          <w:rFonts w:ascii="Arial" w:hAnsi="Arial" w:cs="Arial"/>
          <w:color w:val="000000"/>
          <w:sz w:val="22"/>
          <w:szCs w:val="22"/>
        </w:rPr>
      </w:pPr>
      <w:r>
        <w:rPr>
          <w:rFonts w:ascii="Arial" w:hAnsi="Arial" w:cs="Arial"/>
          <w:color w:val="000000"/>
          <w:sz w:val="22"/>
          <w:szCs w:val="22"/>
        </w:rPr>
        <w:t xml:space="preserve">Williams, J. and Easingwood, N. (2006) ‘Possibilities and practicalities: Planning, teaching, and learning science with ICT’, in Warwick, P., Wilson, E. and Winterbottom, M. (ed.) </w:t>
      </w:r>
      <w:r>
        <w:rPr>
          <w:rFonts w:ascii="Arial" w:hAnsi="Arial" w:cs="Arial"/>
          <w:i/>
          <w:iCs/>
          <w:color w:val="000000"/>
          <w:sz w:val="22"/>
          <w:szCs w:val="22"/>
        </w:rPr>
        <w:t>Teaching and learning primary science with ICT.</w:t>
      </w:r>
      <w:r>
        <w:rPr>
          <w:rFonts w:ascii="Arial" w:hAnsi="Arial" w:cs="Arial"/>
          <w:color w:val="000000"/>
          <w:sz w:val="22"/>
          <w:szCs w:val="22"/>
        </w:rPr>
        <w:t xml:space="preserve"> Berkshire: Open University Press.</w:t>
      </w:r>
    </w:p>
    <w:p w14:paraId="2873890C" w14:textId="77777777" w:rsidR="000E08F0" w:rsidRPr="000E08F0" w:rsidRDefault="000E08F0" w:rsidP="000E08F0">
      <w:pPr>
        <w:pStyle w:val="NormalWeb"/>
        <w:spacing w:before="0" w:beforeAutospacing="0" w:after="0" w:afterAutospacing="0"/>
        <w:divId w:val="645552492"/>
      </w:pPr>
    </w:p>
    <w:p w14:paraId="513E614C" w14:textId="77777777" w:rsidR="00332267" w:rsidRDefault="00332267">
      <w:pPr>
        <w:pStyle w:val="NormalWeb"/>
        <w:spacing w:before="0" w:beforeAutospacing="0" w:after="0" w:afterAutospacing="0"/>
        <w:divId w:val="645552492"/>
      </w:pPr>
      <w:r>
        <w:rPr>
          <w:rFonts w:ascii="Arial" w:hAnsi="Arial" w:cs="Arial"/>
          <w:color w:val="000000"/>
          <w:sz w:val="22"/>
          <w:szCs w:val="22"/>
        </w:rPr>
        <w:t xml:space="preserve">Wray, D. et al. (2002) </w:t>
      </w:r>
      <w:r>
        <w:rPr>
          <w:rFonts w:ascii="Arial" w:hAnsi="Arial" w:cs="Arial"/>
          <w:i/>
          <w:iCs/>
          <w:color w:val="000000"/>
          <w:sz w:val="22"/>
          <w:szCs w:val="22"/>
        </w:rPr>
        <w:t xml:space="preserve">Teaching literacy effectively in the Primary School. </w:t>
      </w:r>
      <w:r>
        <w:rPr>
          <w:rFonts w:ascii="Arial" w:hAnsi="Arial" w:cs="Arial"/>
          <w:color w:val="000000"/>
          <w:sz w:val="22"/>
          <w:szCs w:val="22"/>
        </w:rPr>
        <w:t>London: Routledge. </w:t>
      </w:r>
    </w:p>
    <w:p w14:paraId="55A7EEA5" w14:textId="77777777" w:rsidR="00332267" w:rsidRDefault="00332267" w:rsidP="00332267">
      <w:pPr>
        <w:spacing w:line="360" w:lineRule="auto"/>
      </w:pPr>
    </w:p>
    <w:sectPr w:rsidR="00332267">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1CF02D" w14:textId="77777777" w:rsidR="00227D5B" w:rsidRDefault="00227D5B" w:rsidP="00227D5B">
      <w:pPr>
        <w:spacing w:after="0" w:line="240" w:lineRule="auto"/>
      </w:pPr>
      <w:r>
        <w:separator/>
      </w:r>
    </w:p>
  </w:endnote>
  <w:endnote w:type="continuationSeparator" w:id="0">
    <w:p w14:paraId="10325031" w14:textId="77777777" w:rsidR="00227D5B" w:rsidRDefault="00227D5B" w:rsidP="00227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66DE2" w14:textId="77777777" w:rsidR="00227D5B" w:rsidRDefault="00227D5B" w:rsidP="00227D5B">
      <w:pPr>
        <w:spacing w:after="0" w:line="240" w:lineRule="auto"/>
      </w:pPr>
      <w:r>
        <w:separator/>
      </w:r>
    </w:p>
  </w:footnote>
  <w:footnote w:type="continuationSeparator" w:id="0">
    <w:p w14:paraId="1AF78339" w14:textId="77777777" w:rsidR="00227D5B" w:rsidRDefault="00227D5B" w:rsidP="00227D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22925" w14:textId="4F77A8E8" w:rsidR="00227D5B" w:rsidRDefault="00227D5B">
    <w:pPr>
      <w:pStyle w:val="Header"/>
    </w:pPr>
    <w:r>
      <w:rPr>
        <w:lang w:val="en-US"/>
      </w:rPr>
      <w:t>1701121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BEB"/>
    <w:rsid w:val="000A14F3"/>
    <w:rsid w:val="000E08F0"/>
    <w:rsid w:val="001470DD"/>
    <w:rsid w:val="00227D5B"/>
    <w:rsid w:val="00332267"/>
    <w:rsid w:val="00A96BEB"/>
    <w:rsid w:val="00DD4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6F3F0B"/>
  <w15:chartTrackingRefBased/>
  <w15:docId w15:val="{E40C7226-FF05-2B49-A8C7-0DF971C23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6BEB"/>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332267"/>
    <w:rPr>
      <w:color w:val="0000FF"/>
      <w:u w:val="single"/>
    </w:rPr>
  </w:style>
  <w:style w:type="paragraph" w:styleId="Header">
    <w:name w:val="header"/>
    <w:basedOn w:val="Normal"/>
    <w:link w:val="HeaderChar"/>
    <w:uiPriority w:val="99"/>
    <w:unhideWhenUsed/>
    <w:rsid w:val="00227D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D5B"/>
  </w:style>
  <w:style w:type="paragraph" w:styleId="Footer">
    <w:name w:val="footer"/>
    <w:basedOn w:val="Normal"/>
    <w:link w:val="FooterChar"/>
    <w:uiPriority w:val="99"/>
    <w:unhideWhenUsed/>
    <w:rsid w:val="00227D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D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55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1365480207078580" TargetMode="External" /><Relationship Id="rId13" Type="http://schemas.openxmlformats.org/officeDocument/2006/relationships/hyperlink" Target="https://www.estyn.gov.wales/effective-practice/developing-skills-based-curriculum-primary-school" TargetMode="External" /><Relationship Id="rId18" Type="http://schemas.openxmlformats.org/officeDocument/2006/relationships/hyperlink" Target="http://repositorio.minedu.gob.pe/bitstream/handle/123456789/2511/Student%20Standardised%20Testing%20Current%20Practices%20in%20OECD%20Countries%20and%20a%20Literature%20Review.pdf?sequence=1" TargetMode="External" /><Relationship Id="rId26" Type="http://schemas.openxmlformats.org/officeDocument/2006/relationships/hyperlink" Target="https://hwb.gov.wales/curriculum-for-wales-2008/national-literacy-and-numeracy-framework-curriculum-for-wales-2008-version" TargetMode="External" /><Relationship Id="rId3" Type="http://schemas.openxmlformats.org/officeDocument/2006/relationships/webSettings" Target="webSettings.xml" /><Relationship Id="rId21" Type="http://schemas.openxmlformats.org/officeDocument/2006/relationships/hyperlink" Target="https://s3.amazonaws.com/academia.edu.documents/53625851/Exploring_student_teachers_capacity_for_creativity_through_the_interdisciplinary_use_of_comics_in_the_primary_classroom.pdf?response-content-disposition=inline%3B%20filename%3DExploring_student_teachers_capacity_for.pdf&amp;X-Amz-Algorithm=AWS4-HMAC-SHA256&amp;X-Amz-Credential=AKIAIWOWYYGZ2Y53UL3A%2F20191216%2Fus-east-1%2Fs3%2Faws4_request&amp;X-Amz-Date=20191216T115152Z&amp;X-Amz-Expires=3600&amp;X-Amz-SignedHeaders=host&amp;X-Amz-Signature=63365030f80e8f0a80e40c0f5653a1cda564c07153514047cdc65e68e7400d98" TargetMode="External" /><Relationship Id="rId34" Type="http://schemas.openxmlformats.org/officeDocument/2006/relationships/theme" Target="theme/theme1.xml" /><Relationship Id="rId7" Type="http://schemas.openxmlformats.org/officeDocument/2006/relationships/hyperlink" Target="https://files.eric.ed.gov/fulltext/EJ1110738.pdf" TargetMode="External" /><Relationship Id="rId12" Type="http://schemas.openxmlformats.org/officeDocument/2006/relationships/hyperlink" Target="https://gov.wales/sites/default/files/publications/2018-03/successful-futures.pdf" TargetMode="External" /><Relationship Id="rId17" Type="http://schemas.openxmlformats.org/officeDocument/2006/relationships/hyperlink" Target="http://www.academypublication.com/issues/past/tpls/vol02/03/08.pdf" TargetMode="External" /><Relationship Id="rId25" Type="http://schemas.openxmlformats.org/officeDocument/2006/relationships/hyperlink" Target="https://hwb.gov.wales/curriculum-for-wales-2008/digital-competence-framework-curriculum-for-wales-2008-version" TargetMode="External" /><Relationship Id="rId33"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hyperlink" Target="https://www.estyn.gov.wales/effective-practice/impact-professional-development" TargetMode="External" /><Relationship Id="rId20" Type="http://schemas.openxmlformats.org/officeDocument/2006/relationships/hyperlink" Target="https://literacytrust.org.uk/news/lack-access-technology-schools-holding-pupils-back/" TargetMode="External" /><Relationship Id="rId29" Type="http://schemas.openxmlformats.org/officeDocument/2006/relationships/hyperlink" Target="https://gov.wales/sites/default/files/consultations/2019-10/curriculum-for-wales-2022-feedback-analysis-children-young-peoples-report.pdf" TargetMode="External" /><Relationship Id="rId1" Type="http://schemas.openxmlformats.org/officeDocument/2006/relationships/styles" Target="styles.xml" /><Relationship Id="rId6" Type="http://schemas.openxmlformats.org/officeDocument/2006/relationships/hyperlink" Target="http://radar.gsa.ac.uk/5323/1/REVISIT%20paper%20for%20iLRN-v2.pdf" TargetMode="External" /><Relationship Id="rId11" Type="http://schemas.openxmlformats.org/officeDocument/2006/relationships/hyperlink" Target="http://www.educationengland.org.uk/documents/plowden/plowden1967-1.html" TargetMode="External" /><Relationship Id="rId24" Type="http://schemas.openxmlformats.org/officeDocument/2006/relationships/hyperlink" Target="https://doi.org/10.1111/j.1365-2729.2006.00166.x" TargetMode="External" /><Relationship Id="rId32" Type="http://schemas.openxmlformats.org/officeDocument/2006/relationships/header" Target="header1.xml" /><Relationship Id="rId5" Type="http://schemas.openxmlformats.org/officeDocument/2006/relationships/endnotes" Target="endnotes.xml" /><Relationship Id="rId15" Type="http://schemas.openxmlformats.org/officeDocument/2006/relationships/hyperlink" Target="https://www.estyn.gov.wales/effective-practice/using-real-life-situations-develop-childrens-skills" TargetMode="External" /><Relationship Id="rId23" Type="http://schemas.openxmlformats.org/officeDocument/2006/relationships/hyperlink" Target="https://s3.amazonaws.com/academia.edu.documents/51301510/j.compedu.2009.07.01120170111-15391-z14zu9.pdf?response-content-disposition=inline%3B%20filename%3DRevisiting_and_reframing_use_Implication.pdf&amp;X-Amz-Algorithm=AWS4-HMAC-SHA256&amp;X-Amz-Credential=AKIAIWOWYYGZ2Y53UL3A%2F20191220%2Fus-east-1%2Fs3%2Faws4_request&amp;X-Amz-Date=20191220T173959Z&amp;X-Amz-Expires=3600&amp;X-Amz-SignedHeaders=host&amp;X-Amz-Signature=59c1a5e7ab7b66fce3b113cee08b62e055049faf3da82799c037e32bf0607ae1" TargetMode="External" /><Relationship Id="rId28" Type="http://schemas.openxmlformats.org/officeDocument/2006/relationships/hyperlink" Target="https://hwb.gov.wales/storage/f8f9760c-64a1-48ea-80fd-db130ad9050b/a-guide-to-curriculum-for-wales-2022.pdf" TargetMode="External" /><Relationship Id="rId10" Type="http://schemas.openxmlformats.org/officeDocument/2006/relationships/hyperlink" Target="https://dera.ioe.ac.uk/4846/1/LNGT%20DfES.pdf" TargetMode="External" /><Relationship Id="rId19" Type="http://schemas.openxmlformats.org/officeDocument/2006/relationships/hyperlink" Target="https://www.nasuwt.org.uk/uploads/assets/uploaded/47a240ea-2836-4f3d-b768d6a258e3d217.pdf" TargetMode="External" /><Relationship Id="rId31" Type="http://schemas.openxmlformats.org/officeDocument/2006/relationships/hyperlink" Target="https://hwb.gov.wales/storage/e6055241-9774-437f-994e-5308deef82e9/assessment-proposals-to-inform-the-development-of-statutory-guidance.pdf" TargetMode="External" /><Relationship Id="rId4" Type="http://schemas.openxmlformats.org/officeDocument/2006/relationships/footnotes" Target="footnotes.xml" /><Relationship Id="rId9" Type="http://schemas.openxmlformats.org/officeDocument/2006/relationships/hyperlink" Target="https://www.tandfonline.com/doi/pdf/10.1111/j.1467-8527.2007.00370.x?casa_token=E_LqQBHfqNYAAAAA:4WGVPpH-D3MOLch75FvP4lM4jXd4qYzR5N5EWK8KdSnD7-ETQy2ktpE_3YekqCPMQ0j8x0p1i6psZg" TargetMode="External" /><Relationship Id="rId14" Type="http://schemas.openxmlformats.org/officeDocument/2006/relationships/hyperlink" Target="https://www.estyn.gov.wales/sites/www.estyn.gov.wales/files/documents/Preparing%20for%20the%20DCF%20eng.pdf" TargetMode="External" /><Relationship Id="rId22" Type="http://schemas.openxmlformats.org/officeDocument/2006/relationships/hyperlink" Target="https://s3.amazonaws.com/academia.edu.documents/56167278/j.compedu.2011.08.02820180326-8606-9jp828.pdf?response-content-disposition=inline%3B%20filename%3DThe_beliefs_behind_the_teacher_that_infl.pdf&amp;X-Amz-Algorithm=AWS4-HMAC-SHA256&amp;X-Amz-Credential=AKIAIWOWYYGZ2Y53UL3A%2F20191220%2Fus-east-1%2Fs3%2Faws4_request&amp;X-Amz-Date=20191220T175857Z&amp;X-Amz-Expires=3600&amp;X-Amz-SignedHeaders=host&amp;X-Amz-Signature=0a6e768302391bb3d42e43c37427c4327c9afebf11df888ce2c2258bfc79bc93" TargetMode="External" /><Relationship Id="rId27" Type="http://schemas.openxmlformats.org/officeDocument/2006/relationships/hyperlink" Target="https://hwb.gov.wales/storage/337437b8-cfe3-4305-ae32-f47ad82f3e76/digital-competence-framework-guidance-2018.pdf" TargetMode="External" /><Relationship Id="rId30" Type="http://schemas.openxmlformats.org/officeDocument/2006/relationships/hyperlink" Target="https://gov.wales/sites/default/files/consultations/2019-01/transformational-curriculum-consultation-for-young-people-and-communities.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4808</Words>
  <Characters>27407</Characters>
  <Application>Microsoft Office Word</Application>
  <DocSecurity>0</DocSecurity>
  <Lines>228</Lines>
  <Paragraphs>64</Paragraphs>
  <ScaleCrop>false</ScaleCrop>
  <Company/>
  <LinksUpToDate>false</LinksUpToDate>
  <CharactersWithSpaces>32151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Jones (1701121)</dc:creator>
  <cp:keywords/>
  <dc:description/>
  <cp:lastModifiedBy>Kelsey Jones (1701121)</cp:lastModifiedBy>
  <cp:revision>2</cp:revision>
  <dcterms:created xsi:type="dcterms:W3CDTF">2019-12-20T18:58:00Z</dcterms:created>
  <dcterms:modified xsi:type="dcterms:W3CDTF">2019-12-20T18:58:00Z</dcterms:modified>
</cp:coreProperties>
</file>