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4190D" w14:textId="49A116DF" w:rsidR="00A10671" w:rsidRDefault="00F87297">
      <w:r>
        <w:rPr>
          <w:noProof/>
        </w:rPr>
        <w:drawing>
          <wp:inline distT="0" distB="0" distL="0" distR="0" wp14:anchorId="43F742DA" wp14:editId="16CF5AB8">
            <wp:extent cx="5731510" cy="3223895"/>
            <wp:effectExtent l="0" t="0" r="2540" b="0"/>
            <wp:docPr id="14135847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8477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AC6A9" w14:textId="77777777" w:rsidR="00F87297" w:rsidRDefault="00F87297"/>
    <w:p w14:paraId="357E2947" w14:textId="72885569" w:rsidR="00F87297" w:rsidRDefault="00F87297">
      <w:r>
        <w:rPr>
          <w:noProof/>
        </w:rPr>
        <w:drawing>
          <wp:inline distT="0" distB="0" distL="0" distR="0" wp14:anchorId="73419301" wp14:editId="4EF312E2">
            <wp:extent cx="5731510" cy="3223895"/>
            <wp:effectExtent l="0" t="0" r="2540" b="0"/>
            <wp:docPr id="19660233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02330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85861" w14:textId="77777777" w:rsidR="00F87297" w:rsidRDefault="00F87297"/>
    <w:p w14:paraId="10185A40" w14:textId="1ED03795" w:rsidR="00F87297" w:rsidRDefault="00F87297">
      <w:r>
        <w:rPr>
          <w:noProof/>
        </w:rPr>
        <w:lastRenderedPageBreak/>
        <w:drawing>
          <wp:inline distT="0" distB="0" distL="0" distR="0" wp14:anchorId="34F1223A" wp14:editId="57517D05">
            <wp:extent cx="5731510" cy="3223895"/>
            <wp:effectExtent l="0" t="0" r="2540" b="0"/>
            <wp:docPr id="2000447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44764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CBEF7" w14:textId="77777777" w:rsidR="00F87297" w:rsidRDefault="00F87297"/>
    <w:p w14:paraId="461BC12D" w14:textId="6141301F" w:rsidR="00F87297" w:rsidRDefault="00F87297">
      <w:r>
        <w:rPr>
          <w:noProof/>
        </w:rPr>
        <w:drawing>
          <wp:inline distT="0" distB="0" distL="0" distR="0" wp14:anchorId="1CE00415" wp14:editId="59C895E1">
            <wp:extent cx="5731510" cy="3223895"/>
            <wp:effectExtent l="0" t="0" r="2540" b="0"/>
            <wp:docPr id="17700415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04151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2B2C0" w14:textId="77777777" w:rsidR="00F87297" w:rsidRDefault="00F87297"/>
    <w:p w14:paraId="601189A2" w14:textId="77C0D0A5" w:rsidR="00F87297" w:rsidRDefault="00F87297">
      <w:r>
        <w:rPr>
          <w:noProof/>
        </w:rPr>
        <w:lastRenderedPageBreak/>
        <w:drawing>
          <wp:inline distT="0" distB="0" distL="0" distR="0" wp14:anchorId="3B114892" wp14:editId="25D7D6E9">
            <wp:extent cx="5731510" cy="3223895"/>
            <wp:effectExtent l="0" t="0" r="2540" b="0"/>
            <wp:docPr id="20282879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287936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FB875" w14:textId="77777777" w:rsidR="00F87297" w:rsidRDefault="00F87297"/>
    <w:p w14:paraId="60A5A0A1" w14:textId="6A4FCC89" w:rsidR="00F87297" w:rsidRDefault="00F87297">
      <w:r>
        <w:rPr>
          <w:noProof/>
        </w:rPr>
        <w:drawing>
          <wp:inline distT="0" distB="0" distL="0" distR="0" wp14:anchorId="12668C4C" wp14:editId="18428063">
            <wp:extent cx="5731510" cy="3223895"/>
            <wp:effectExtent l="0" t="0" r="2540" b="0"/>
            <wp:docPr id="8019478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94782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03262" w14:textId="77777777" w:rsidR="00F87297" w:rsidRDefault="00F87297"/>
    <w:p w14:paraId="225D134F" w14:textId="116E81EE" w:rsidR="00F87297" w:rsidRDefault="00F87297">
      <w:r>
        <w:rPr>
          <w:noProof/>
        </w:rPr>
        <w:lastRenderedPageBreak/>
        <w:drawing>
          <wp:inline distT="0" distB="0" distL="0" distR="0" wp14:anchorId="577B4A12" wp14:editId="798A904A">
            <wp:extent cx="5731510" cy="3223895"/>
            <wp:effectExtent l="0" t="0" r="2540" b="0"/>
            <wp:docPr id="2167847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78470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A85A3" w14:textId="77777777" w:rsidR="00F87297" w:rsidRDefault="00F87297"/>
    <w:p w14:paraId="764E5DC9" w14:textId="622AEEBF" w:rsidR="00F87297" w:rsidRDefault="00F87297">
      <w:r>
        <w:rPr>
          <w:noProof/>
        </w:rPr>
        <w:drawing>
          <wp:inline distT="0" distB="0" distL="0" distR="0" wp14:anchorId="2416064E" wp14:editId="3E13EEC6">
            <wp:extent cx="5731510" cy="3223895"/>
            <wp:effectExtent l="0" t="0" r="2540" b="0"/>
            <wp:docPr id="11262322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232272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C96D9" w14:textId="77777777" w:rsidR="00F87297" w:rsidRDefault="00F87297"/>
    <w:p w14:paraId="0F635695" w14:textId="3CDD5578" w:rsidR="00F87297" w:rsidRDefault="00F87297">
      <w:r>
        <w:rPr>
          <w:noProof/>
        </w:rPr>
        <w:lastRenderedPageBreak/>
        <w:drawing>
          <wp:inline distT="0" distB="0" distL="0" distR="0" wp14:anchorId="1224A414" wp14:editId="03E93590">
            <wp:extent cx="5731510" cy="3223895"/>
            <wp:effectExtent l="0" t="0" r="2540" b="0"/>
            <wp:docPr id="15172067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206790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B378D" w14:textId="77777777" w:rsidR="00F87297" w:rsidRDefault="00F87297"/>
    <w:p w14:paraId="2E6DE34F" w14:textId="1E7A4DC9" w:rsidR="00F87297" w:rsidRDefault="00F87297">
      <w:r>
        <w:rPr>
          <w:noProof/>
        </w:rPr>
        <w:drawing>
          <wp:inline distT="0" distB="0" distL="0" distR="0" wp14:anchorId="5506D2C3" wp14:editId="139B6FCE">
            <wp:extent cx="5731510" cy="3223895"/>
            <wp:effectExtent l="0" t="0" r="2540" b="0"/>
            <wp:docPr id="1314011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01146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FC39D" w14:textId="77777777" w:rsidR="00F87297" w:rsidRDefault="00F87297"/>
    <w:p w14:paraId="48E2D014" w14:textId="4503287F" w:rsidR="00F87297" w:rsidRDefault="00F87297">
      <w:r>
        <w:rPr>
          <w:noProof/>
        </w:rPr>
        <w:lastRenderedPageBreak/>
        <w:drawing>
          <wp:inline distT="0" distB="0" distL="0" distR="0" wp14:anchorId="25356183" wp14:editId="166B2106">
            <wp:extent cx="5731510" cy="3223895"/>
            <wp:effectExtent l="0" t="0" r="2540" b="0"/>
            <wp:docPr id="1096064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06463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AB09A" w14:textId="77777777" w:rsidR="00F87297" w:rsidRDefault="00F87297"/>
    <w:p w14:paraId="6F584206" w14:textId="7B7A6CE9" w:rsidR="00F87297" w:rsidRDefault="00F87297">
      <w:r>
        <w:rPr>
          <w:noProof/>
        </w:rPr>
        <w:drawing>
          <wp:inline distT="0" distB="0" distL="0" distR="0" wp14:anchorId="22B10FEC" wp14:editId="10C725E7">
            <wp:extent cx="5731510" cy="3223895"/>
            <wp:effectExtent l="0" t="0" r="2540" b="0"/>
            <wp:docPr id="7962601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260160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041C3" w14:textId="77777777" w:rsidR="00F87297" w:rsidRDefault="00F87297"/>
    <w:p w14:paraId="5F9934AF" w14:textId="77777777" w:rsidR="00F87297" w:rsidRDefault="00F87297"/>
    <w:p w14:paraId="751C439F" w14:textId="77777777" w:rsidR="00F87297" w:rsidRPr="00F87297" w:rsidRDefault="00F87297" w:rsidP="00F87297">
      <w:r w:rsidRPr="00F87297">
        <w:t xml:space="preserve">Austin, A. (2023). Event Life Cycle: Before, During &amp; After an Event | Eventbrite. [online] Eventbrite Blog. Available at: https://www.eventbrite.co.uk/blog/event-life-cycle-ds00/.  </w:t>
      </w:r>
    </w:p>
    <w:p w14:paraId="585B1DC7" w14:textId="77777777" w:rsidR="00F87297" w:rsidRPr="00F87297" w:rsidRDefault="00F87297" w:rsidP="00F87297">
      <w:proofErr w:type="spellStart"/>
      <w:r w:rsidRPr="00F87297">
        <w:t>Bohonos</w:t>
      </w:r>
      <w:proofErr w:type="spellEnd"/>
      <w:r w:rsidRPr="00F87297">
        <w:t xml:space="preserve">, J.W. and Sisco, S. (2021). Advocating for social justice, equity, and inclusion in the workplace: An agenda for anti‐racist learning organizations. New Directions for Adult and Continuing Education, [online] 2021(170), pp.89–98. </w:t>
      </w:r>
      <w:proofErr w:type="spellStart"/>
      <w:r w:rsidRPr="00F87297">
        <w:t>doi:https</w:t>
      </w:r>
      <w:proofErr w:type="spellEnd"/>
      <w:r w:rsidRPr="00F87297">
        <w:t xml:space="preserve">://doi.org/10.1002/ace.20428.  </w:t>
      </w:r>
    </w:p>
    <w:p w14:paraId="3A922E3D" w14:textId="77777777" w:rsidR="00F87297" w:rsidRPr="00F87297" w:rsidRDefault="00F87297" w:rsidP="00F87297">
      <w:proofErr w:type="spellStart"/>
      <w:r w:rsidRPr="00F87297">
        <w:lastRenderedPageBreak/>
        <w:t>Bombaro</w:t>
      </w:r>
      <w:proofErr w:type="spellEnd"/>
      <w:r w:rsidRPr="00F87297">
        <w:t xml:space="preserve">, C. (2020). Diversity, equity, and inclusion in action : planning, leadership, and programming. Chicago: Ala Editions.  </w:t>
      </w:r>
    </w:p>
    <w:p w14:paraId="1504B6ED" w14:textId="77777777" w:rsidR="00F87297" w:rsidRPr="00F87297" w:rsidRDefault="00F87297" w:rsidP="00F87297">
      <w:r w:rsidRPr="00F87297">
        <w:t xml:space="preserve">Brown, T. and Drakeley, C. (2023). Virtual Events Management. Goodfellow Publishers Ltd.  </w:t>
      </w:r>
    </w:p>
    <w:p w14:paraId="70EA50A0" w14:textId="77777777" w:rsidR="00F87297" w:rsidRPr="00F87297" w:rsidRDefault="00F87297" w:rsidP="00F87297">
      <w:r w:rsidRPr="00F87297">
        <w:t xml:space="preserve">‌Chodor, B. and </w:t>
      </w:r>
      <w:proofErr w:type="spellStart"/>
      <w:r w:rsidRPr="00F87297">
        <w:t>Cyranski</w:t>
      </w:r>
      <w:proofErr w:type="spellEnd"/>
      <w:r w:rsidRPr="00F87297">
        <w:t xml:space="preserve">, G. (2020). Transitioning to virtual and hybrid events : how to create, adapt, and market an engaging online experience. Hoboken: John Wiley &amp; Sons, Inc.    </w:t>
      </w:r>
    </w:p>
    <w:p w14:paraId="6824029C" w14:textId="77777777" w:rsidR="00F87297" w:rsidRPr="00F87297" w:rsidRDefault="00F87297" w:rsidP="00F87297">
      <w:r w:rsidRPr="00F87297">
        <w:t xml:space="preserve">‌Currie, R.R., Seaton, S. and Wesley, F. (2009). Determining stakeholders for feasibility analysis. Annals of Tourism Research, [online] 36(1), pp.41–63. </w:t>
      </w:r>
      <w:proofErr w:type="spellStart"/>
      <w:r w:rsidRPr="00F87297">
        <w:t>doi:https</w:t>
      </w:r>
      <w:proofErr w:type="spellEnd"/>
      <w:r w:rsidRPr="00F87297">
        <w:t xml:space="preserve">://doi.org/10.1016/j.annals.2008.10.002.  </w:t>
      </w:r>
    </w:p>
    <w:p w14:paraId="4884F782" w14:textId="77777777" w:rsidR="00F87297" w:rsidRPr="00F87297" w:rsidRDefault="00F87297" w:rsidP="00F87297">
      <w:r w:rsidRPr="00F87297">
        <w:t xml:space="preserve">Disability Belongs. (2024). Event Accessibility Considerations - Disability Belongs. [online] Available at: https://www.respectability.org/resources/events/ [Accessed 2 Feb. 2025].  </w:t>
      </w:r>
    </w:p>
    <w:p w14:paraId="30181217" w14:textId="77777777" w:rsidR="00F87297" w:rsidRPr="00F87297" w:rsidRDefault="00F87297" w:rsidP="00F87297">
      <w:r w:rsidRPr="00F87297">
        <w:t xml:space="preserve">Ferdinand, N. and Kitchin, P.J. (2022). Events Management. SAGE.   </w:t>
      </w:r>
    </w:p>
    <w:p w14:paraId="267ACA5C" w14:textId="77777777" w:rsidR="00F87297" w:rsidRPr="00F87297" w:rsidRDefault="00F87297" w:rsidP="00F87297">
      <w:r w:rsidRPr="00F87297">
        <w:t xml:space="preserve">Flores, J.M. and Qayyum, Z. (2020). Intentions vs. Experiences: Opening the Door to Fundamental Conversations About Diversity, Intersectionality, and Race. Academic Psychiatry, 45(1), pp.124–126. </w:t>
      </w:r>
      <w:proofErr w:type="spellStart"/>
      <w:r w:rsidRPr="00F87297">
        <w:t>doi:https</w:t>
      </w:r>
      <w:proofErr w:type="spellEnd"/>
      <w:r w:rsidRPr="00F87297">
        <w:t xml:space="preserve">://doi.org/10.1007/s40596-020-01308-8.     </w:t>
      </w:r>
    </w:p>
    <w:p w14:paraId="4FB1E245" w14:textId="77777777" w:rsidR="00F87297" w:rsidRPr="00F87297" w:rsidRDefault="00F87297" w:rsidP="00F87297">
      <w:r w:rsidRPr="00F87297">
        <w:t xml:space="preserve">Gill, G.K., McNally, M.J. and Berman, V. (2018). Effective diversity, equity, and inclusion practices. Healthcare Management Forum, 31(5), pp.196–199. </w:t>
      </w:r>
      <w:proofErr w:type="spellStart"/>
      <w:r w:rsidRPr="00F87297">
        <w:t>doi:https</w:t>
      </w:r>
      <w:proofErr w:type="spellEnd"/>
      <w:r w:rsidRPr="00F87297">
        <w:t xml:space="preserve">://doi.org/10.1177/0840470418773785.   </w:t>
      </w:r>
    </w:p>
    <w:p w14:paraId="76424967" w14:textId="77777777" w:rsidR="00F87297" w:rsidRPr="00F87297" w:rsidRDefault="00F87297" w:rsidP="00F87297">
      <w:r w:rsidRPr="00F87297">
        <w:t>Inclusive Conversations. Berrett-Koehler Publishers.</w:t>
      </w:r>
    </w:p>
    <w:p w14:paraId="6806FA8A" w14:textId="77777777" w:rsidR="00F87297" w:rsidRPr="00F87297" w:rsidRDefault="00F87297" w:rsidP="00F87297">
      <w:r w:rsidRPr="00F87297">
        <w:t xml:space="preserve">Indeed Editorial Team (2023). 17 Marketing Strategies (With Examples). [online] Indeed Career Guide. Available at: https://www.indeed.com/career-advice/career-development/marketing-strategy-examples.  </w:t>
      </w:r>
    </w:p>
    <w:p w14:paraId="6EC65F5D" w14:textId="77777777" w:rsidR="00F87297" w:rsidRPr="00F87297" w:rsidRDefault="00F87297" w:rsidP="00F87297">
      <w:r w:rsidRPr="00F87297">
        <w:t xml:space="preserve">Maclean, N., Geiger, M. and Ned, L. (2024) ‘Employment equity targets: How a state-owned enterprise recruits people with disabilities’, SA Journal of Human Resource Management, 22(1), pp. 1–15. Available at: </w:t>
      </w:r>
      <w:hyperlink r:id="rId31" w:history="1">
        <w:r w:rsidRPr="00F87297">
          <w:rPr>
            <w:rStyle w:val="Hyperlink"/>
          </w:rPr>
          <w:t>https://doi.org/10.4102/sajhrm.v22i0.2355</w:t>
        </w:r>
      </w:hyperlink>
      <w:r w:rsidRPr="00F87297">
        <w:t>.</w:t>
      </w:r>
    </w:p>
    <w:p w14:paraId="4B456DD1" w14:textId="77777777" w:rsidR="00F87297" w:rsidRPr="00F87297" w:rsidRDefault="00F87297" w:rsidP="00F87297">
      <w:r w:rsidRPr="00F87297">
        <w:t xml:space="preserve">Marriott Bonvoy. (2016). Moxy London Stratford. [online] Available at: https://www.marriott.com/en-gb/hotels/lonof-moxy-london-stratford/overview/ [Accessed 2 Feb. 2025]. </w:t>
      </w:r>
    </w:p>
    <w:p w14:paraId="4192CEA8" w14:textId="77777777" w:rsidR="00F87297" w:rsidRPr="00F87297" w:rsidRDefault="00F87297" w:rsidP="00F87297">
      <w:r w:rsidRPr="00F87297">
        <w:t xml:space="preserve">Miranda-Wolff, A. (2022). Cultures of belonging : building inclusive organizations that last : a guide to equitable leadership. New York: </w:t>
      </w:r>
      <w:proofErr w:type="spellStart"/>
      <w:r w:rsidRPr="00F87297">
        <w:t>Harpercollins</w:t>
      </w:r>
      <w:proofErr w:type="spellEnd"/>
      <w:r w:rsidRPr="00F87297">
        <w:t xml:space="preserve"> Leadership. </w:t>
      </w:r>
    </w:p>
    <w:p w14:paraId="380ED3CE" w14:textId="77777777" w:rsidR="00F87297" w:rsidRPr="00F87297" w:rsidRDefault="00F87297" w:rsidP="00F87297">
      <w:r w:rsidRPr="00F87297">
        <w:t xml:space="preserve">Olusanya, E.O.E. (2023). Workplace Diversity, Equity, Inclusion. Journal of business diversity, 23(4). </w:t>
      </w:r>
      <w:proofErr w:type="spellStart"/>
      <w:r w:rsidRPr="00F87297">
        <w:t>doi:https</w:t>
      </w:r>
      <w:proofErr w:type="spellEnd"/>
      <w:r w:rsidRPr="00F87297">
        <w:t xml:space="preserve">://doi.org/10.33423/jbd.v23i4.6615.   </w:t>
      </w:r>
    </w:p>
    <w:p w14:paraId="2BE05855" w14:textId="77777777" w:rsidR="00F87297" w:rsidRPr="00F87297" w:rsidRDefault="00F87297" w:rsidP="00F87297">
      <w:r w:rsidRPr="00F87297">
        <w:t xml:space="preserve">Ong, F., Lewis, C. and </w:t>
      </w:r>
      <w:proofErr w:type="spellStart"/>
      <w:r w:rsidRPr="00F87297">
        <w:t>Vorobjovas</w:t>
      </w:r>
      <w:proofErr w:type="spellEnd"/>
      <w:r w:rsidRPr="00F87297">
        <w:t xml:space="preserve">-Pinta, O. (2020). Questioning the inclusivity of events: the queer perspective. Journal of Sustainable Tourism, 29(11-12), pp.1–18. </w:t>
      </w:r>
      <w:proofErr w:type="spellStart"/>
      <w:r w:rsidRPr="00F87297">
        <w:t>doi:https</w:t>
      </w:r>
      <w:proofErr w:type="spellEnd"/>
      <w:r w:rsidRPr="00F87297">
        <w:t xml:space="preserve">://doi.org/10.1080/09669582.2020.1860072.   </w:t>
      </w:r>
    </w:p>
    <w:p w14:paraId="58A98E31" w14:textId="77777777" w:rsidR="00F87297" w:rsidRPr="00F87297" w:rsidRDefault="00F87297" w:rsidP="00F87297">
      <w:r w:rsidRPr="00F87297">
        <w:t xml:space="preserve">Palmer, P. and Randall, A. (2002) Financial management in the voluntary sector : new challenges. 1st ed. London ; Routledge. Available at: </w:t>
      </w:r>
      <w:hyperlink r:id="rId32" w:history="1">
        <w:r w:rsidRPr="00F87297">
          <w:rPr>
            <w:rStyle w:val="Hyperlink"/>
          </w:rPr>
          <w:t>https://doi.org/10.4324/9780203996577</w:t>
        </w:r>
      </w:hyperlink>
      <w:r w:rsidRPr="00F87297">
        <w:t>.</w:t>
      </w:r>
    </w:p>
    <w:p w14:paraId="7BC0DB6B" w14:textId="77777777" w:rsidR="00F87297" w:rsidRPr="00F87297" w:rsidRDefault="00F87297" w:rsidP="00F87297">
      <w:r w:rsidRPr="00F87297">
        <w:t xml:space="preserve">Silcox, A. (2018). Marketing Mix Best Practices – Effective Examples of the Seven P’s. [online] The Lead Agency. Available at: https://www.leadagency.com.au/marketing-mix-best-practice-effective-examples-of-the-seven-ps/.  </w:t>
      </w:r>
    </w:p>
    <w:p w14:paraId="55C24A57" w14:textId="45F8E6AD" w:rsidR="00241873" w:rsidRPr="00F87297" w:rsidRDefault="00F87297" w:rsidP="00F87297">
      <w:r w:rsidRPr="00F87297">
        <w:lastRenderedPageBreak/>
        <w:t xml:space="preserve">Tillman, Z. (2024). Ensuring Inclusivity: A Guide to Running Accessible Virtual Meetings - The Ability </w:t>
      </w:r>
      <w:proofErr w:type="spellStart"/>
      <w:r w:rsidRPr="00F87297">
        <w:t>Center</w:t>
      </w:r>
      <w:proofErr w:type="spellEnd"/>
      <w:r w:rsidRPr="00F87297">
        <w:t xml:space="preserve">. [online] The Ability </w:t>
      </w:r>
      <w:proofErr w:type="spellStart"/>
      <w:r w:rsidRPr="00F87297">
        <w:t>Center</w:t>
      </w:r>
      <w:proofErr w:type="spellEnd"/>
      <w:r w:rsidRPr="00F87297">
        <w:t xml:space="preserve">. Available at: https://abilitycenter.org/accessible-virtual-meetings-guide/ [Accessed 2 Feb. 2025].   </w:t>
      </w:r>
    </w:p>
    <w:p w14:paraId="338E93ED" w14:textId="77777777" w:rsidR="00F87297" w:rsidRPr="00F87297" w:rsidRDefault="00F87297" w:rsidP="00F87297">
      <w:r w:rsidRPr="00F87297">
        <w:t xml:space="preserve">visitlondon.com. (2025). Moxy London Stratford. [online] Available at: https://www.visitlondon.com/where-to-stay/place/50574791-moxy-london-stratford [Accessed 1 Feb. 2025].  </w:t>
      </w:r>
    </w:p>
    <w:p w14:paraId="3BF0EDA1" w14:textId="77777777" w:rsidR="00F87297" w:rsidRDefault="00F87297"/>
    <w:sectPr w:rsidR="00F87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297"/>
    <w:rsid w:val="00241873"/>
    <w:rsid w:val="002B2635"/>
    <w:rsid w:val="00A10671"/>
    <w:rsid w:val="00AD24DE"/>
    <w:rsid w:val="00F87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6C861"/>
  <w15:chartTrackingRefBased/>
  <w15:docId w15:val="{CDA30680-DA14-4A8D-A0E5-75C8FDF411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72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72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729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72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729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72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72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72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72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29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72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729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729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729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72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72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72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72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72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2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72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72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72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72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72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729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729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729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729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72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2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796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hyperlink" Target="https://doi.org/10.4324/9780203996577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hyperlink" Target="https://doi.org/10.4102/sajhrm.v22i0.2355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1ea53e8e08d687b7f2e47803d1db2ecc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06a2306b4cc4b961664e0acb150e0f16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5F781011-0826-4043-B89A-8D8F05B870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A6950E-931F-4ED6-9CF4-FAFF8B98FE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C9B4D6-C028-4198-B032-F6C514D8B8CA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8</Pages>
  <Words>590</Words>
  <Characters>3363</Characters>
  <Application>Microsoft Office Word</Application>
  <DocSecurity>0</DocSecurity>
  <Lines>28</Lines>
  <Paragraphs>7</Paragraphs>
  <ScaleCrop>false</ScaleCrop>
  <Company/>
  <LinksUpToDate>false</LinksUpToDate>
  <CharactersWithSpaces>3946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Rosario Del Rocio Garcia Baez (2230623)</dc:creator>
  <cp:keywords/>
  <dc:description/>
  <cp:lastModifiedBy>Rosario Del Rocio Garcia Baez (2230623)</cp:lastModifiedBy>
  <cp:revision>2</cp:revision>
  <dcterms:created xsi:type="dcterms:W3CDTF">2025-02-07T15:28:00Z</dcterms:created>
  <dcterms:modified xsi:type="dcterms:W3CDTF">2025-02-07T15:51:00Z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