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90F8" w14:textId="77777777" w:rsidR="00AA6B88" w:rsidRDefault="00AA6B88" w:rsidP="007538F8">
      <w:pPr>
        <w:spacing w:line="360" w:lineRule="auto"/>
        <w:jc w:val="center"/>
        <w:rPr>
          <w:rFonts w:ascii="Times New Roman" w:hAnsi="Times New Roman" w:cs="Times New Roman"/>
          <w:b/>
          <w:bCs/>
          <w:sz w:val="32"/>
          <w:szCs w:val="32"/>
        </w:rPr>
      </w:pPr>
    </w:p>
    <w:p w14:paraId="0DBCB197" w14:textId="77777777" w:rsidR="00AA6B88" w:rsidRDefault="00AA6B88" w:rsidP="007538F8">
      <w:pPr>
        <w:spacing w:line="360" w:lineRule="auto"/>
        <w:jc w:val="center"/>
        <w:rPr>
          <w:rFonts w:ascii="Times New Roman" w:hAnsi="Times New Roman" w:cs="Times New Roman"/>
          <w:b/>
          <w:bCs/>
          <w:sz w:val="32"/>
          <w:szCs w:val="32"/>
        </w:rPr>
      </w:pPr>
    </w:p>
    <w:p w14:paraId="5F9C449F" w14:textId="77777777" w:rsidR="00AA6B88" w:rsidRDefault="00AA6B88" w:rsidP="007538F8">
      <w:pPr>
        <w:spacing w:line="360" w:lineRule="auto"/>
        <w:jc w:val="center"/>
        <w:rPr>
          <w:rFonts w:ascii="Times New Roman" w:hAnsi="Times New Roman" w:cs="Times New Roman"/>
          <w:b/>
          <w:bCs/>
          <w:sz w:val="32"/>
          <w:szCs w:val="32"/>
        </w:rPr>
      </w:pPr>
    </w:p>
    <w:p w14:paraId="18CD174C" w14:textId="77777777" w:rsidR="00AA6B88" w:rsidRDefault="00AA6B88" w:rsidP="007538F8">
      <w:pPr>
        <w:spacing w:line="360" w:lineRule="auto"/>
        <w:jc w:val="center"/>
        <w:rPr>
          <w:rFonts w:ascii="Times New Roman" w:hAnsi="Times New Roman" w:cs="Times New Roman"/>
          <w:b/>
          <w:bCs/>
          <w:sz w:val="32"/>
          <w:szCs w:val="32"/>
        </w:rPr>
      </w:pPr>
    </w:p>
    <w:p w14:paraId="123F678A" w14:textId="77777777" w:rsidR="00AA6B88" w:rsidRDefault="00AA6B88" w:rsidP="007538F8">
      <w:pPr>
        <w:spacing w:line="360" w:lineRule="auto"/>
        <w:jc w:val="center"/>
        <w:rPr>
          <w:rFonts w:ascii="Times New Roman" w:hAnsi="Times New Roman" w:cs="Times New Roman"/>
          <w:b/>
          <w:bCs/>
          <w:sz w:val="32"/>
          <w:szCs w:val="32"/>
        </w:rPr>
      </w:pPr>
    </w:p>
    <w:p w14:paraId="69B7962B" w14:textId="77777777" w:rsidR="0089649F" w:rsidRDefault="007538F8" w:rsidP="007538F8">
      <w:pPr>
        <w:spacing w:line="360" w:lineRule="auto"/>
        <w:jc w:val="center"/>
        <w:rPr>
          <w:rFonts w:ascii="Times New Roman" w:hAnsi="Times New Roman" w:cs="Times New Roman"/>
          <w:b/>
          <w:bCs/>
          <w:sz w:val="32"/>
          <w:szCs w:val="32"/>
        </w:rPr>
      </w:pPr>
      <w:r w:rsidRPr="00531205">
        <w:rPr>
          <w:rFonts w:ascii="Times New Roman" w:hAnsi="Times New Roman" w:cs="Times New Roman"/>
          <w:b/>
          <w:bCs/>
          <w:sz w:val="32"/>
          <w:szCs w:val="32"/>
        </w:rPr>
        <w:t xml:space="preserve">Module: </w:t>
      </w:r>
      <w:r w:rsidR="0089649F" w:rsidRPr="0089649F">
        <w:rPr>
          <w:rFonts w:ascii="Times New Roman" w:hAnsi="Times New Roman" w:cs="Times New Roman"/>
          <w:b/>
          <w:bCs/>
          <w:sz w:val="32"/>
          <w:szCs w:val="32"/>
        </w:rPr>
        <w:t>Strategic Management for SMEs</w:t>
      </w:r>
    </w:p>
    <w:p w14:paraId="39687375" w14:textId="081BC11F" w:rsidR="007538F8" w:rsidRDefault="007538F8" w:rsidP="0089649F">
      <w:pPr>
        <w:spacing w:line="360" w:lineRule="auto"/>
        <w:jc w:val="center"/>
        <w:rPr>
          <w:rFonts w:ascii="Times New Roman" w:hAnsi="Times New Roman" w:cs="Times New Roman"/>
          <w:b/>
          <w:bCs/>
          <w:sz w:val="32"/>
          <w:szCs w:val="32"/>
        </w:rPr>
      </w:pPr>
      <w:r w:rsidRPr="00531205">
        <w:rPr>
          <w:rFonts w:ascii="Times New Roman" w:hAnsi="Times New Roman" w:cs="Times New Roman"/>
          <w:b/>
          <w:bCs/>
          <w:sz w:val="32"/>
          <w:szCs w:val="32"/>
        </w:rPr>
        <w:t xml:space="preserve">Module Code: </w:t>
      </w:r>
      <w:r w:rsidR="007E2739" w:rsidRPr="007E2739">
        <w:rPr>
          <w:rFonts w:ascii="Times New Roman" w:hAnsi="Times New Roman" w:cs="Times New Roman"/>
          <w:b/>
          <w:bCs/>
          <w:sz w:val="32"/>
          <w:szCs w:val="32"/>
        </w:rPr>
        <w:t>BMSW6104</w:t>
      </w:r>
    </w:p>
    <w:p w14:paraId="772234BB" w14:textId="77777777" w:rsidR="007538F8" w:rsidRDefault="007538F8" w:rsidP="007538F8">
      <w:pPr>
        <w:spacing w:line="360" w:lineRule="auto"/>
        <w:jc w:val="center"/>
        <w:rPr>
          <w:rFonts w:ascii="Times New Roman" w:hAnsi="Times New Roman" w:cs="Times New Roman"/>
          <w:b/>
          <w:bCs/>
          <w:sz w:val="32"/>
          <w:szCs w:val="32"/>
        </w:rPr>
      </w:pPr>
    </w:p>
    <w:p w14:paraId="0F9558E9" w14:textId="77777777" w:rsidR="007E2739" w:rsidRDefault="007E2739" w:rsidP="007538F8">
      <w:pPr>
        <w:spacing w:line="360" w:lineRule="auto"/>
        <w:jc w:val="center"/>
        <w:rPr>
          <w:rFonts w:ascii="Times New Roman" w:hAnsi="Times New Roman" w:cs="Times New Roman"/>
          <w:b/>
          <w:bCs/>
          <w:sz w:val="32"/>
          <w:szCs w:val="32"/>
        </w:rPr>
      </w:pPr>
    </w:p>
    <w:p w14:paraId="331D3429" w14:textId="77777777" w:rsidR="007E2739" w:rsidRDefault="007E2739" w:rsidP="007538F8">
      <w:pPr>
        <w:spacing w:line="360" w:lineRule="auto"/>
        <w:jc w:val="center"/>
        <w:rPr>
          <w:rFonts w:ascii="Times New Roman" w:hAnsi="Times New Roman" w:cs="Times New Roman"/>
          <w:b/>
          <w:bCs/>
          <w:sz w:val="32"/>
          <w:szCs w:val="32"/>
        </w:rPr>
      </w:pPr>
    </w:p>
    <w:p w14:paraId="3C4F436C" w14:textId="77777777" w:rsidR="007E2739" w:rsidRDefault="007E2739" w:rsidP="007538F8">
      <w:pPr>
        <w:spacing w:line="360" w:lineRule="auto"/>
        <w:jc w:val="center"/>
        <w:rPr>
          <w:rFonts w:ascii="Times New Roman" w:hAnsi="Times New Roman" w:cs="Times New Roman"/>
          <w:b/>
          <w:bCs/>
          <w:sz w:val="32"/>
          <w:szCs w:val="32"/>
        </w:rPr>
      </w:pPr>
    </w:p>
    <w:p w14:paraId="201D5C26" w14:textId="77777777" w:rsidR="007E2739" w:rsidRDefault="007E2739" w:rsidP="007538F8">
      <w:pPr>
        <w:spacing w:line="360" w:lineRule="auto"/>
        <w:jc w:val="center"/>
        <w:rPr>
          <w:rFonts w:ascii="Times New Roman" w:hAnsi="Times New Roman" w:cs="Times New Roman"/>
          <w:b/>
          <w:bCs/>
          <w:sz w:val="32"/>
          <w:szCs w:val="32"/>
        </w:rPr>
      </w:pPr>
    </w:p>
    <w:p w14:paraId="764DD2FB" w14:textId="77777777" w:rsidR="007538F8" w:rsidRPr="00531205" w:rsidRDefault="007538F8" w:rsidP="007538F8">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name: Radu Mihai Stanciu</w:t>
      </w:r>
    </w:p>
    <w:p w14:paraId="22A3DA80" w14:textId="7856873C" w:rsidR="007538F8" w:rsidRDefault="00763244" w:rsidP="007538F8">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Strategic Plan</w:t>
      </w:r>
    </w:p>
    <w:p w14:paraId="795B9ED1" w14:textId="77777777" w:rsidR="007538F8" w:rsidRDefault="007538F8" w:rsidP="007538F8">
      <w:pPr>
        <w:spacing w:line="360" w:lineRule="auto"/>
        <w:jc w:val="center"/>
        <w:rPr>
          <w:rFonts w:ascii="Times New Roman" w:hAnsi="Times New Roman" w:cs="Times New Roman"/>
          <w:b/>
          <w:bCs/>
          <w:sz w:val="32"/>
          <w:szCs w:val="32"/>
        </w:rPr>
      </w:pPr>
    </w:p>
    <w:p w14:paraId="591867E9" w14:textId="77777777" w:rsidR="007538F8" w:rsidRDefault="007538F8" w:rsidP="007538F8">
      <w:pPr>
        <w:spacing w:line="360" w:lineRule="auto"/>
        <w:jc w:val="center"/>
        <w:rPr>
          <w:rFonts w:ascii="Times New Roman" w:hAnsi="Times New Roman" w:cs="Times New Roman"/>
          <w:b/>
          <w:bCs/>
          <w:sz w:val="32"/>
          <w:szCs w:val="32"/>
        </w:rPr>
      </w:pPr>
    </w:p>
    <w:p w14:paraId="6DE57DF5" w14:textId="77777777" w:rsidR="007538F8" w:rsidRDefault="007538F8" w:rsidP="007E2739">
      <w:pPr>
        <w:spacing w:line="360" w:lineRule="auto"/>
        <w:rPr>
          <w:rFonts w:ascii="Times New Roman" w:hAnsi="Times New Roman" w:cs="Times New Roman"/>
          <w:b/>
          <w:bCs/>
          <w:sz w:val="32"/>
          <w:szCs w:val="32"/>
        </w:rPr>
      </w:pPr>
    </w:p>
    <w:p w14:paraId="3E308E15" w14:textId="77777777" w:rsidR="007538F8" w:rsidRPr="00531205" w:rsidRDefault="007538F8" w:rsidP="007538F8">
      <w:pPr>
        <w:spacing w:line="360" w:lineRule="auto"/>
        <w:jc w:val="center"/>
        <w:rPr>
          <w:rFonts w:ascii="Times New Roman" w:hAnsi="Times New Roman" w:cs="Times New Roman"/>
          <w:b/>
          <w:bCs/>
          <w:sz w:val="32"/>
          <w:szCs w:val="32"/>
        </w:rPr>
      </w:pPr>
    </w:p>
    <w:sdt>
      <w:sdtPr>
        <w:rPr>
          <w:rFonts w:ascii="Arial" w:eastAsiaTheme="minorEastAsia" w:hAnsi="Arial" w:cs="Arial"/>
          <w:b w:val="0"/>
          <w:bCs w:val="0"/>
          <w:color w:val="auto"/>
          <w:sz w:val="24"/>
          <w:szCs w:val="24"/>
        </w:rPr>
        <w:id w:val="2080640835"/>
        <w:docPartObj>
          <w:docPartGallery w:val="Table of Contents"/>
          <w:docPartUnique/>
        </w:docPartObj>
      </w:sdtPr>
      <w:sdtEndPr>
        <w:rPr>
          <w:noProof/>
        </w:rPr>
      </w:sdtEndPr>
      <w:sdtContent>
        <w:p w14:paraId="40DBE298" w14:textId="4BCE2232" w:rsidR="007538F8" w:rsidRPr="00E7081E" w:rsidRDefault="007538F8" w:rsidP="00E7081E">
          <w:pPr>
            <w:pStyle w:val="TOCHeading"/>
            <w:spacing w:line="360" w:lineRule="auto"/>
            <w:jc w:val="both"/>
            <w:rPr>
              <w:rFonts w:ascii="Arial" w:hAnsi="Arial" w:cs="Arial"/>
              <w:sz w:val="24"/>
              <w:szCs w:val="24"/>
            </w:rPr>
          </w:pPr>
          <w:r w:rsidRPr="00E7081E">
            <w:rPr>
              <w:rFonts w:ascii="Arial" w:hAnsi="Arial" w:cs="Arial"/>
              <w:sz w:val="24"/>
              <w:szCs w:val="24"/>
            </w:rPr>
            <w:t>Contents</w:t>
          </w:r>
        </w:p>
        <w:p w14:paraId="587B65E9" w14:textId="135D18D9" w:rsidR="005549F9" w:rsidRPr="005549F9" w:rsidRDefault="007538F8">
          <w:pPr>
            <w:pStyle w:val="TOC1"/>
            <w:rPr>
              <w:rFonts w:asciiTheme="minorHAnsi" w:eastAsiaTheme="minorEastAsia" w:hAnsiTheme="minorHAnsi" w:cstheme="minorBidi"/>
              <w:b w:val="0"/>
              <w:bCs w:val="0"/>
              <w:kern w:val="2"/>
              <w14:ligatures w14:val="standardContextual"/>
            </w:rPr>
          </w:pPr>
          <w:r w:rsidRPr="005549F9">
            <w:rPr>
              <w:b w:val="0"/>
              <w:bCs w:val="0"/>
              <w:noProof w:val="0"/>
            </w:rPr>
            <w:fldChar w:fldCharType="begin"/>
          </w:r>
          <w:r w:rsidRPr="005549F9">
            <w:rPr>
              <w:b w:val="0"/>
              <w:bCs w:val="0"/>
            </w:rPr>
            <w:instrText xml:space="preserve"> TOC \o "1-3" \h \z \u </w:instrText>
          </w:r>
          <w:r w:rsidRPr="005549F9">
            <w:rPr>
              <w:b w:val="0"/>
              <w:bCs w:val="0"/>
              <w:noProof w:val="0"/>
            </w:rPr>
            <w:fldChar w:fldCharType="separate"/>
          </w:r>
          <w:hyperlink w:anchor="_Toc160788949" w:history="1">
            <w:r w:rsidR="005549F9" w:rsidRPr="005549F9">
              <w:rPr>
                <w:rStyle w:val="Hyperlink"/>
                <w:rFonts w:eastAsiaTheme="majorEastAsia"/>
                <w:b w:val="0"/>
                <w:bCs w:val="0"/>
              </w:rPr>
              <w:t>Part 1: Strategic Management in the Context of Milton Sandford Wines Ltd</w:t>
            </w:r>
            <w:r w:rsidR="005549F9" w:rsidRPr="005549F9">
              <w:rPr>
                <w:b w:val="0"/>
                <w:bCs w:val="0"/>
                <w:webHidden/>
              </w:rPr>
              <w:tab/>
            </w:r>
            <w:r w:rsidR="005549F9" w:rsidRPr="005549F9">
              <w:rPr>
                <w:b w:val="0"/>
                <w:bCs w:val="0"/>
                <w:webHidden/>
              </w:rPr>
              <w:fldChar w:fldCharType="begin"/>
            </w:r>
            <w:r w:rsidR="005549F9" w:rsidRPr="005549F9">
              <w:rPr>
                <w:b w:val="0"/>
                <w:bCs w:val="0"/>
                <w:webHidden/>
              </w:rPr>
              <w:instrText xml:space="preserve"> PAGEREF _Toc160788949 \h </w:instrText>
            </w:r>
            <w:r w:rsidR="005549F9" w:rsidRPr="005549F9">
              <w:rPr>
                <w:b w:val="0"/>
                <w:bCs w:val="0"/>
                <w:webHidden/>
              </w:rPr>
            </w:r>
            <w:r w:rsidR="005549F9" w:rsidRPr="005549F9">
              <w:rPr>
                <w:b w:val="0"/>
                <w:bCs w:val="0"/>
                <w:webHidden/>
              </w:rPr>
              <w:fldChar w:fldCharType="separate"/>
            </w:r>
            <w:r w:rsidR="005549F9" w:rsidRPr="005549F9">
              <w:rPr>
                <w:b w:val="0"/>
                <w:bCs w:val="0"/>
                <w:webHidden/>
              </w:rPr>
              <w:t>2</w:t>
            </w:r>
            <w:r w:rsidR="005549F9" w:rsidRPr="005549F9">
              <w:rPr>
                <w:b w:val="0"/>
                <w:bCs w:val="0"/>
                <w:webHidden/>
              </w:rPr>
              <w:fldChar w:fldCharType="end"/>
            </w:r>
          </w:hyperlink>
        </w:p>
        <w:p w14:paraId="11017A82" w14:textId="23FCD74E"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0" w:history="1">
            <w:r w:rsidRPr="005549F9">
              <w:rPr>
                <w:rStyle w:val="Hyperlink"/>
                <w:rFonts w:ascii="Arial" w:hAnsi="Arial" w:cs="Arial"/>
                <w:noProof/>
                <w:lang w:val="en-GB"/>
              </w:rPr>
              <w:t>1. Introduction to the Case Study</w:t>
            </w:r>
            <w:r w:rsidRPr="005549F9">
              <w:rPr>
                <w:noProof/>
                <w:webHidden/>
              </w:rPr>
              <w:tab/>
            </w:r>
            <w:r w:rsidRPr="005549F9">
              <w:rPr>
                <w:noProof/>
                <w:webHidden/>
              </w:rPr>
              <w:fldChar w:fldCharType="begin"/>
            </w:r>
            <w:r w:rsidRPr="005549F9">
              <w:rPr>
                <w:noProof/>
                <w:webHidden/>
              </w:rPr>
              <w:instrText xml:space="preserve"> PAGEREF _Toc160788950 \h </w:instrText>
            </w:r>
            <w:r w:rsidRPr="005549F9">
              <w:rPr>
                <w:noProof/>
                <w:webHidden/>
              </w:rPr>
            </w:r>
            <w:r w:rsidRPr="005549F9">
              <w:rPr>
                <w:noProof/>
                <w:webHidden/>
              </w:rPr>
              <w:fldChar w:fldCharType="separate"/>
            </w:r>
            <w:r w:rsidRPr="005549F9">
              <w:rPr>
                <w:noProof/>
                <w:webHidden/>
              </w:rPr>
              <w:t>2</w:t>
            </w:r>
            <w:r w:rsidRPr="005549F9">
              <w:rPr>
                <w:noProof/>
                <w:webHidden/>
              </w:rPr>
              <w:fldChar w:fldCharType="end"/>
            </w:r>
          </w:hyperlink>
        </w:p>
        <w:p w14:paraId="00C57F0F" w14:textId="20653F9D"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1" w:history="1">
            <w:r w:rsidRPr="005549F9">
              <w:rPr>
                <w:rStyle w:val="Hyperlink"/>
                <w:rFonts w:ascii="Arial" w:hAnsi="Arial" w:cs="Arial"/>
                <w:noProof/>
                <w:lang w:val="en-GB"/>
              </w:rPr>
              <w:t>2. Appraisal of the Organization's Current Strategic Direction</w:t>
            </w:r>
            <w:r w:rsidRPr="005549F9">
              <w:rPr>
                <w:noProof/>
                <w:webHidden/>
              </w:rPr>
              <w:tab/>
            </w:r>
            <w:r w:rsidRPr="005549F9">
              <w:rPr>
                <w:noProof/>
                <w:webHidden/>
              </w:rPr>
              <w:fldChar w:fldCharType="begin"/>
            </w:r>
            <w:r w:rsidRPr="005549F9">
              <w:rPr>
                <w:noProof/>
                <w:webHidden/>
              </w:rPr>
              <w:instrText xml:space="preserve"> PAGEREF _Toc160788951 \h </w:instrText>
            </w:r>
            <w:r w:rsidRPr="005549F9">
              <w:rPr>
                <w:noProof/>
                <w:webHidden/>
              </w:rPr>
            </w:r>
            <w:r w:rsidRPr="005549F9">
              <w:rPr>
                <w:noProof/>
                <w:webHidden/>
              </w:rPr>
              <w:fldChar w:fldCharType="separate"/>
            </w:r>
            <w:r w:rsidRPr="005549F9">
              <w:rPr>
                <w:noProof/>
                <w:webHidden/>
              </w:rPr>
              <w:t>4</w:t>
            </w:r>
            <w:r w:rsidRPr="005549F9">
              <w:rPr>
                <w:noProof/>
                <w:webHidden/>
              </w:rPr>
              <w:fldChar w:fldCharType="end"/>
            </w:r>
          </w:hyperlink>
        </w:p>
        <w:p w14:paraId="33A80DE9" w14:textId="2EEE29CF"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2" w:history="1">
            <w:r w:rsidRPr="005549F9">
              <w:rPr>
                <w:rStyle w:val="Hyperlink"/>
                <w:rFonts w:ascii="Arial" w:hAnsi="Arial" w:cs="Arial"/>
                <w:noProof/>
                <w:lang w:val="en-GB"/>
              </w:rPr>
              <w:t>3. Critical Analysis of the External and Internal Environment</w:t>
            </w:r>
            <w:r w:rsidRPr="005549F9">
              <w:rPr>
                <w:noProof/>
                <w:webHidden/>
              </w:rPr>
              <w:tab/>
            </w:r>
            <w:r w:rsidRPr="005549F9">
              <w:rPr>
                <w:noProof/>
                <w:webHidden/>
              </w:rPr>
              <w:fldChar w:fldCharType="begin"/>
            </w:r>
            <w:r w:rsidRPr="005549F9">
              <w:rPr>
                <w:noProof/>
                <w:webHidden/>
              </w:rPr>
              <w:instrText xml:space="preserve"> PAGEREF _Toc160788952 \h </w:instrText>
            </w:r>
            <w:r w:rsidRPr="005549F9">
              <w:rPr>
                <w:noProof/>
                <w:webHidden/>
              </w:rPr>
            </w:r>
            <w:r w:rsidRPr="005549F9">
              <w:rPr>
                <w:noProof/>
                <w:webHidden/>
              </w:rPr>
              <w:fldChar w:fldCharType="separate"/>
            </w:r>
            <w:r w:rsidRPr="005549F9">
              <w:rPr>
                <w:noProof/>
                <w:webHidden/>
              </w:rPr>
              <w:t>5</w:t>
            </w:r>
            <w:r w:rsidRPr="005549F9">
              <w:rPr>
                <w:noProof/>
                <w:webHidden/>
              </w:rPr>
              <w:fldChar w:fldCharType="end"/>
            </w:r>
          </w:hyperlink>
        </w:p>
        <w:p w14:paraId="512A649C" w14:textId="10C13FFE"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3" w:history="1">
            <w:r w:rsidRPr="005549F9">
              <w:rPr>
                <w:rStyle w:val="Hyperlink"/>
                <w:rFonts w:ascii="Arial" w:hAnsi="Arial" w:cs="Arial"/>
                <w:noProof/>
                <w:lang w:val="en-GB"/>
              </w:rPr>
              <w:t>4. Stakeholder Analysis &amp; Impacts on Success</w:t>
            </w:r>
            <w:r w:rsidRPr="005549F9">
              <w:rPr>
                <w:noProof/>
                <w:webHidden/>
              </w:rPr>
              <w:tab/>
            </w:r>
            <w:r w:rsidRPr="005549F9">
              <w:rPr>
                <w:noProof/>
                <w:webHidden/>
              </w:rPr>
              <w:fldChar w:fldCharType="begin"/>
            </w:r>
            <w:r w:rsidRPr="005549F9">
              <w:rPr>
                <w:noProof/>
                <w:webHidden/>
              </w:rPr>
              <w:instrText xml:space="preserve"> PAGEREF _Toc160788953 \h </w:instrText>
            </w:r>
            <w:r w:rsidRPr="005549F9">
              <w:rPr>
                <w:noProof/>
                <w:webHidden/>
              </w:rPr>
            </w:r>
            <w:r w:rsidRPr="005549F9">
              <w:rPr>
                <w:noProof/>
                <w:webHidden/>
              </w:rPr>
              <w:fldChar w:fldCharType="separate"/>
            </w:r>
            <w:r w:rsidRPr="005549F9">
              <w:rPr>
                <w:noProof/>
                <w:webHidden/>
              </w:rPr>
              <w:t>7</w:t>
            </w:r>
            <w:r w:rsidRPr="005549F9">
              <w:rPr>
                <w:noProof/>
                <w:webHidden/>
              </w:rPr>
              <w:fldChar w:fldCharType="end"/>
            </w:r>
          </w:hyperlink>
        </w:p>
        <w:p w14:paraId="62628628" w14:textId="606EDB55"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4" w:history="1">
            <w:r w:rsidRPr="005549F9">
              <w:rPr>
                <w:rStyle w:val="Hyperlink"/>
                <w:rFonts w:ascii="Arial" w:hAnsi="Arial" w:cs="Arial"/>
                <w:noProof/>
                <w:lang w:val="en-GB"/>
              </w:rPr>
              <w:t>5. Strategic Growth Choices and Proposal for a Sustainable Strategy</w:t>
            </w:r>
            <w:r w:rsidRPr="005549F9">
              <w:rPr>
                <w:noProof/>
                <w:webHidden/>
              </w:rPr>
              <w:tab/>
            </w:r>
            <w:r w:rsidRPr="005549F9">
              <w:rPr>
                <w:noProof/>
                <w:webHidden/>
              </w:rPr>
              <w:fldChar w:fldCharType="begin"/>
            </w:r>
            <w:r w:rsidRPr="005549F9">
              <w:rPr>
                <w:noProof/>
                <w:webHidden/>
              </w:rPr>
              <w:instrText xml:space="preserve"> PAGEREF _Toc160788954 \h </w:instrText>
            </w:r>
            <w:r w:rsidRPr="005549F9">
              <w:rPr>
                <w:noProof/>
                <w:webHidden/>
              </w:rPr>
            </w:r>
            <w:r w:rsidRPr="005549F9">
              <w:rPr>
                <w:noProof/>
                <w:webHidden/>
              </w:rPr>
              <w:fldChar w:fldCharType="separate"/>
            </w:r>
            <w:r w:rsidRPr="005549F9">
              <w:rPr>
                <w:noProof/>
                <w:webHidden/>
              </w:rPr>
              <w:t>8</w:t>
            </w:r>
            <w:r w:rsidRPr="005549F9">
              <w:rPr>
                <w:noProof/>
                <w:webHidden/>
              </w:rPr>
              <w:fldChar w:fldCharType="end"/>
            </w:r>
          </w:hyperlink>
        </w:p>
        <w:p w14:paraId="78C187A4" w14:textId="243045D1"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5" w:history="1">
            <w:r w:rsidRPr="005549F9">
              <w:rPr>
                <w:rStyle w:val="Hyperlink"/>
                <w:rFonts w:ascii="Arial" w:hAnsi="Arial" w:cs="Arial"/>
                <w:noProof/>
                <w:lang w:val="en-GB"/>
              </w:rPr>
              <w:t>6. Recommendations for Future Developments and Implementation</w:t>
            </w:r>
            <w:r w:rsidRPr="005549F9">
              <w:rPr>
                <w:noProof/>
                <w:webHidden/>
              </w:rPr>
              <w:tab/>
            </w:r>
            <w:r w:rsidRPr="005549F9">
              <w:rPr>
                <w:noProof/>
                <w:webHidden/>
              </w:rPr>
              <w:fldChar w:fldCharType="begin"/>
            </w:r>
            <w:r w:rsidRPr="005549F9">
              <w:rPr>
                <w:noProof/>
                <w:webHidden/>
              </w:rPr>
              <w:instrText xml:space="preserve"> PAGEREF _Toc160788955 \h </w:instrText>
            </w:r>
            <w:r w:rsidRPr="005549F9">
              <w:rPr>
                <w:noProof/>
                <w:webHidden/>
              </w:rPr>
            </w:r>
            <w:r w:rsidRPr="005549F9">
              <w:rPr>
                <w:noProof/>
                <w:webHidden/>
              </w:rPr>
              <w:fldChar w:fldCharType="separate"/>
            </w:r>
            <w:r w:rsidRPr="005549F9">
              <w:rPr>
                <w:noProof/>
                <w:webHidden/>
              </w:rPr>
              <w:t>10</w:t>
            </w:r>
            <w:r w:rsidRPr="005549F9">
              <w:rPr>
                <w:noProof/>
                <w:webHidden/>
              </w:rPr>
              <w:fldChar w:fldCharType="end"/>
            </w:r>
          </w:hyperlink>
        </w:p>
        <w:p w14:paraId="337D99FC" w14:textId="3AB76320"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6" w:history="1">
            <w:r w:rsidRPr="005549F9">
              <w:rPr>
                <w:rStyle w:val="Hyperlink"/>
                <w:rFonts w:ascii="Arial" w:hAnsi="Arial" w:cs="Arial"/>
                <w:noProof/>
                <w:lang w:val="en-GB"/>
              </w:rPr>
              <w:t>7. Conclusion</w:t>
            </w:r>
            <w:r w:rsidRPr="005549F9">
              <w:rPr>
                <w:noProof/>
                <w:webHidden/>
              </w:rPr>
              <w:tab/>
            </w:r>
            <w:r w:rsidRPr="005549F9">
              <w:rPr>
                <w:noProof/>
                <w:webHidden/>
              </w:rPr>
              <w:fldChar w:fldCharType="begin"/>
            </w:r>
            <w:r w:rsidRPr="005549F9">
              <w:rPr>
                <w:noProof/>
                <w:webHidden/>
              </w:rPr>
              <w:instrText xml:space="preserve"> PAGEREF _Toc160788956 \h </w:instrText>
            </w:r>
            <w:r w:rsidRPr="005549F9">
              <w:rPr>
                <w:noProof/>
                <w:webHidden/>
              </w:rPr>
            </w:r>
            <w:r w:rsidRPr="005549F9">
              <w:rPr>
                <w:noProof/>
                <w:webHidden/>
              </w:rPr>
              <w:fldChar w:fldCharType="separate"/>
            </w:r>
            <w:r w:rsidRPr="005549F9">
              <w:rPr>
                <w:noProof/>
                <w:webHidden/>
              </w:rPr>
              <w:t>11</w:t>
            </w:r>
            <w:r w:rsidRPr="005549F9">
              <w:rPr>
                <w:noProof/>
                <w:webHidden/>
              </w:rPr>
              <w:fldChar w:fldCharType="end"/>
            </w:r>
          </w:hyperlink>
        </w:p>
        <w:p w14:paraId="748938AD" w14:textId="3F091194" w:rsidR="005549F9" w:rsidRPr="005549F9" w:rsidRDefault="005549F9">
          <w:pPr>
            <w:pStyle w:val="TOC1"/>
            <w:rPr>
              <w:rFonts w:asciiTheme="minorHAnsi" w:eastAsiaTheme="minorEastAsia" w:hAnsiTheme="minorHAnsi" w:cstheme="minorBidi"/>
              <w:b w:val="0"/>
              <w:bCs w:val="0"/>
              <w:kern w:val="2"/>
              <w14:ligatures w14:val="standardContextual"/>
            </w:rPr>
          </w:pPr>
          <w:hyperlink w:anchor="_Toc160788957" w:history="1">
            <w:r w:rsidRPr="005549F9">
              <w:rPr>
                <w:rStyle w:val="Hyperlink"/>
                <w:b w:val="0"/>
                <w:bCs w:val="0"/>
              </w:rPr>
              <w:t>Reference list</w:t>
            </w:r>
            <w:r w:rsidRPr="005549F9">
              <w:rPr>
                <w:b w:val="0"/>
                <w:bCs w:val="0"/>
                <w:webHidden/>
              </w:rPr>
              <w:tab/>
            </w:r>
            <w:r w:rsidRPr="005549F9">
              <w:rPr>
                <w:b w:val="0"/>
                <w:bCs w:val="0"/>
                <w:webHidden/>
              </w:rPr>
              <w:fldChar w:fldCharType="begin"/>
            </w:r>
            <w:r w:rsidRPr="005549F9">
              <w:rPr>
                <w:b w:val="0"/>
                <w:bCs w:val="0"/>
                <w:webHidden/>
              </w:rPr>
              <w:instrText xml:space="preserve"> PAGEREF _Toc160788957 \h </w:instrText>
            </w:r>
            <w:r w:rsidRPr="005549F9">
              <w:rPr>
                <w:b w:val="0"/>
                <w:bCs w:val="0"/>
                <w:webHidden/>
              </w:rPr>
            </w:r>
            <w:r w:rsidRPr="005549F9">
              <w:rPr>
                <w:b w:val="0"/>
                <w:bCs w:val="0"/>
                <w:webHidden/>
              </w:rPr>
              <w:fldChar w:fldCharType="separate"/>
            </w:r>
            <w:r w:rsidRPr="005549F9">
              <w:rPr>
                <w:b w:val="0"/>
                <w:bCs w:val="0"/>
                <w:webHidden/>
              </w:rPr>
              <w:t>12</w:t>
            </w:r>
            <w:r w:rsidRPr="005549F9">
              <w:rPr>
                <w:b w:val="0"/>
                <w:bCs w:val="0"/>
                <w:webHidden/>
              </w:rPr>
              <w:fldChar w:fldCharType="end"/>
            </w:r>
          </w:hyperlink>
        </w:p>
        <w:p w14:paraId="4F5046C6" w14:textId="438A49A1" w:rsidR="005549F9" w:rsidRPr="005549F9" w:rsidRDefault="005549F9">
          <w:pPr>
            <w:pStyle w:val="TOC2"/>
            <w:tabs>
              <w:tab w:val="right" w:leader="dot" w:pos="8630"/>
            </w:tabs>
            <w:rPr>
              <w:noProof/>
              <w:kern w:val="2"/>
              <w:sz w:val="24"/>
              <w:szCs w:val="24"/>
              <w:lang w:val="en-GB" w:eastAsia="en-GB"/>
              <w14:ligatures w14:val="standardContextual"/>
            </w:rPr>
          </w:pPr>
          <w:hyperlink w:anchor="_Toc160788958" w:history="1">
            <w:r w:rsidRPr="005549F9">
              <w:rPr>
                <w:rStyle w:val="Hyperlink"/>
                <w:noProof/>
                <w:lang w:val="en-GB" w:eastAsia="en-GB"/>
              </w:rPr>
              <w:t>Part 2 Presentation</w:t>
            </w:r>
            <w:r w:rsidRPr="005549F9">
              <w:rPr>
                <w:noProof/>
                <w:webHidden/>
              </w:rPr>
              <w:tab/>
            </w:r>
            <w:r w:rsidRPr="005549F9">
              <w:rPr>
                <w:noProof/>
                <w:webHidden/>
              </w:rPr>
              <w:fldChar w:fldCharType="begin"/>
            </w:r>
            <w:r w:rsidRPr="005549F9">
              <w:rPr>
                <w:noProof/>
                <w:webHidden/>
              </w:rPr>
              <w:instrText xml:space="preserve"> PAGEREF _Toc160788958 \h </w:instrText>
            </w:r>
            <w:r w:rsidRPr="005549F9">
              <w:rPr>
                <w:noProof/>
                <w:webHidden/>
              </w:rPr>
            </w:r>
            <w:r w:rsidRPr="005549F9">
              <w:rPr>
                <w:noProof/>
                <w:webHidden/>
              </w:rPr>
              <w:fldChar w:fldCharType="separate"/>
            </w:r>
            <w:r w:rsidRPr="005549F9">
              <w:rPr>
                <w:noProof/>
                <w:webHidden/>
              </w:rPr>
              <w:t>14</w:t>
            </w:r>
            <w:r w:rsidRPr="005549F9">
              <w:rPr>
                <w:noProof/>
                <w:webHidden/>
              </w:rPr>
              <w:fldChar w:fldCharType="end"/>
            </w:r>
          </w:hyperlink>
        </w:p>
        <w:p w14:paraId="4E90B61D" w14:textId="55B7F292" w:rsidR="007538F8" w:rsidRPr="005549F9" w:rsidRDefault="007538F8" w:rsidP="00E7081E">
          <w:pPr>
            <w:spacing w:line="360" w:lineRule="auto"/>
            <w:jc w:val="both"/>
            <w:rPr>
              <w:rFonts w:ascii="Arial" w:hAnsi="Arial" w:cs="Arial"/>
              <w:sz w:val="24"/>
              <w:szCs w:val="24"/>
            </w:rPr>
          </w:pPr>
          <w:r w:rsidRPr="005549F9">
            <w:rPr>
              <w:rFonts w:ascii="Arial" w:hAnsi="Arial" w:cs="Arial"/>
              <w:noProof/>
              <w:sz w:val="24"/>
              <w:szCs w:val="24"/>
            </w:rPr>
            <w:fldChar w:fldCharType="end"/>
          </w:r>
        </w:p>
      </w:sdtContent>
    </w:sdt>
    <w:p w14:paraId="5FC77AB7" w14:textId="77777777" w:rsidR="007538F8" w:rsidRPr="005549F9" w:rsidRDefault="007538F8" w:rsidP="00E7081E">
      <w:pPr>
        <w:pStyle w:val="Heading1"/>
        <w:spacing w:line="360" w:lineRule="auto"/>
        <w:jc w:val="both"/>
        <w:rPr>
          <w:rFonts w:ascii="Arial" w:hAnsi="Arial" w:cs="Arial"/>
          <w:b w:val="0"/>
          <w:bCs w:val="0"/>
          <w:sz w:val="24"/>
          <w:szCs w:val="24"/>
          <w:lang w:val="en-GB"/>
        </w:rPr>
      </w:pPr>
    </w:p>
    <w:p w14:paraId="0DE3F0ED" w14:textId="77777777" w:rsidR="00E7081E" w:rsidRPr="00E7081E" w:rsidRDefault="00E7081E" w:rsidP="00E7081E">
      <w:pPr>
        <w:spacing w:line="360" w:lineRule="auto"/>
        <w:jc w:val="both"/>
        <w:rPr>
          <w:rFonts w:ascii="Arial" w:hAnsi="Arial" w:cs="Arial"/>
          <w:sz w:val="24"/>
          <w:szCs w:val="24"/>
          <w:lang w:val="en-GB"/>
        </w:rPr>
      </w:pPr>
    </w:p>
    <w:p w14:paraId="6279F546" w14:textId="77777777" w:rsidR="00E7081E" w:rsidRPr="00E7081E" w:rsidRDefault="00E7081E" w:rsidP="00E7081E">
      <w:pPr>
        <w:spacing w:line="360" w:lineRule="auto"/>
        <w:jc w:val="both"/>
        <w:rPr>
          <w:rFonts w:ascii="Arial" w:hAnsi="Arial" w:cs="Arial"/>
          <w:sz w:val="24"/>
          <w:szCs w:val="24"/>
          <w:lang w:val="en-GB"/>
        </w:rPr>
      </w:pPr>
    </w:p>
    <w:p w14:paraId="13AA986E" w14:textId="77777777" w:rsidR="00E7081E" w:rsidRPr="00E7081E" w:rsidRDefault="00E7081E" w:rsidP="00E7081E">
      <w:pPr>
        <w:spacing w:line="360" w:lineRule="auto"/>
        <w:jc w:val="both"/>
        <w:rPr>
          <w:rFonts w:ascii="Arial" w:hAnsi="Arial" w:cs="Arial"/>
          <w:sz w:val="24"/>
          <w:szCs w:val="24"/>
          <w:lang w:val="en-GB"/>
        </w:rPr>
      </w:pPr>
    </w:p>
    <w:p w14:paraId="588BD1E0" w14:textId="77777777" w:rsidR="00E7081E" w:rsidRPr="00E7081E" w:rsidRDefault="00E7081E" w:rsidP="00E7081E">
      <w:pPr>
        <w:spacing w:line="360" w:lineRule="auto"/>
        <w:jc w:val="both"/>
        <w:rPr>
          <w:rFonts w:ascii="Arial" w:hAnsi="Arial" w:cs="Arial"/>
          <w:sz w:val="24"/>
          <w:szCs w:val="24"/>
          <w:lang w:val="en-GB"/>
        </w:rPr>
      </w:pPr>
    </w:p>
    <w:p w14:paraId="05DF4C38" w14:textId="77777777" w:rsidR="00E7081E" w:rsidRPr="00E7081E" w:rsidRDefault="00E7081E" w:rsidP="00E7081E">
      <w:pPr>
        <w:spacing w:line="360" w:lineRule="auto"/>
        <w:jc w:val="both"/>
        <w:rPr>
          <w:rFonts w:ascii="Arial" w:hAnsi="Arial" w:cs="Arial"/>
          <w:sz w:val="24"/>
          <w:szCs w:val="24"/>
          <w:lang w:val="en-GB"/>
        </w:rPr>
      </w:pPr>
    </w:p>
    <w:p w14:paraId="5EBD2DF5" w14:textId="77777777" w:rsidR="00E7081E" w:rsidRPr="00E7081E" w:rsidRDefault="00E7081E" w:rsidP="00E7081E">
      <w:pPr>
        <w:spacing w:line="360" w:lineRule="auto"/>
        <w:jc w:val="both"/>
        <w:rPr>
          <w:rFonts w:ascii="Arial" w:hAnsi="Arial" w:cs="Arial"/>
          <w:sz w:val="24"/>
          <w:szCs w:val="24"/>
          <w:lang w:val="en-GB"/>
        </w:rPr>
      </w:pPr>
    </w:p>
    <w:p w14:paraId="695A94BE" w14:textId="59334FE1" w:rsidR="00BE6D8F" w:rsidRPr="00E7081E" w:rsidRDefault="00802902" w:rsidP="00E7081E">
      <w:pPr>
        <w:pStyle w:val="Heading1"/>
        <w:spacing w:line="360" w:lineRule="auto"/>
        <w:jc w:val="both"/>
        <w:rPr>
          <w:rFonts w:ascii="Arial" w:hAnsi="Arial" w:cs="Arial"/>
          <w:sz w:val="24"/>
          <w:szCs w:val="24"/>
          <w:lang w:val="en-GB"/>
        </w:rPr>
      </w:pPr>
      <w:bookmarkStart w:id="0" w:name="_Toc160788949"/>
      <w:r>
        <w:rPr>
          <w:rFonts w:ascii="Arial" w:hAnsi="Arial" w:cs="Arial"/>
          <w:sz w:val="24"/>
          <w:szCs w:val="24"/>
          <w:lang w:val="en-GB"/>
        </w:rPr>
        <w:t xml:space="preserve">Part 1: </w:t>
      </w:r>
      <w:r w:rsidR="00975E89" w:rsidRPr="00E7081E">
        <w:rPr>
          <w:rFonts w:ascii="Arial" w:hAnsi="Arial" w:cs="Arial"/>
          <w:sz w:val="24"/>
          <w:szCs w:val="24"/>
          <w:lang w:val="en-GB"/>
        </w:rPr>
        <w:t>Strategic Management in the Context of Milton Sandford Wines Ltd</w:t>
      </w:r>
      <w:bookmarkEnd w:id="0"/>
    </w:p>
    <w:p w14:paraId="53093A27" w14:textId="77777777" w:rsidR="00BE6D8F" w:rsidRPr="00E7081E" w:rsidRDefault="00975E89" w:rsidP="00E7081E">
      <w:pPr>
        <w:pStyle w:val="Heading2"/>
        <w:spacing w:line="360" w:lineRule="auto"/>
        <w:jc w:val="both"/>
        <w:rPr>
          <w:rFonts w:ascii="Arial" w:hAnsi="Arial" w:cs="Arial"/>
          <w:sz w:val="24"/>
          <w:szCs w:val="24"/>
          <w:lang w:val="en-GB"/>
        </w:rPr>
      </w:pPr>
      <w:bookmarkStart w:id="1" w:name="_Toc160788950"/>
      <w:r w:rsidRPr="00E7081E">
        <w:rPr>
          <w:rFonts w:ascii="Arial" w:hAnsi="Arial" w:cs="Arial"/>
          <w:sz w:val="24"/>
          <w:szCs w:val="24"/>
          <w:lang w:val="en-GB"/>
        </w:rPr>
        <w:t>1. Introduction to the Case Study</w:t>
      </w:r>
      <w:bookmarkEnd w:id="1"/>
    </w:p>
    <w:p w14:paraId="2408D10C" w14:textId="1A949231"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Milton Sandford Wines Ltd is a UK-based wine producer, which has an international reputation for producing a variety of high-quality wines. The </w:t>
      </w:r>
      <w:r w:rsidRPr="00E7081E">
        <w:rPr>
          <w:rFonts w:ascii="Arial" w:hAnsi="Arial" w:cs="Arial"/>
          <w:sz w:val="24"/>
          <w:szCs w:val="24"/>
          <w:lang w:val="en-GB"/>
        </w:rPr>
        <w:lastRenderedPageBreak/>
        <w:t>company has a long history and its own traditions and values</w:t>
      </w:r>
      <w:r w:rsidR="0074688E" w:rsidRPr="00E7081E">
        <w:rPr>
          <w:rFonts w:ascii="Arial" w:hAnsi="Arial" w:cs="Arial"/>
          <w:sz w:val="24"/>
          <w:szCs w:val="24"/>
        </w:rPr>
        <w:t xml:space="preserve"> </w:t>
      </w:r>
      <w:r w:rsidR="0074688E" w:rsidRPr="00E7081E">
        <w:rPr>
          <w:rFonts w:ascii="Arial" w:hAnsi="Arial" w:cs="Arial"/>
          <w:sz w:val="24"/>
          <w:szCs w:val="24"/>
          <w:lang w:val="en-GB"/>
        </w:rPr>
        <w:t>(Batterton, 2016)</w:t>
      </w:r>
      <w:r w:rsidRPr="00E7081E">
        <w:rPr>
          <w:rFonts w:ascii="Arial" w:hAnsi="Arial" w:cs="Arial"/>
          <w:sz w:val="24"/>
          <w:szCs w:val="24"/>
          <w:lang w:val="en-GB"/>
        </w:rPr>
        <w:t>. Due to the challenging external environment and the necessity to ensure the continued success, the company owners have recently taken a decision to adopt a formal approach to strategic management</w:t>
      </w:r>
      <w:r w:rsidR="00BD4E81" w:rsidRPr="00E7081E">
        <w:rPr>
          <w:rFonts w:ascii="Arial" w:hAnsi="Arial" w:cs="Arial"/>
          <w:sz w:val="24"/>
          <w:szCs w:val="24"/>
          <w:lang w:val="en-GB"/>
        </w:rPr>
        <w:t xml:space="preserve"> (Sam, 2023)</w:t>
      </w:r>
      <w:r w:rsidRPr="00E7081E">
        <w:rPr>
          <w:rFonts w:ascii="Arial" w:hAnsi="Arial" w:cs="Arial"/>
          <w:sz w:val="24"/>
          <w:szCs w:val="24"/>
          <w:lang w:val="en-GB"/>
        </w:rPr>
        <w:t xml:space="preserve">. The current strategic plan for business was designed a few years ago, but since that time the marketplace and consumer expectations have changed and so the company should look to review and amend its strategic direction. As also there were substantial changes planned in the manufacturing and storage technologies and operations, a major restructuring in production and development of new products, the aspects of strategic management and leadership would have to become especially important in management the ongoing changes and in planning of the future long-term objectives. This case study uses the content of Milton Sandford Wines to illustrate the changes in the world environment and the need for the managers to recognise and adapt to the changes. By such analysing the case study, since it belongs to this large and growing company, a better understanding of this complexity </w:t>
      </w:r>
      <w:proofErr w:type="gramStart"/>
      <w:r w:rsidRPr="00E7081E">
        <w:rPr>
          <w:rFonts w:ascii="Arial" w:hAnsi="Arial" w:cs="Arial"/>
          <w:sz w:val="24"/>
          <w:szCs w:val="24"/>
          <w:lang w:val="en-GB"/>
        </w:rPr>
        <w:t>and also</w:t>
      </w:r>
      <w:proofErr w:type="gramEnd"/>
      <w:r w:rsidRPr="00E7081E">
        <w:rPr>
          <w:rFonts w:ascii="Arial" w:hAnsi="Arial" w:cs="Arial"/>
          <w:sz w:val="24"/>
          <w:szCs w:val="24"/>
          <w:lang w:val="en-GB"/>
        </w:rPr>
        <w:t xml:space="preserve"> visit to major processes of strategic management is achieved. </w:t>
      </w:r>
      <w:proofErr w:type="gramStart"/>
      <w:r w:rsidRPr="00E7081E">
        <w:rPr>
          <w:rFonts w:ascii="Arial" w:hAnsi="Arial" w:cs="Arial"/>
          <w:sz w:val="24"/>
          <w:szCs w:val="24"/>
          <w:lang w:val="en-GB"/>
        </w:rPr>
        <w:t>First of all</w:t>
      </w:r>
      <w:proofErr w:type="gramEnd"/>
      <w:r w:rsidRPr="00E7081E">
        <w:rPr>
          <w:rFonts w:ascii="Arial" w:hAnsi="Arial" w:cs="Arial"/>
          <w:sz w:val="24"/>
          <w:szCs w:val="24"/>
          <w:lang w:val="en-GB"/>
        </w:rPr>
        <w:t xml:space="preserve">, the case study introduces a very influence of political and legislative power on strategy. Then, by the political power nature and activity of pressures groups as well as political parties are discussed. The focus then moves to the external environment. The case study offers an introduction to the concept of globalisation. </w:t>
      </w:r>
      <w:proofErr w:type="gramStart"/>
      <w:r w:rsidRPr="00E7081E">
        <w:rPr>
          <w:rFonts w:ascii="Arial" w:hAnsi="Arial" w:cs="Arial"/>
          <w:sz w:val="24"/>
          <w:szCs w:val="24"/>
          <w:lang w:val="en-GB"/>
        </w:rPr>
        <w:t>And also</w:t>
      </w:r>
      <w:proofErr w:type="gramEnd"/>
      <w:r w:rsidRPr="00E7081E">
        <w:rPr>
          <w:rFonts w:ascii="Arial" w:hAnsi="Arial" w:cs="Arial"/>
          <w:sz w:val="24"/>
          <w:szCs w:val="24"/>
          <w:lang w:val="en-GB"/>
        </w:rPr>
        <w:t xml:space="preserve">, a range of generic strategies that firm may be adopted in response to challenges and opportunities of globalisation are considered. Next significant evidence of applications of academic theory of strategy to Milton Sandford given. For example, from the case study, a variety of points can be appreciated. It shows that strategy is a subject with many valid perspectives available. Moreover, different strategy theorists may provide alternative possible ways of looking at the same issue. The case study shows that a strategic change is only made successful through effective leadership. In this case, the main benefits of leadership and examined in the light of chosen strategy and need for change. Presidency, vision, inspiration and the nature of authority and power; the most important elements of leadership are all discussed. </w:t>
      </w:r>
      <w:r w:rsidRPr="00E7081E">
        <w:rPr>
          <w:rFonts w:ascii="Arial" w:hAnsi="Arial" w:cs="Arial"/>
          <w:sz w:val="24"/>
          <w:szCs w:val="24"/>
          <w:lang w:val="en-GB"/>
        </w:rPr>
        <w:lastRenderedPageBreak/>
        <w:t xml:space="preserve">This also demonstrates the power of internal environment. This case study seeks to develop students' ability to present a critical appraisal of the given strategic situation, using the academic theory of strategy to guide the findings. Throughout this journey, greater understanding is developed as to possible limitation than managers must </w:t>
      </w:r>
      <w:proofErr w:type="gramStart"/>
      <w:r w:rsidRPr="00E7081E">
        <w:rPr>
          <w:rFonts w:ascii="Arial" w:hAnsi="Arial" w:cs="Arial"/>
          <w:sz w:val="24"/>
          <w:szCs w:val="24"/>
          <w:lang w:val="en-GB"/>
        </w:rPr>
        <w:t>take into account</w:t>
      </w:r>
      <w:proofErr w:type="gramEnd"/>
      <w:r w:rsidRPr="00E7081E">
        <w:rPr>
          <w:rFonts w:ascii="Arial" w:hAnsi="Arial" w:cs="Arial"/>
          <w:sz w:val="24"/>
          <w:szCs w:val="24"/>
          <w:lang w:val="en-GB"/>
        </w:rPr>
        <w:t xml:space="preserve"> when conducting such academic reflections. Then starting from company and strategic management tutorials, all operations regarding company information are consulted, the classification of different strategies and the operation principles become the elements with lots of viable questions. After this case study, I believe more attentions on the company fame progress strategy should be paid and it has really shown me that a variety of factors in different areas, like market changes or production new products, all can be the drive of a specific strategy.</w:t>
      </w:r>
    </w:p>
    <w:p w14:paraId="01487BE6" w14:textId="77777777" w:rsidR="00BE6D8F" w:rsidRPr="00E7081E" w:rsidRDefault="00975E89" w:rsidP="00E7081E">
      <w:pPr>
        <w:pStyle w:val="Heading2"/>
        <w:spacing w:line="360" w:lineRule="auto"/>
        <w:jc w:val="both"/>
        <w:rPr>
          <w:rFonts w:ascii="Arial" w:hAnsi="Arial" w:cs="Arial"/>
          <w:sz w:val="24"/>
          <w:szCs w:val="24"/>
          <w:lang w:val="en-GB"/>
        </w:rPr>
      </w:pPr>
      <w:bookmarkStart w:id="2" w:name="_Toc160788951"/>
      <w:r w:rsidRPr="00E7081E">
        <w:rPr>
          <w:rFonts w:ascii="Arial" w:hAnsi="Arial" w:cs="Arial"/>
          <w:sz w:val="24"/>
          <w:szCs w:val="24"/>
          <w:lang w:val="en-GB"/>
        </w:rPr>
        <w:t>2. Appraisal of the Organization's Current Strategic Direction</w:t>
      </w:r>
      <w:bookmarkEnd w:id="2"/>
    </w:p>
    <w:p w14:paraId="7251EB3A" w14:textId="60C53CEF" w:rsidR="00682411"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Through a careful and elaborate process of strategic management, it has become significantly easier and more efficient to direct organizations towards sustainable growth and development. The utilization of a comprehensive strategic analysis enables an organization to thoroughly assess and evaluate its progress, accomplishments, and overall position within the market. By conducting a thorough evaluation of our organization's current strategic direction, our management team has diligently considered multiple factors including available resources, external market conditions, and the organization's overall capability to effectively mobilize resources towards the achievement of set goals. This comprehensive assessment has positioned Milton Sandford Wines Ltd in a significantly advantageous position, allowing us to swiftly adapt and respond to any changes that may arise within our dynamic business environment </w:t>
      </w:r>
      <w:proofErr w:type="gramStart"/>
      <w:r w:rsidRPr="00E7081E">
        <w:rPr>
          <w:rFonts w:ascii="Arial" w:hAnsi="Arial" w:cs="Arial"/>
          <w:sz w:val="24"/>
          <w:szCs w:val="24"/>
          <w:lang w:val="en-GB"/>
        </w:rPr>
        <w:t>in order to</w:t>
      </w:r>
      <w:proofErr w:type="gramEnd"/>
      <w:r w:rsidRPr="00E7081E">
        <w:rPr>
          <w:rFonts w:ascii="Arial" w:hAnsi="Arial" w:cs="Arial"/>
          <w:sz w:val="24"/>
          <w:szCs w:val="24"/>
          <w:lang w:val="en-GB"/>
        </w:rPr>
        <w:t xml:space="preserve"> effectively meet the evolving needs of our customers and stakeholders</w:t>
      </w:r>
      <w:r w:rsidR="00682411" w:rsidRPr="00E7081E">
        <w:rPr>
          <w:rFonts w:ascii="Arial" w:hAnsi="Arial" w:cs="Arial"/>
          <w:sz w:val="24"/>
          <w:szCs w:val="24"/>
          <w:lang w:val="en-GB"/>
        </w:rPr>
        <w:t xml:space="preserve"> (Davis, 2022)</w:t>
      </w:r>
      <w:r w:rsidRPr="00E7081E">
        <w:rPr>
          <w:rFonts w:ascii="Arial" w:hAnsi="Arial" w:cs="Arial"/>
          <w:sz w:val="24"/>
          <w:szCs w:val="24"/>
          <w:lang w:val="en-GB"/>
        </w:rPr>
        <w:t>.</w:t>
      </w:r>
    </w:p>
    <w:p w14:paraId="37CF0843" w14:textId="096D2C5A" w:rsidR="00D02406"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 Moreover, with the implementation plan for an e-business system on the horizon within the next two years, our organization is facing new challenges and expanding our strategic assumptions. Specifically, we are currently addressing </w:t>
      </w:r>
      <w:r w:rsidRPr="00E7081E">
        <w:rPr>
          <w:rFonts w:ascii="Arial" w:hAnsi="Arial" w:cs="Arial"/>
          <w:sz w:val="24"/>
          <w:szCs w:val="24"/>
          <w:lang w:val="en-GB"/>
        </w:rPr>
        <w:lastRenderedPageBreak/>
        <w:t>the assumption that our main SAP system, upon development, possesses the capacity to handle a substantial growth in transactions, specifically an anticipated growth rate of 50% per annum. After thoughtful discussions with our Chief Information Officer (CIO), we have realized that our initial considerations solely accounted for the external hardware and software costs in the upcoming financial year. However, we have overlooked crucial aspects such as the development of the SAP server and the associated salaries required to maintain the SAP system. This oversight poses a considerable risk, potentially hindering our ability to achieve our goals and ultimately resulting in e-business failure. It is imperative that we address this assumption promptly and holistically</w:t>
      </w:r>
      <w:r w:rsidR="00D02406" w:rsidRPr="00E7081E">
        <w:rPr>
          <w:rFonts w:ascii="Arial" w:hAnsi="Arial" w:cs="Arial"/>
          <w:sz w:val="24"/>
          <w:szCs w:val="24"/>
          <w:lang w:val="en-GB"/>
        </w:rPr>
        <w:t xml:space="preserve"> </w:t>
      </w:r>
      <w:r w:rsidR="0046612D" w:rsidRPr="0046612D">
        <w:rPr>
          <w:rFonts w:ascii="Arial" w:hAnsi="Arial" w:cs="Arial"/>
          <w:sz w:val="24"/>
          <w:szCs w:val="24"/>
          <w:lang w:val="en-GB"/>
        </w:rPr>
        <w:t>(</w:t>
      </w:r>
      <w:proofErr w:type="spellStart"/>
      <w:r w:rsidR="0046612D" w:rsidRPr="0046612D">
        <w:rPr>
          <w:rFonts w:ascii="Arial" w:hAnsi="Arial" w:cs="Arial"/>
          <w:sz w:val="24"/>
          <w:szCs w:val="24"/>
          <w:lang w:val="en-GB"/>
        </w:rPr>
        <w:t>Kabirifar</w:t>
      </w:r>
      <w:proofErr w:type="spellEnd"/>
      <w:r w:rsidR="0046612D" w:rsidRPr="0046612D">
        <w:rPr>
          <w:rFonts w:ascii="Arial" w:hAnsi="Arial" w:cs="Arial"/>
          <w:sz w:val="24"/>
          <w:szCs w:val="24"/>
          <w:lang w:val="en-GB"/>
        </w:rPr>
        <w:t xml:space="preserve"> et al., 2020)</w:t>
      </w:r>
      <w:r w:rsidRPr="00E7081E">
        <w:rPr>
          <w:rFonts w:ascii="Arial" w:hAnsi="Arial" w:cs="Arial"/>
          <w:sz w:val="24"/>
          <w:szCs w:val="24"/>
          <w:lang w:val="en-GB"/>
        </w:rPr>
        <w:t xml:space="preserve">. </w:t>
      </w:r>
    </w:p>
    <w:p w14:paraId="54C5E56B" w14:textId="0CA0FAA5"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Furthermore, our strategic analysis will play a vital role in identifying areas within our organization's operations that necessitate improvement, guaranteeing utmost satisfaction among our esteemed stakeholders. Periodic reviews will be conducted to assess the effectiveness and efficiency of our implemented strategies, ensuring that the planned objectives align with the actual achieved outcomes. These meticulous reviews and evaluations will ultimately contribute to the long-term competitiveness and success of Milton Sandford Wines Ltd, enabling our organization to flourish and thrive within the fast-growing and increasingly competitive e-commerce sector</w:t>
      </w:r>
      <w:r w:rsidR="00940010" w:rsidRPr="00E7081E">
        <w:rPr>
          <w:rFonts w:ascii="Arial" w:hAnsi="Arial" w:cs="Arial"/>
          <w:sz w:val="24"/>
          <w:szCs w:val="24"/>
          <w:lang w:val="en-GB"/>
        </w:rPr>
        <w:t xml:space="preserve"> (</w:t>
      </w:r>
      <w:proofErr w:type="spellStart"/>
      <w:r w:rsidR="00940010" w:rsidRPr="00E7081E">
        <w:rPr>
          <w:rFonts w:ascii="Arial" w:hAnsi="Arial" w:cs="Arial"/>
          <w:sz w:val="24"/>
          <w:szCs w:val="24"/>
          <w:lang w:val="en-GB"/>
        </w:rPr>
        <w:t>Kabirifar</w:t>
      </w:r>
      <w:proofErr w:type="spellEnd"/>
      <w:r w:rsidR="00940010" w:rsidRPr="00E7081E">
        <w:rPr>
          <w:rFonts w:ascii="Arial" w:hAnsi="Arial" w:cs="Arial"/>
          <w:sz w:val="24"/>
          <w:szCs w:val="24"/>
          <w:lang w:val="en-GB"/>
        </w:rPr>
        <w:t xml:space="preserve"> et al., 2020)</w:t>
      </w:r>
      <w:r w:rsidRPr="00E7081E">
        <w:rPr>
          <w:rFonts w:ascii="Arial" w:hAnsi="Arial" w:cs="Arial"/>
          <w:sz w:val="24"/>
          <w:szCs w:val="24"/>
          <w:lang w:val="en-GB"/>
        </w:rPr>
        <w:t>.</w:t>
      </w:r>
    </w:p>
    <w:p w14:paraId="46FF22EC" w14:textId="77777777" w:rsidR="00BE6D8F" w:rsidRPr="00E7081E" w:rsidRDefault="00975E89" w:rsidP="00E7081E">
      <w:pPr>
        <w:pStyle w:val="Heading2"/>
        <w:spacing w:line="360" w:lineRule="auto"/>
        <w:jc w:val="both"/>
        <w:rPr>
          <w:rFonts w:ascii="Arial" w:hAnsi="Arial" w:cs="Arial"/>
          <w:sz w:val="24"/>
          <w:szCs w:val="24"/>
          <w:lang w:val="en-GB"/>
        </w:rPr>
      </w:pPr>
      <w:bookmarkStart w:id="3" w:name="_Toc160788952"/>
      <w:r w:rsidRPr="00E7081E">
        <w:rPr>
          <w:rFonts w:ascii="Arial" w:hAnsi="Arial" w:cs="Arial"/>
          <w:sz w:val="24"/>
          <w:szCs w:val="24"/>
          <w:lang w:val="en-GB"/>
        </w:rPr>
        <w:t>3. Critical Analysis of the External and Internal Environment</w:t>
      </w:r>
      <w:bookmarkEnd w:id="3"/>
    </w:p>
    <w:p w14:paraId="413722B7" w14:textId="54AD3F5A" w:rsidR="004C0551"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This section of the paper will comprehensively focus on the intricate details pertaining to the organization's external and internal environment. By exclusive definition, the highly crucial external environment, also commonly referred to as the macro environment, is composed of a multitude of inescapable exogenous factors that dramatically impact and shape the organization</w:t>
      </w:r>
      <w:r w:rsidR="004C0551" w:rsidRPr="00E7081E">
        <w:rPr>
          <w:rFonts w:ascii="Arial" w:hAnsi="Arial" w:cs="Arial"/>
          <w:sz w:val="24"/>
          <w:szCs w:val="24"/>
          <w:lang w:val="en-GB"/>
        </w:rPr>
        <w:t xml:space="preserve"> </w:t>
      </w:r>
      <w:bookmarkStart w:id="4" w:name="_Hlk160784894"/>
      <w:r w:rsidR="004C0551" w:rsidRPr="00E7081E">
        <w:rPr>
          <w:rFonts w:ascii="Arial" w:hAnsi="Arial" w:cs="Arial"/>
          <w:sz w:val="24"/>
          <w:szCs w:val="24"/>
          <w:lang w:val="en-GB"/>
        </w:rPr>
        <w:t xml:space="preserve">(M. Sebnem </w:t>
      </w:r>
      <w:proofErr w:type="spellStart"/>
      <w:r w:rsidR="004C0551" w:rsidRPr="00E7081E">
        <w:rPr>
          <w:rFonts w:ascii="Arial" w:hAnsi="Arial" w:cs="Arial"/>
          <w:sz w:val="24"/>
          <w:szCs w:val="24"/>
          <w:lang w:val="en-GB"/>
        </w:rPr>
        <w:t>Ensari</w:t>
      </w:r>
      <w:proofErr w:type="spellEnd"/>
      <w:r w:rsidR="004C0551" w:rsidRPr="00E7081E">
        <w:rPr>
          <w:rFonts w:ascii="Arial" w:hAnsi="Arial" w:cs="Arial"/>
          <w:sz w:val="24"/>
          <w:szCs w:val="24"/>
          <w:lang w:val="en-GB"/>
        </w:rPr>
        <w:t xml:space="preserve"> and Meltem </w:t>
      </w:r>
      <w:proofErr w:type="spellStart"/>
      <w:r w:rsidR="004C0551" w:rsidRPr="00E7081E">
        <w:rPr>
          <w:rFonts w:ascii="Arial" w:hAnsi="Arial" w:cs="Arial"/>
          <w:sz w:val="24"/>
          <w:szCs w:val="24"/>
          <w:lang w:val="en-GB"/>
        </w:rPr>
        <w:t>Kiygi</w:t>
      </w:r>
      <w:proofErr w:type="spellEnd"/>
      <w:r w:rsidR="004C0551" w:rsidRPr="00E7081E">
        <w:rPr>
          <w:rFonts w:ascii="Arial" w:hAnsi="Arial" w:cs="Arial"/>
          <w:sz w:val="24"/>
          <w:szCs w:val="24"/>
          <w:lang w:val="en-GB"/>
        </w:rPr>
        <w:t>-Calli, 2017)</w:t>
      </w:r>
      <w:bookmarkEnd w:id="4"/>
      <w:r w:rsidRPr="00E7081E">
        <w:rPr>
          <w:rFonts w:ascii="Arial" w:hAnsi="Arial" w:cs="Arial"/>
          <w:sz w:val="24"/>
          <w:szCs w:val="24"/>
          <w:lang w:val="en-GB"/>
        </w:rPr>
        <w:t xml:space="preserve">. It is important to note that the organization, unfortunately, does not possess any substantial control over these factors. Conversely, the internal environment of the organization encompasses an extensive range of factors that are inherently present within the organizational structure and, as a result, comprehensively fall under the umbrella of </w:t>
      </w:r>
      <w:r w:rsidRPr="00E7081E">
        <w:rPr>
          <w:rFonts w:ascii="Arial" w:hAnsi="Arial" w:cs="Arial"/>
          <w:sz w:val="24"/>
          <w:szCs w:val="24"/>
          <w:lang w:val="en-GB"/>
        </w:rPr>
        <w:lastRenderedPageBreak/>
        <w:t xml:space="preserve">organizational control. </w:t>
      </w:r>
      <w:proofErr w:type="gramStart"/>
      <w:r w:rsidRPr="00E7081E">
        <w:rPr>
          <w:rFonts w:ascii="Arial" w:hAnsi="Arial" w:cs="Arial"/>
          <w:sz w:val="24"/>
          <w:szCs w:val="24"/>
          <w:lang w:val="en-GB"/>
        </w:rPr>
        <w:t>In order to</w:t>
      </w:r>
      <w:proofErr w:type="gramEnd"/>
      <w:r w:rsidRPr="00E7081E">
        <w:rPr>
          <w:rFonts w:ascii="Arial" w:hAnsi="Arial" w:cs="Arial"/>
          <w:sz w:val="24"/>
          <w:szCs w:val="24"/>
          <w:lang w:val="en-GB"/>
        </w:rPr>
        <w:t xml:space="preserve"> embark on this enlightening journey, a meticulous and thorough strategic analysis of the external environment will be conducted. This strategic analysis meticulously dissects and evaluates the diverse array of elements that possess the potential to significantly influence the organization. To facilitate this profoundly enlightening analysis, a comprehensive utilization of the highly influential PESTEL and Porter's five forces model will be diligently employed. It is worthwhile to mention that PESTEL is an amalgamation of various noteworthy elements including political, economic, sociological, technological, environmental, and legal factors</w:t>
      </w:r>
      <w:r w:rsidR="004A7D27" w:rsidRPr="00E7081E">
        <w:rPr>
          <w:rFonts w:ascii="Arial" w:hAnsi="Arial" w:cs="Arial"/>
          <w:sz w:val="24"/>
          <w:szCs w:val="24"/>
          <w:lang w:val="en-GB"/>
        </w:rPr>
        <w:t xml:space="preserve"> (Kotler and Armstrong, 2018)</w:t>
      </w:r>
      <w:r w:rsidRPr="00E7081E">
        <w:rPr>
          <w:rFonts w:ascii="Arial" w:hAnsi="Arial" w:cs="Arial"/>
          <w:sz w:val="24"/>
          <w:szCs w:val="24"/>
          <w:lang w:val="en-GB"/>
        </w:rPr>
        <w:t xml:space="preserve">. </w:t>
      </w:r>
    </w:p>
    <w:p w14:paraId="2954399B" w14:textId="77777777" w:rsidR="000B1213"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Furthermore, a notable focus will be placed on the profound impact of consumer trends and potential external shocks, such as the highly momentous and transformative event known as Brexit. While delving into the riveting world of the wine industry, it becomes exceedingly pivotal to meticulously scrutinize and assess crucial areas such as consumer tastes and the vital process of purchasing decisions. Subsequently, an insightful analysis of the internal environment of the organization ensues. This meticulous analysis methodically examines and assesses the vast array of resources that are readily available to the organization, while simultaneously and judiciously evaluating the organization's plethora of capabilities and defining core competencies. The aim is to intricately identify and meticulously scrutinize the relative strengths and weaknesses that are inherently present within the organizational framework</w:t>
      </w:r>
      <w:r w:rsidR="00A6569A" w:rsidRPr="00E7081E">
        <w:rPr>
          <w:rFonts w:ascii="Arial" w:hAnsi="Arial" w:cs="Arial"/>
          <w:sz w:val="24"/>
          <w:szCs w:val="24"/>
          <w:lang w:val="en-GB"/>
        </w:rPr>
        <w:t xml:space="preserve"> (Kotler and Armstrong, 2018)</w:t>
      </w:r>
      <w:r w:rsidRPr="00E7081E">
        <w:rPr>
          <w:rFonts w:ascii="Arial" w:hAnsi="Arial" w:cs="Arial"/>
          <w:sz w:val="24"/>
          <w:szCs w:val="24"/>
          <w:lang w:val="en-GB"/>
        </w:rPr>
        <w:t xml:space="preserve">. </w:t>
      </w:r>
    </w:p>
    <w:p w14:paraId="77E8E4AB" w14:textId="7EAAF96F" w:rsidR="000B1213"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This multifaceted process of evaluation effectively utilizes and incorporates invaluable tools and frameworks such as the highly enlightening VRIN model and the invaluable Value Chain Analysis. As this profound journey </w:t>
      </w:r>
      <w:proofErr w:type="gramStart"/>
      <w:r w:rsidRPr="00E7081E">
        <w:rPr>
          <w:rFonts w:ascii="Arial" w:hAnsi="Arial" w:cs="Arial"/>
          <w:sz w:val="24"/>
          <w:szCs w:val="24"/>
          <w:lang w:val="en-GB"/>
        </w:rPr>
        <w:t>comes to a close</w:t>
      </w:r>
      <w:proofErr w:type="gramEnd"/>
      <w:r w:rsidRPr="00E7081E">
        <w:rPr>
          <w:rFonts w:ascii="Arial" w:hAnsi="Arial" w:cs="Arial"/>
          <w:sz w:val="24"/>
          <w:szCs w:val="24"/>
          <w:lang w:val="en-GB"/>
        </w:rPr>
        <w:t xml:space="preserve">, the final segment of this section will gracefully encapsulate and ingeniously provide a comprehensive conclusion that seamlessly emanates from the thorough and all-encompassing analysis of both the external and internal environments. As shall be brilliantly showcased and elucidated, the key implications and invaluable lessons derived from this profound analysis </w:t>
      </w:r>
      <w:r w:rsidRPr="00E7081E">
        <w:rPr>
          <w:rFonts w:ascii="Arial" w:hAnsi="Arial" w:cs="Arial"/>
          <w:sz w:val="24"/>
          <w:szCs w:val="24"/>
          <w:lang w:val="en-GB"/>
        </w:rPr>
        <w:lastRenderedPageBreak/>
        <w:t>unequivocally outline the dire necessity for the organization to adopt a proactive and unwaveringly vigilant approach in deftly managing the formidable and often unpredictable environmental forces that relentlessly seek to shape the organization's destiny</w:t>
      </w:r>
      <w:r w:rsidR="000B1213" w:rsidRPr="00E7081E">
        <w:rPr>
          <w:rFonts w:ascii="Arial" w:hAnsi="Arial" w:cs="Arial"/>
          <w:sz w:val="24"/>
          <w:szCs w:val="24"/>
          <w:lang w:val="en-GB"/>
        </w:rPr>
        <w:t xml:space="preserve"> (M. Sebnem </w:t>
      </w:r>
      <w:proofErr w:type="spellStart"/>
      <w:r w:rsidR="000B1213" w:rsidRPr="00E7081E">
        <w:rPr>
          <w:rFonts w:ascii="Arial" w:hAnsi="Arial" w:cs="Arial"/>
          <w:sz w:val="24"/>
          <w:szCs w:val="24"/>
          <w:lang w:val="en-GB"/>
        </w:rPr>
        <w:t>Ensari</w:t>
      </w:r>
      <w:proofErr w:type="spellEnd"/>
      <w:r w:rsidR="000B1213" w:rsidRPr="00E7081E">
        <w:rPr>
          <w:rFonts w:ascii="Arial" w:hAnsi="Arial" w:cs="Arial"/>
          <w:sz w:val="24"/>
          <w:szCs w:val="24"/>
          <w:lang w:val="en-GB"/>
        </w:rPr>
        <w:t xml:space="preserve"> and Meltem </w:t>
      </w:r>
      <w:proofErr w:type="spellStart"/>
      <w:r w:rsidR="000B1213" w:rsidRPr="00E7081E">
        <w:rPr>
          <w:rFonts w:ascii="Arial" w:hAnsi="Arial" w:cs="Arial"/>
          <w:sz w:val="24"/>
          <w:szCs w:val="24"/>
          <w:lang w:val="en-GB"/>
        </w:rPr>
        <w:t>Kiygi</w:t>
      </w:r>
      <w:proofErr w:type="spellEnd"/>
      <w:r w:rsidR="000B1213" w:rsidRPr="00E7081E">
        <w:rPr>
          <w:rFonts w:ascii="Arial" w:hAnsi="Arial" w:cs="Arial"/>
          <w:sz w:val="24"/>
          <w:szCs w:val="24"/>
          <w:lang w:val="en-GB"/>
        </w:rPr>
        <w:t>-Calli, 2017)</w:t>
      </w:r>
      <w:r w:rsidRPr="00E7081E">
        <w:rPr>
          <w:rFonts w:ascii="Arial" w:hAnsi="Arial" w:cs="Arial"/>
          <w:sz w:val="24"/>
          <w:szCs w:val="24"/>
          <w:lang w:val="en-GB"/>
        </w:rPr>
        <w:t xml:space="preserve">. </w:t>
      </w:r>
    </w:p>
    <w:p w14:paraId="44EB9000" w14:textId="5272C725"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Additionally, the organization is urged to </w:t>
      </w:r>
      <w:proofErr w:type="gramStart"/>
      <w:r w:rsidRPr="00E7081E">
        <w:rPr>
          <w:rFonts w:ascii="Arial" w:hAnsi="Arial" w:cs="Arial"/>
          <w:sz w:val="24"/>
          <w:szCs w:val="24"/>
          <w:lang w:val="en-GB"/>
        </w:rPr>
        <w:t>meticulously and diligently concentrate on expertly leveraging the full potential of their core competencies</w:t>
      </w:r>
      <w:proofErr w:type="gramEnd"/>
      <w:r w:rsidRPr="00E7081E">
        <w:rPr>
          <w:rFonts w:ascii="Arial" w:hAnsi="Arial" w:cs="Arial"/>
          <w:sz w:val="24"/>
          <w:szCs w:val="24"/>
          <w:lang w:val="en-GB"/>
        </w:rPr>
        <w:t>, unceasingly striving for improved overall performance, while also tirelessly working towards the indispensable and highly coveted attainment of a sustainable competitive advantage. It is this highly critical amalgamation and fusion of ideas, concepts, and strategies that shall inevitably and formidably lay the foundation for the remainder of this breathtakingly enlightening paper</w:t>
      </w:r>
      <w:r w:rsidR="000B1213" w:rsidRPr="00E7081E">
        <w:rPr>
          <w:rFonts w:ascii="Arial" w:hAnsi="Arial" w:cs="Arial"/>
          <w:sz w:val="24"/>
          <w:szCs w:val="24"/>
          <w:lang w:val="en-GB"/>
        </w:rPr>
        <w:t xml:space="preserve"> </w:t>
      </w:r>
      <w:r w:rsidR="00D84A41" w:rsidRPr="00E7081E">
        <w:rPr>
          <w:rFonts w:ascii="Arial" w:hAnsi="Arial" w:cs="Arial"/>
          <w:sz w:val="24"/>
          <w:szCs w:val="24"/>
          <w:lang w:val="en-GB"/>
        </w:rPr>
        <w:t>(Rothaermel, 2021)</w:t>
      </w:r>
      <w:r w:rsidRPr="00E7081E">
        <w:rPr>
          <w:rFonts w:ascii="Arial" w:hAnsi="Arial" w:cs="Arial"/>
          <w:sz w:val="24"/>
          <w:szCs w:val="24"/>
          <w:lang w:val="en-GB"/>
        </w:rPr>
        <w:t>.</w:t>
      </w:r>
    </w:p>
    <w:p w14:paraId="1C0028CB" w14:textId="77777777" w:rsidR="00BE6D8F" w:rsidRPr="00E7081E" w:rsidRDefault="00975E89" w:rsidP="00E7081E">
      <w:pPr>
        <w:pStyle w:val="Heading2"/>
        <w:spacing w:line="360" w:lineRule="auto"/>
        <w:jc w:val="both"/>
        <w:rPr>
          <w:rFonts w:ascii="Arial" w:hAnsi="Arial" w:cs="Arial"/>
          <w:sz w:val="24"/>
          <w:szCs w:val="24"/>
          <w:lang w:val="en-GB"/>
        </w:rPr>
      </w:pPr>
      <w:bookmarkStart w:id="5" w:name="_Toc160788953"/>
      <w:r w:rsidRPr="00E7081E">
        <w:rPr>
          <w:rFonts w:ascii="Arial" w:hAnsi="Arial" w:cs="Arial"/>
          <w:sz w:val="24"/>
          <w:szCs w:val="24"/>
          <w:lang w:val="en-GB"/>
        </w:rPr>
        <w:t>4. Stakeholder Analysis &amp; Impacts on Success</w:t>
      </w:r>
      <w:bookmarkEnd w:id="5"/>
    </w:p>
    <w:p w14:paraId="336B0CB5" w14:textId="202D60E8" w:rsidR="005D41B6"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The stakeholder analysis and evaluation process </w:t>
      </w:r>
      <w:proofErr w:type="gramStart"/>
      <w:r w:rsidRPr="00E7081E">
        <w:rPr>
          <w:rFonts w:ascii="Arial" w:hAnsi="Arial" w:cs="Arial"/>
          <w:sz w:val="24"/>
          <w:szCs w:val="24"/>
          <w:lang w:val="en-GB"/>
        </w:rPr>
        <w:t>is</w:t>
      </w:r>
      <w:proofErr w:type="gramEnd"/>
      <w:r w:rsidRPr="00E7081E">
        <w:rPr>
          <w:rFonts w:ascii="Arial" w:hAnsi="Arial" w:cs="Arial"/>
          <w:sz w:val="24"/>
          <w:szCs w:val="24"/>
          <w:lang w:val="en-GB"/>
        </w:rPr>
        <w:t xml:space="preserve"> particularly crucial at this stage in the strategic journey of Milton Sandford Wines Ltd. This is because, as part of the evaluation process, stakeholders' views are required </w:t>
      </w:r>
      <w:proofErr w:type="gramStart"/>
      <w:r w:rsidRPr="00E7081E">
        <w:rPr>
          <w:rFonts w:ascii="Arial" w:hAnsi="Arial" w:cs="Arial"/>
          <w:sz w:val="24"/>
          <w:szCs w:val="24"/>
          <w:lang w:val="en-GB"/>
        </w:rPr>
        <w:t>in order to</w:t>
      </w:r>
      <w:proofErr w:type="gramEnd"/>
      <w:r w:rsidRPr="00E7081E">
        <w:rPr>
          <w:rFonts w:ascii="Arial" w:hAnsi="Arial" w:cs="Arial"/>
          <w:sz w:val="24"/>
          <w:szCs w:val="24"/>
          <w:lang w:val="en-GB"/>
        </w:rPr>
        <w:t xml:space="preserve"> identify the changes of expectations that various stakeholders may have. </w:t>
      </w:r>
      <w:proofErr w:type="gramStart"/>
      <w:r w:rsidRPr="00E7081E">
        <w:rPr>
          <w:rFonts w:ascii="Arial" w:hAnsi="Arial" w:cs="Arial"/>
          <w:sz w:val="24"/>
          <w:szCs w:val="24"/>
          <w:lang w:val="en-GB"/>
        </w:rPr>
        <w:t>In order to</w:t>
      </w:r>
      <w:proofErr w:type="gramEnd"/>
      <w:r w:rsidRPr="00E7081E">
        <w:rPr>
          <w:rFonts w:ascii="Arial" w:hAnsi="Arial" w:cs="Arial"/>
          <w:sz w:val="24"/>
          <w:szCs w:val="24"/>
          <w:lang w:val="en-GB"/>
        </w:rPr>
        <w:t xml:space="preserve"> evaluate the potential changes in expectations of the stakeholders at Sandford, </w:t>
      </w:r>
      <w:r w:rsidR="00576E86" w:rsidRPr="00E7081E">
        <w:rPr>
          <w:rFonts w:ascii="Arial" w:hAnsi="Arial" w:cs="Arial"/>
          <w:sz w:val="24"/>
          <w:szCs w:val="24"/>
          <w:lang w:val="en-GB"/>
        </w:rPr>
        <w:t>Shar</w:t>
      </w:r>
      <w:r w:rsidR="005D41B6" w:rsidRPr="00E7081E">
        <w:rPr>
          <w:rFonts w:ascii="Arial" w:hAnsi="Arial" w:cs="Arial"/>
          <w:sz w:val="24"/>
          <w:szCs w:val="24"/>
          <w:lang w:val="en-GB"/>
        </w:rPr>
        <w:t>fstein</w:t>
      </w:r>
      <w:r w:rsidR="00576E86" w:rsidRPr="00E7081E">
        <w:rPr>
          <w:rFonts w:ascii="Arial" w:hAnsi="Arial" w:cs="Arial"/>
          <w:sz w:val="24"/>
          <w:szCs w:val="24"/>
          <w:lang w:val="en-GB"/>
        </w:rPr>
        <w:t xml:space="preserve"> (2016)</w:t>
      </w:r>
      <w:r w:rsidRPr="00E7081E">
        <w:rPr>
          <w:rFonts w:ascii="Arial" w:hAnsi="Arial" w:cs="Arial"/>
          <w:sz w:val="24"/>
          <w:szCs w:val="24"/>
          <w:lang w:val="en-GB"/>
        </w:rPr>
        <w:t xml:space="preserve"> suggested clearly outlining the </w:t>
      </w:r>
      <w:r w:rsidR="00D84A41" w:rsidRPr="00E7081E">
        <w:rPr>
          <w:rFonts w:ascii="Arial" w:hAnsi="Arial" w:cs="Arial"/>
          <w:sz w:val="24"/>
          <w:szCs w:val="24"/>
          <w:lang w:val="en-GB"/>
        </w:rPr>
        <w:t>stakeholders’</w:t>
      </w:r>
      <w:r w:rsidRPr="00E7081E">
        <w:rPr>
          <w:rFonts w:ascii="Arial" w:hAnsi="Arial" w:cs="Arial"/>
          <w:sz w:val="24"/>
          <w:szCs w:val="24"/>
          <w:lang w:val="en-GB"/>
        </w:rPr>
        <w:t xml:space="preserve"> categories and their existing expectations. As such, the management then can evaluate these expectations by </w:t>
      </w:r>
      <w:proofErr w:type="gramStart"/>
      <w:r w:rsidRPr="00E7081E">
        <w:rPr>
          <w:rFonts w:ascii="Arial" w:hAnsi="Arial" w:cs="Arial"/>
          <w:sz w:val="24"/>
          <w:szCs w:val="24"/>
          <w:lang w:val="en-GB"/>
        </w:rPr>
        <w:t>taking into account</w:t>
      </w:r>
      <w:proofErr w:type="gramEnd"/>
      <w:r w:rsidRPr="00E7081E">
        <w:rPr>
          <w:rFonts w:ascii="Arial" w:hAnsi="Arial" w:cs="Arial"/>
          <w:sz w:val="24"/>
          <w:szCs w:val="24"/>
          <w:lang w:val="en-GB"/>
        </w:rPr>
        <w:t xml:space="preserve"> the views of the stakeholders as part of the process. This high degree of stakeholder participation may result in a more consensual strategy. From the case study, it seems that issues concerning different stakeholders' expectations have been picked up with different degree. However, the focus seems to be on how to address the investors' prior expectations and what they might get as part of the changes. This is perhaps because the future changes in the business may have direct impact on their wealth and power. In the same study, this strategic evaluation helped the company to identify different scenarios of potential changes of stakeholders' expectations. The researchers suggested conducting a stakeholder analysis </w:t>
      </w:r>
      <w:r w:rsidR="005D41B6" w:rsidRPr="00E7081E">
        <w:rPr>
          <w:rFonts w:ascii="Arial" w:hAnsi="Arial" w:cs="Arial"/>
          <w:sz w:val="24"/>
          <w:szCs w:val="24"/>
          <w:lang w:val="en-GB"/>
        </w:rPr>
        <w:lastRenderedPageBreak/>
        <w:t>workshop,</w:t>
      </w:r>
      <w:r w:rsidRPr="00E7081E">
        <w:rPr>
          <w:rFonts w:ascii="Arial" w:hAnsi="Arial" w:cs="Arial"/>
          <w:sz w:val="24"/>
          <w:szCs w:val="24"/>
          <w:lang w:val="en-GB"/>
        </w:rPr>
        <w:t xml:space="preserve"> if possible, in order to generate consensus from all parties, as part of the process</w:t>
      </w:r>
      <w:r w:rsidR="00CC272B" w:rsidRPr="00E7081E">
        <w:rPr>
          <w:rFonts w:ascii="Arial" w:hAnsi="Arial" w:cs="Arial"/>
          <w:sz w:val="24"/>
          <w:szCs w:val="24"/>
          <w:lang w:val="en-GB"/>
        </w:rPr>
        <w:t xml:space="preserve"> (Kotler and Armstrong, 2018</w:t>
      </w:r>
      <w:proofErr w:type="gramStart"/>
      <w:r w:rsidR="00CC272B" w:rsidRPr="00E7081E">
        <w:rPr>
          <w:rFonts w:ascii="Arial" w:hAnsi="Arial" w:cs="Arial"/>
          <w:sz w:val="24"/>
          <w:szCs w:val="24"/>
          <w:lang w:val="en-GB"/>
        </w:rPr>
        <w:t xml:space="preserve">) </w:t>
      </w:r>
      <w:r w:rsidRPr="00E7081E">
        <w:rPr>
          <w:rFonts w:ascii="Arial" w:hAnsi="Arial" w:cs="Arial"/>
          <w:sz w:val="24"/>
          <w:szCs w:val="24"/>
          <w:lang w:val="en-GB"/>
        </w:rPr>
        <w:t>.</w:t>
      </w:r>
      <w:proofErr w:type="gramEnd"/>
      <w:r w:rsidRPr="00E7081E">
        <w:rPr>
          <w:rFonts w:ascii="Arial" w:hAnsi="Arial" w:cs="Arial"/>
          <w:sz w:val="24"/>
          <w:szCs w:val="24"/>
          <w:lang w:val="en-GB"/>
        </w:rPr>
        <w:t xml:space="preserve"> </w:t>
      </w:r>
    </w:p>
    <w:p w14:paraId="4D29B096" w14:textId="77A8D382"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However, in my opinion, such consensus might dilute the possibility of a radical strategy which aims to impose dominant coalition's power to settle deep rooted conflicts. I think this should be avoided because strategic changes should not be limited to what the stakeholders are expected. This is only about the strategic actions that can contribute to the sustainable competitive advantage of an organization. Therefore, it is important to consider a balanced approach between addressing stakeholder expectations and pursuing a radical strategy. By doing so, Milton Sandford Wines Ltd can ensure that they are </w:t>
      </w:r>
      <w:proofErr w:type="gramStart"/>
      <w:r w:rsidRPr="00E7081E">
        <w:rPr>
          <w:rFonts w:ascii="Arial" w:hAnsi="Arial" w:cs="Arial"/>
          <w:sz w:val="24"/>
          <w:szCs w:val="24"/>
          <w:lang w:val="en-GB"/>
        </w:rPr>
        <w:t>taking into account</w:t>
      </w:r>
      <w:proofErr w:type="gramEnd"/>
      <w:r w:rsidRPr="00E7081E">
        <w:rPr>
          <w:rFonts w:ascii="Arial" w:hAnsi="Arial" w:cs="Arial"/>
          <w:sz w:val="24"/>
          <w:szCs w:val="24"/>
          <w:lang w:val="en-GB"/>
        </w:rPr>
        <w:t xml:space="preserve"> the interests and concerns of all stakeholders while also aiming to achieve a competitive advantage in the market. Through effective stakeholder analysis and evaluation, the company can gain valuable insights into the changing expectations of different stakeholders and use this information to inform their strategic decision-making process. In conclusion, stakeholder analysis and evaluation play a crucial role in the strategic journey of companies like Milton Sandford Wines Ltd. By actively involving stakeholders in the process and considering their expectations, businesses can develop more consensual strategies and achieve sustainable competitive advantage. However, it is also important to balance stakeholder expectations with the pursuit of radical strategies that can drive significant organizational change. By finding this balance, companies can navigate the complex landscape of stakeholder management and position themselves for long-term success</w:t>
      </w:r>
      <w:r w:rsidR="003950F2" w:rsidRPr="00E7081E">
        <w:rPr>
          <w:rFonts w:ascii="Arial" w:hAnsi="Arial" w:cs="Arial"/>
          <w:sz w:val="24"/>
          <w:szCs w:val="24"/>
          <w:lang w:val="en-GB"/>
        </w:rPr>
        <w:t xml:space="preserve"> (Birkinshaw, 2020)</w:t>
      </w:r>
      <w:r w:rsidRPr="00E7081E">
        <w:rPr>
          <w:rFonts w:ascii="Arial" w:hAnsi="Arial" w:cs="Arial"/>
          <w:sz w:val="24"/>
          <w:szCs w:val="24"/>
          <w:lang w:val="en-GB"/>
        </w:rPr>
        <w:t>.</w:t>
      </w:r>
    </w:p>
    <w:p w14:paraId="53685736" w14:textId="77777777" w:rsidR="00BE6D8F" w:rsidRPr="00E7081E" w:rsidRDefault="00975E89" w:rsidP="00E7081E">
      <w:pPr>
        <w:pStyle w:val="Heading2"/>
        <w:spacing w:line="360" w:lineRule="auto"/>
        <w:jc w:val="both"/>
        <w:rPr>
          <w:rFonts w:ascii="Arial" w:hAnsi="Arial" w:cs="Arial"/>
          <w:sz w:val="24"/>
          <w:szCs w:val="24"/>
          <w:lang w:val="en-GB"/>
        </w:rPr>
      </w:pPr>
      <w:bookmarkStart w:id="6" w:name="_Toc160788954"/>
      <w:r w:rsidRPr="00E7081E">
        <w:rPr>
          <w:rFonts w:ascii="Arial" w:hAnsi="Arial" w:cs="Arial"/>
          <w:sz w:val="24"/>
          <w:szCs w:val="24"/>
          <w:lang w:val="en-GB"/>
        </w:rPr>
        <w:t>5. Strategic Growth Choices and Proposal for a Sustainable Strategy</w:t>
      </w:r>
      <w:bookmarkEnd w:id="6"/>
    </w:p>
    <w:p w14:paraId="7AE8AD11" w14:textId="77777777" w:rsidR="003950F2"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While several other wineries in recent decades have taken growth decisions on aggressive and nonstop investment in new equipment, ad placement, and marketing campaigns, the management has resisted the temptation to shun a well-considered approach both to long-term sustainable growth and in attaining continuity from one generation to the next. The company has increased turnover by 40% in the last four years. This latest growth in capacity and sales represents </w:t>
      </w:r>
      <w:r w:rsidRPr="00E7081E">
        <w:rPr>
          <w:rFonts w:ascii="Arial" w:hAnsi="Arial" w:cs="Arial"/>
          <w:sz w:val="24"/>
          <w:szCs w:val="24"/>
          <w:lang w:val="en-GB"/>
        </w:rPr>
        <w:lastRenderedPageBreak/>
        <w:t xml:space="preserve">relatively few of the many strides and expansions that have been made by a winery that has celebrated its centennial this year. The company has engaged in investment in a research project aimed at providing scientific insight into certain aspects of winemaking knowledge. Also taking in refreshing winery building but keeping some heritage. Products field should be adopted </w:t>
      </w:r>
      <w:proofErr w:type="gramStart"/>
      <w:r w:rsidRPr="00E7081E">
        <w:rPr>
          <w:rFonts w:ascii="Arial" w:hAnsi="Arial" w:cs="Arial"/>
          <w:sz w:val="24"/>
          <w:szCs w:val="24"/>
          <w:lang w:val="en-GB"/>
        </w:rPr>
        <w:t>in order to</w:t>
      </w:r>
      <w:proofErr w:type="gramEnd"/>
      <w:r w:rsidRPr="00E7081E">
        <w:rPr>
          <w:rFonts w:ascii="Arial" w:hAnsi="Arial" w:cs="Arial"/>
          <w:sz w:val="24"/>
          <w:szCs w:val="24"/>
          <w:lang w:val="en-GB"/>
        </w:rPr>
        <w:t xml:space="preserve"> determine trends and opportunities in the global and national markets</w:t>
      </w:r>
      <w:r w:rsidR="003950F2" w:rsidRPr="00E7081E">
        <w:rPr>
          <w:rFonts w:ascii="Arial" w:hAnsi="Arial" w:cs="Arial"/>
          <w:sz w:val="24"/>
          <w:szCs w:val="24"/>
          <w:lang w:val="en-GB"/>
        </w:rPr>
        <w:t xml:space="preserve"> (Birkinshaw, 2020)</w:t>
      </w:r>
      <w:r w:rsidRPr="00E7081E">
        <w:rPr>
          <w:rFonts w:ascii="Arial" w:hAnsi="Arial" w:cs="Arial"/>
          <w:sz w:val="24"/>
          <w:szCs w:val="24"/>
          <w:lang w:val="en-GB"/>
        </w:rPr>
        <w:t xml:space="preserve">. </w:t>
      </w:r>
    </w:p>
    <w:p w14:paraId="64E6A1F5" w14:textId="20AE276D"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A system for documenting PEST factors and grouping by importance and developing an understanding of Ten Sleep. A SWOT analysis input consideration could improve the company's ability to identify strengths and weaknesses. The product field can be left as one choice to help the organization establish a new network of the external environment. Also, Wines is now seeking two new products to enhance the profit and scale of the business. Locals could have shown that the two new products are best to launch and invest. By SWOT analysis, it basically means to </w:t>
      </w:r>
      <w:proofErr w:type="spellStart"/>
      <w:r w:rsidRPr="00E7081E">
        <w:rPr>
          <w:rFonts w:ascii="Arial" w:hAnsi="Arial" w:cs="Arial"/>
          <w:sz w:val="24"/>
          <w:szCs w:val="24"/>
          <w:lang w:val="en-GB"/>
        </w:rPr>
        <w:t>analyze</w:t>
      </w:r>
      <w:proofErr w:type="spellEnd"/>
      <w:r w:rsidRPr="00E7081E">
        <w:rPr>
          <w:rFonts w:ascii="Arial" w:hAnsi="Arial" w:cs="Arial"/>
          <w:sz w:val="24"/>
          <w:szCs w:val="24"/>
          <w:lang w:val="en-GB"/>
        </w:rPr>
        <w:t xml:space="preserve"> the ready products of the wines. The strengths of the wines are apparent, such as being innovative in the product field, delivering high-quality products, </w:t>
      </w:r>
      <w:proofErr w:type="gramStart"/>
      <w:r w:rsidRPr="00E7081E">
        <w:rPr>
          <w:rFonts w:ascii="Arial" w:hAnsi="Arial" w:cs="Arial"/>
          <w:sz w:val="24"/>
          <w:szCs w:val="24"/>
          <w:lang w:val="en-GB"/>
        </w:rPr>
        <w:t>and also</w:t>
      </w:r>
      <w:proofErr w:type="gramEnd"/>
      <w:r w:rsidRPr="00E7081E">
        <w:rPr>
          <w:rFonts w:ascii="Arial" w:hAnsi="Arial" w:cs="Arial"/>
          <w:sz w:val="24"/>
          <w:szCs w:val="24"/>
          <w:lang w:val="en-GB"/>
        </w:rPr>
        <w:t xml:space="preserve"> having strong brand recognition by customers. It is believed that the wines have great potential to start to launch a new product and increase the product range. The new products could take the ability to satisfy the customer's requirement of diversity. The business is run by a team of young undergraduates, and they are the first wine enterprises on the island. It is impressive that the winery business, which combines with the great tasting winery, the showcase winery, and the prestigious winery, could provide a substantial bump for a campus student. A strategic report is generated. According to the strategic decision, further exploration into international markets and continued investment in research and development will be prioritized to foster long-term sustainable growth. This will involve </w:t>
      </w:r>
      <w:r w:rsidR="003950F2" w:rsidRPr="00E7081E">
        <w:rPr>
          <w:rFonts w:ascii="Arial" w:hAnsi="Arial" w:cs="Arial"/>
          <w:sz w:val="24"/>
          <w:szCs w:val="24"/>
          <w:lang w:val="en-GB"/>
        </w:rPr>
        <w:t>analysing</w:t>
      </w:r>
      <w:r w:rsidRPr="00E7081E">
        <w:rPr>
          <w:rFonts w:ascii="Arial" w:hAnsi="Arial" w:cs="Arial"/>
          <w:sz w:val="24"/>
          <w:szCs w:val="24"/>
          <w:lang w:val="en-GB"/>
        </w:rPr>
        <w:t xml:space="preserve"> market trends, identifying potential opportunities, and leveraging the company's strengths to gain a competitive </w:t>
      </w:r>
      <w:r w:rsidR="0000244E" w:rsidRPr="00E7081E">
        <w:rPr>
          <w:rFonts w:ascii="Arial" w:hAnsi="Arial" w:cs="Arial"/>
          <w:sz w:val="24"/>
          <w:szCs w:val="24"/>
          <w:lang w:val="en-GB"/>
        </w:rPr>
        <w:t>edge (</w:t>
      </w:r>
      <w:r w:rsidR="00105A9C" w:rsidRPr="00E7081E">
        <w:rPr>
          <w:rFonts w:ascii="Arial" w:hAnsi="Arial" w:cs="Arial"/>
          <w:sz w:val="24"/>
          <w:szCs w:val="24"/>
          <w:lang w:val="en-GB"/>
        </w:rPr>
        <w:t>Godet, 2022)</w:t>
      </w:r>
      <w:r w:rsidRPr="00E7081E">
        <w:rPr>
          <w:rFonts w:ascii="Arial" w:hAnsi="Arial" w:cs="Arial"/>
          <w:sz w:val="24"/>
          <w:szCs w:val="24"/>
          <w:lang w:val="en-GB"/>
        </w:rPr>
        <w:t xml:space="preserve">. Additionally, the company plans to expand its product range by introducing two new offerings that cater to evolving customer needs and preferences. These new products will not only enhance profitability but also contribute to the overall growth and scale of the business. </w:t>
      </w:r>
      <w:r w:rsidRPr="00E7081E">
        <w:rPr>
          <w:rFonts w:ascii="Arial" w:hAnsi="Arial" w:cs="Arial"/>
          <w:sz w:val="24"/>
          <w:szCs w:val="24"/>
          <w:lang w:val="en-GB"/>
        </w:rPr>
        <w:lastRenderedPageBreak/>
        <w:t>With a strong focus on innovation and quality, the winery aims to solidify its position as a leader in the industry. Leveraging its well-established brand recognition and customer loyalty, the winery is confident in its ability to successfully launch and market these new products. By conducting a comprehensive SWOT analysis, the company will gain valuable insights into its strengths and weaknesses, allowing for strategic decision-making and effective resource allocation</w:t>
      </w:r>
      <w:r w:rsidR="0000244E" w:rsidRPr="00E7081E">
        <w:rPr>
          <w:rFonts w:ascii="Arial" w:hAnsi="Arial" w:cs="Arial"/>
          <w:sz w:val="24"/>
          <w:szCs w:val="24"/>
          <w:lang w:val="en-GB"/>
        </w:rPr>
        <w:t xml:space="preserve"> </w:t>
      </w:r>
      <w:r w:rsidR="00105A9C" w:rsidRPr="00E7081E">
        <w:rPr>
          <w:rFonts w:ascii="Arial" w:hAnsi="Arial" w:cs="Arial"/>
          <w:sz w:val="24"/>
          <w:szCs w:val="24"/>
          <w:lang w:val="en-GB"/>
        </w:rPr>
        <w:t>(Godet, 2022)</w:t>
      </w:r>
      <w:r w:rsidRPr="00E7081E">
        <w:rPr>
          <w:rFonts w:ascii="Arial" w:hAnsi="Arial" w:cs="Arial"/>
          <w:sz w:val="24"/>
          <w:szCs w:val="24"/>
          <w:lang w:val="en-GB"/>
        </w:rPr>
        <w:t>. The winery's young and dynamic team of undergraduates brings fresh perspectives and innovative ideas to the table, ensuring continuous growth and success. By capitalizing on the unique combination of a great tasting winery, a showcase winery, and a prestigious winery, the company is well-positioned to cater to a diverse range of customers and appeal to different market segments. Through careful consideration of the external environment and adoption of a strategic approach, the winery is poised for continued success and expansion in the global marketplace. The completed strategic report paves the way for informed decision-making and guides the company towards long-term sustainability and growth</w:t>
      </w:r>
      <w:r w:rsidR="003950F2" w:rsidRPr="00E7081E">
        <w:rPr>
          <w:rFonts w:ascii="Arial" w:hAnsi="Arial" w:cs="Arial"/>
          <w:sz w:val="24"/>
          <w:szCs w:val="24"/>
          <w:lang w:val="en-GB"/>
        </w:rPr>
        <w:t xml:space="preserve"> (Birkinshaw, 2020)</w:t>
      </w:r>
      <w:r w:rsidRPr="00E7081E">
        <w:rPr>
          <w:rFonts w:ascii="Arial" w:hAnsi="Arial" w:cs="Arial"/>
          <w:sz w:val="24"/>
          <w:szCs w:val="24"/>
          <w:lang w:val="en-GB"/>
        </w:rPr>
        <w:t>.</w:t>
      </w:r>
    </w:p>
    <w:p w14:paraId="7EE0310E" w14:textId="77777777" w:rsidR="00BE6D8F" w:rsidRPr="00E7081E" w:rsidRDefault="00975E89" w:rsidP="00E7081E">
      <w:pPr>
        <w:pStyle w:val="Heading2"/>
        <w:spacing w:line="360" w:lineRule="auto"/>
        <w:jc w:val="both"/>
        <w:rPr>
          <w:rFonts w:ascii="Arial" w:hAnsi="Arial" w:cs="Arial"/>
          <w:sz w:val="24"/>
          <w:szCs w:val="24"/>
          <w:lang w:val="en-GB"/>
        </w:rPr>
      </w:pPr>
      <w:bookmarkStart w:id="7" w:name="_Toc160788955"/>
      <w:r w:rsidRPr="00E7081E">
        <w:rPr>
          <w:rFonts w:ascii="Arial" w:hAnsi="Arial" w:cs="Arial"/>
          <w:sz w:val="24"/>
          <w:szCs w:val="24"/>
          <w:lang w:val="en-GB"/>
        </w:rPr>
        <w:t>6. Recommendations for Future Developments and Implementation</w:t>
      </w:r>
      <w:bookmarkEnd w:id="7"/>
    </w:p>
    <w:p w14:paraId="38922940" w14:textId="77777777" w:rsidR="00B71394"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Firstly, it is important to </w:t>
      </w:r>
      <w:proofErr w:type="gramStart"/>
      <w:r w:rsidRPr="00E7081E">
        <w:rPr>
          <w:rFonts w:ascii="Arial" w:hAnsi="Arial" w:cs="Arial"/>
          <w:sz w:val="24"/>
          <w:szCs w:val="24"/>
          <w:lang w:val="en-GB"/>
        </w:rPr>
        <w:t>take into account</w:t>
      </w:r>
      <w:proofErr w:type="gramEnd"/>
      <w:r w:rsidRPr="00E7081E">
        <w:rPr>
          <w:rFonts w:ascii="Arial" w:hAnsi="Arial" w:cs="Arial"/>
          <w:sz w:val="24"/>
          <w:szCs w:val="24"/>
          <w:lang w:val="en-GB"/>
        </w:rPr>
        <w:t xml:space="preserve"> the effectiveness of the functional, emergent, and operational strategies that the company employs. </w:t>
      </w:r>
    </w:p>
    <w:p w14:paraId="19BE5FF7" w14:textId="33AC9724" w:rsidR="0000244E"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Secondly, the company should concentrate on conducting an in-depth market research to determine and understand the market needs as well as the external factors that may impact the performance of the </w:t>
      </w:r>
      <w:r w:rsidR="00B71394" w:rsidRPr="00E7081E">
        <w:rPr>
          <w:rFonts w:ascii="Arial" w:hAnsi="Arial" w:cs="Arial"/>
          <w:sz w:val="24"/>
          <w:szCs w:val="24"/>
          <w:lang w:val="en-GB"/>
        </w:rPr>
        <w:t>company (Kotler and Armstrong, 2018</w:t>
      </w:r>
      <w:proofErr w:type="gramStart"/>
      <w:r w:rsidR="00B71394" w:rsidRPr="00E7081E">
        <w:rPr>
          <w:rFonts w:ascii="Arial" w:hAnsi="Arial" w:cs="Arial"/>
          <w:sz w:val="24"/>
          <w:szCs w:val="24"/>
          <w:lang w:val="en-GB"/>
        </w:rPr>
        <w:t xml:space="preserve">) </w:t>
      </w:r>
      <w:r w:rsidRPr="00E7081E">
        <w:rPr>
          <w:rFonts w:ascii="Arial" w:hAnsi="Arial" w:cs="Arial"/>
          <w:sz w:val="24"/>
          <w:szCs w:val="24"/>
          <w:lang w:val="en-GB"/>
        </w:rPr>
        <w:t>.</w:t>
      </w:r>
      <w:proofErr w:type="gramEnd"/>
      <w:r w:rsidRPr="00E7081E">
        <w:rPr>
          <w:rFonts w:ascii="Arial" w:hAnsi="Arial" w:cs="Arial"/>
          <w:sz w:val="24"/>
          <w:szCs w:val="24"/>
          <w:lang w:val="en-GB"/>
        </w:rPr>
        <w:t xml:space="preserve"> Information from the research will enable the company to be well prepared for any undesirable changes that may occur in the market. </w:t>
      </w:r>
    </w:p>
    <w:p w14:paraId="000C7EE3" w14:textId="7B2BA010" w:rsidR="0000244E"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Additionally, the company should emphasize the widespread use of modern and more efficient technology to undertake the production process, quality management, as well as in marketing and product </w:t>
      </w:r>
      <w:r w:rsidR="00B71394" w:rsidRPr="00E7081E">
        <w:rPr>
          <w:rFonts w:ascii="Arial" w:hAnsi="Arial" w:cs="Arial"/>
          <w:sz w:val="24"/>
          <w:szCs w:val="24"/>
          <w:lang w:val="en-GB"/>
        </w:rPr>
        <w:t>distribution (</w:t>
      </w:r>
      <w:r w:rsidR="0000244E" w:rsidRPr="00E7081E">
        <w:rPr>
          <w:rFonts w:ascii="Arial" w:hAnsi="Arial" w:cs="Arial"/>
          <w:sz w:val="24"/>
          <w:szCs w:val="24"/>
          <w:lang w:val="en-GB"/>
        </w:rPr>
        <w:t>Godet, 2022)</w:t>
      </w:r>
      <w:r w:rsidRPr="00E7081E">
        <w:rPr>
          <w:rFonts w:ascii="Arial" w:hAnsi="Arial" w:cs="Arial"/>
          <w:sz w:val="24"/>
          <w:szCs w:val="24"/>
          <w:lang w:val="en-GB"/>
        </w:rPr>
        <w:t xml:space="preserve">. By incorporating advanced technology in its production processes, the company is likely to benefit from improved productivity and, most importantly, enhanced quality of the final products. Modern technology will also enable the company to </w:t>
      </w:r>
      <w:r w:rsidRPr="00E7081E">
        <w:rPr>
          <w:rFonts w:ascii="Arial" w:hAnsi="Arial" w:cs="Arial"/>
          <w:sz w:val="24"/>
          <w:szCs w:val="24"/>
          <w:lang w:val="en-GB"/>
        </w:rPr>
        <w:lastRenderedPageBreak/>
        <w:t xml:space="preserve">venture into e-commerce business and the online market where several individuals tend to prefer buying products. As noted in the case study, the company only specializes in the production of wine for local and supplies them manually without the help of automated systems. However, given the large number of wine drinkers all over the world and high interest in wine products, there is a good opportunity for the company in the international market. </w:t>
      </w:r>
    </w:p>
    <w:p w14:paraId="79C6EC5B" w14:textId="37743470"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Therefore, it is recommended that the company undertakes intensive production. The case study indicates that the company has reached its maximum production limits and there are plans to expand the company and consider developing new products. Such an approach will enable the company to meet the changing customer preferences as well as increase its market share. The management should focus on promoting innovation and detailed development of products that are appealing to the customers and, most importantly, which will have more impact in the market. By encouraging product development and innovation, the company will be attractive to the current and potential modern customers as well as to overcome the competition in wine products. Also, emphasis should be given in branding and building a strong brand identity for the company. A strong brand image will not only help Milton Sandford Wines to retain its position in the market, but it will also make it difficult for the competitors to overcome its profits and market share. This is because a recognizable brand will always be associated with satisfactory and standard quality products, and most customers will always remain loyal to such a brand.</w:t>
      </w:r>
    </w:p>
    <w:p w14:paraId="5F664C14" w14:textId="77777777" w:rsidR="00BE6D8F" w:rsidRPr="00E7081E" w:rsidRDefault="00975E89" w:rsidP="00E7081E">
      <w:pPr>
        <w:pStyle w:val="Heading2"/>
        <w:spacing w:line="360" w:lineRule="auto"/>
        <w:jc w:val="both"/>
        <w:rPr>
          <w:rFonts w:ascii="Arial" w:hAnsi="Arial" w:cs="Arial"/>
          <w:sz w:val="24"/>
          <w:szCs w:val="24"/>
          <w:lang w:val="en-GB"/>
        </w:rPr>
      </w:pPr>
      <w:bookmarkStart w:id="8" w:name="_Toc160788956"/>
      <w:r w:rsidRPr="00E7081E">
        <w:rPr>
          <w:rFonts w:ascii="Arial" w:hAnsi="Arial" w:cs="Arial"/>
          <w:sz w:val="24"/>
          <w:szCs w:val="24"/>
          <w:lang w:val="en-GB"/>
        </w:rPr>
        <w:t>7. Conclusion</w:t>
      </w:r>
      <w:bookmarkEnd w:id="8"/>
    </w:p>
    <w:p w14:paraId="72818031" w14:textId="77777777" w:rsidR="00BE6D8F" w:rsidRPr="00E7081E" w:rsidRDefault="00975E89" w:rsidP="00E7081E">
      <w:pPr>
        <w:spacing w:line="360" w:lineRule="auto"/>
        <w:jc w:val="both"/>
        <w:rPr>
          <w:rFonts w:ascii="Arial" w:hAnsi="Arial" w:cs="Arial"/>
          <w:sz w:val="24"/>
          <w:szCs w:val="24"/>
          <w:lang w:val="en-GB"/>
        </w:rPr>
      </w:pPr>
      <w:r w:rsidRPr="00E7081E">
        <w:rPr>
          <w:rFonts w:ascii="Arial" w:hAnsi="Arial" w:cs="Arial"/>
          <w:sz w:val="24"/>
          <w:szCs w:val="24"/>
          <w:lang w:val="en-GB"/>
        </w:rPr>
        <w:t xml:space="preserve">Strategic management in the wine industry needs me to look ahead, given that the sector is fiercely competitive. This study, </w:t>
      </w:r>
      <w:proofErr w:type="gramStart"/>
      <w:r w:rsidRPr="00E7081E">
        <w:rPr>
          <w:rFonts w:ascii="Arial" w:hAnsi="Arial" w:cs="Arial"/>
          <w:sz w:val="24"/>
          <w:szCs w:val="24"/>
          <w:lang w:val="en-GB"/>
        </w:rPr>
        <w:t>in light of</w:t>
      </w:r>
      <w:proofErr w:type="gramEnd"/>
      <w:r w:rsidRPr="00E7081E">
        <w:rPr>
          <w:rFonts w:ascii="Arial" w:hAnsi="Arial" w:cs="Arial"/>
          <w:sz w:val="24"/>
          <w:szCs w:val="24"/>
          <w:lang w:val="en-GB"/>
        </w:rPr>
        <w:t xml:space="preserve"> this broader view, has been full of discovery, thrilling, discouraging, thrilling again, and finally fulfilling. I </w:t>
      </w:r>
      <w:proofErr w:type="gramStart"/>
      <w:r w:rsidRPr="00E7081E">
        <w:rPr>
          <w:rFonts w:ascii="Arial" w:hAnsi="Arial" w:cs="Arial"/>
          <w:sz w:val="24"/>
          <w:szCs w:val="24"/>
          <w:lang w:val="en-GB"/>
        </w:rPr>
        <w:t>have to</w:t>
      </w:r>
      <w:proofErr w:type="gramEnd"/>
      <w:r w:rsidRPr="00E7081E">
        <w:rPr>
          <w:rFonts w:ascii="Arial" w:hAnsi="Arial" w:cs="Arial"/>
          <w:sz w:val="24"/>
          <w:szCs w:val="24"/>
          <w:lang w:val="en-GB"/>
        </w:rPr>
        <w:t xml:space="preserve"> admit that, faced with our restrictions in numerous aspects - the choice of language, the limited system to review, the unavailability of information, and partially the influence of habit of considering, to some extent, something radical including strategic innovation frightened me. The fear is that after a strategic </w:t>
      </w:r>
      <w:r w:rsidRPr="00E7081E">
        <w:rPr>
          <w:rFonts w:ascii="Arial" w:hAnsi="Arial" w:cs="Arial"/>
          <w:sz w:val="24"/>
          <w:szCs w:val="24"/>
          <w:lang w:val="en-GB"/>
        </w:rPr>
        <w:lastRenderedPageBreak/>
        <w:t xml:space="preserve">change the company might lose the tradition and its success in the past decade could vanish instantly. Now my research took me to the end of this case study bearing a lovely realization upon me: throughout a decade-long growing process, stimulated by the passion of wine and the spirit of constant innovation, Milton Sandford Wines Ltd, with the management of unswervingly rolling out such strategy, has effectively transformed itself from a conventional local label into a globally recognized professional wine producer; and at the same time maintaining the ancestor's mission to make the finest quality of wine possible utilizing state-of-the-art technology secluded in tradition. This case study is not just a compilation of the fragmented data in the university library. Instead, it provides an all-rounded yet critical approach to study the prosperity of this beautiful business. I wish my effort could deliver a further understanding for strategic management in reality; for wine management in both local and global scale; for managers who are cultivating a wonderful and fruitful developing process in an enterprise; and </w:t>
      </w:r>
      <w:proofErr w:type="gramStart"/>
      <w:r w:rsidRPr="00E7081E">
        <w:rPr>
          <w:rFonts w:ascii="Arial" w:hAnsi="Arial" w:cs="Arial"/>
          <w:sz w:val="24"/>
          <w:szCs w:val="24"/>
          <w:lang w:val="en-GB"/>
        </w:rPr>
        <w:t>last but not least</w:t>
      </w:r>
      <w:proofErr w:type="gramEnd"/>
      <w:r w:rsidRPr="00E7081E">
        <w:rPr>
          <w:rFonts w:ascii="Arial" w:hAnsi="Arial" w:cs="Arial"/>
          <w:sz w:val="24"/>
          <w:szCs w:val="24"/>
          <w:lang w:val="en-GB"/>
        </w:rPr>
        <w:t xml:space="preserve"> for Milton Sandford Wines Ltd, for that my work could probably find a path, maybe a little, for the continuous success.</w:t>
      </w:r>
    </w:p>
    <w:p w14:paraId="4CBD59F4" w14:textId="77777777" w:rsidR="0044124A" w:rsidRPr="0044124A" w:rsidRDefault="0044124A" w:rsidP="00E7081E">
      <w:pPr>
        <w:spacing w:after="240" w:line="360" w:lineRule="auto"/>
        <w:jc w:val="both"/>
        <w:outlineLvl w:val="0"/>
        <w:rPr>
          <w:rFonts w:ascii="Arial" w:eastAsia="Times New Roman" w:hAnsi="Arial" w:cs="Arial"/>
          <w:b/>
          <w:bCs/>
          <w:kern w:val="36"/>
          <w:sz w:val="24"/>
          <w:szCs w:val="24"/>
          <w:lang w:val="en-GB" w:eastAsia="en-GB"/>
        </w:rPr>
      </w:pPr>
      <w:bookmarkStart w:id="9" w:name="_Toc160788957"/>
      <w:r w:rsidRPr="0044124A">
        <w:rPr>
          <w:rFonts w:ascii="Arial" w:eastAsia="Times New Roman" w:hAnsi="Arial" w:cs="Arial"/>
          <w:b/>
          <w:bCs/>
          <w:kern w:val="36"/>
          <w:sz w:val="24"/>
          <w:szCs w:val="24"/>
          <w:lang w:val="en-GB" w:eastAsia="en-GB"/>
        </w:rPr>
        <w:t>Reference list</w:t>
      </w:r>
      <w:bookmarkEnd w:id="9"/>
    </w:p>
    <w:p w14:paraId="1730C51A" w14:textId="30981771"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Batterton, M. (2016). </w:t>
      </w:r>
      <w:r w:rsidRPr="0044124A">
        <w:rPr>
          <w:rFonts w:ascii="Arial" w:eastAsia="Times New Roman" w:hAnsi="Arial" w:cs="Arial"/>
          <w:i/>
          <w:iCs/>
          <w:sz w:val="24"/>
          <w:szCs w:val="24"/>
          <w:lang w:val="en-GB" w:eastAsia="en-GB"/>
        </w:rPr>
        <w:t>Milton Sandford Wines</w:t>
      </w:r>
      <w:r w:rsidRPr="0044124A">
        <w:rPr>
          <w:rFonts w:ascii="Arial" w:eastAsia="Times New Roman" w:hAnsi="Arial" w:cs="Arial"/>
          <w:sz w:val="24"/>
          <w:szCs w:val="24"/>
          <w:lang w:val="en-GB" w:eastAsia="en-GB"/>
        </w:rPr>
        <w:t xml:space="preserve">. [online] www.miltonsandfordwines.com. Available at: </w:t>
      </w:r>
      <w:hyperlink r:id="rId8" w:history="1">
        <w:r w:rsidR="00607368" w:rsidRPr="00451E55">
          <w:rPr>
            <w:rStyle w:val="Hyperlink"/>
            <w:rFonts w:ascii="Arial" w:eastAsia="Times New Roman" w:hAnsi="Arial" w:cs="Arial"/>
            <w:sz w:val="24"/>
            <w:szCs w:val="24"/>
            <w:lang w:val="en-GB" w:eastAsia="en-GB"/>
          </w:rPr>
          <w:t>https://www.miltonsandfordwines.com/</w:t>
        </w:r>
      </w:hyperlink>
      <w:r w:rsidRPr="0044124A">
        <w:rPr>
          <w:rFonts w:ascii="Arial" w:eastAsia="Times New Roman" w:hAnsi="Arial" w:cs="Arial"/>
          <w:sz w:val="24"/>
          <w:szCs w:val="24"/>
          <w:lang w:val="en-GB" w:eastAsia="en-GB"/>
        </w:rPr>
        <w:t>.</w:t>
      </w:r>
      <w:r w:rsidR="00607368">
        <w:rPr>
          <w:rFonts w:ascii="Arial" w:eastAsia="Times New Roman" w:hAnsi="Arial" w:cs="Arial"/>
          <w:sz w:val="24"/>
          <w:szCs w:val="24"/>
          <w:lang w:val="en-GB" w:eastAsia="en-GB"/>
        </w:rPr>
        <w:t xml:space="preserve"> [Accessed on 02 March 2024]</w:t>
      </w:r>
    </w:p>
    <w:p w14:paraId="450639A8"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Birkinshaw, J.M. (2020). </w:t>
      </w:r>
      <w:r w:rsidRPr="0044124A">
        <w:rPr>
          <w:rFonts w:ascii="Arial" w:eastAsia="Times New Roman" w:hAnsi="Arial" w:cs="Arial"/>
          <w:i/>
          <w:iCs/>
          <w:sz w:val="24"/>
          <w:szCs w:val="24"/>
          <w:lang w:val="en-GB" w:eastAsia="en-GB"/>
        </w:rPr>
        <w:t>Strategic management</w:t>
      </w:r>
      <w:r w:rsidRPr="0044124A">
        <w:rPr>
          <w:rFonts w:ascii="Arial" w:eastAsia="Times New Roman" w:hAnsi="Arial" w:cs="Arial"/>
          <w:sz w:val="24"/>
          <w:szCs w:val="24"/>
          <w:lang w:val="en-GB" w:eastAsia="en-GB"/>
        </w:rPr>
        <w:t>. Northampton, Ma: Edward Elgar Pub.</w:t>
      </w:r>
    </w:p>
    <w:p w14:paraId="1ADEB940" w14:textId="12CF67E1"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Davis, J. (2022). </w:t>
      </w:r>
      <w:r w:rsidRPr="0044124A">
        <w:rPr>
          <w:rFonts w:ascii="Arial" w:eastAsia="Times New Roman" w:hAnsi="Arial" w:cs="Arial"/>
          <w:i/>
          <w:iCs/>
          <w:sz w:val="24"/>
          <w:szCs w:val="24"/>
          <w:lang w:val="en-GB" w:eastAsia="en-GB"/>
        </w:rPr>
        <w:t>Waterloo Sunrise: London from the Sixties to Thatcher</w:t>
      </w:r>
      <w:r w:rsidRPr="0044124A">
        <w:rPr>
          <w:rFonts w:ascii="Arial" w:eastAsia="Times New Roman" w:hAnsi="Arial" w:cs="Arial"/>
          <w:sz w:val="24"/>
          <w:szCs w:val="24"/>
          <w:lang w:val="en-GB" w:eastAsia="en-GB"/>
        </w:rPr>
        <w:t xml:space="preserve">. [online] </w:t>
      </w:r>
      <w:r w:rsidRPr="0044124A">
        <w:rPr>
          <w:rFonts w:ascii="Arial" w:eastAsia="Times New Roman" w:hAnsi="Arial" w:cs="Arial"/>
          <w:i/>
          <w:iCs/>
          <w:sz w:val="24"/>
          <w:szCs w:val="24"/>
          <w:lang w:val="en-GB" w:eastAsia="en-GB"/>
        </w:rPr>
        <w:t>Google Books</w:t>
      </w:r>
      <w:r w:rsidRPr="0044124A">
        <w:rPr>
          <w:rFonts w:ascii="Arial" w:eastAsia="Times New Roman" w:hAnsi="Arial" w:cs="Arial"/>
          <w:sz w:val="24"/>
          <w:szCs w:val="24"/>
          <w:lang w:val="en-GB" w:eastAsia="en-GB"/>
        </w:rPr>
        <w:t xml:space="preserve">. Princeton University Press. Available at: https://books.google.co.uk/books?hl=en&amp;lr=&amp;id=3SlHEAAAQBAJ&amp;oi=fnd&amp;pg=PR7&amp;dq=Through+a+careful+process+of+strategic+management [Accessed </w:t>
      </w:r>
      <w:r w:rsidRPr="00E7081E">
        <w:rPr>
          <w:rFonts w:ascii="Arial" w:eastAsia="Times New Roman" w:hAnsi="Arial" w:cs="Arial"/>
          <w:sz w:val="24"/>
          <w:szCs w:val="24"/>
          <w:lang w:val="en-GB" w:eastAsia="en-GB"/>
        </w:rPr>
        <w:t>3</w:t>
      </w:r>
      <w:r w:rsidRPr="0044124A">
        <w:rPr>
          <w:rFonts w:ascii="Arial" w:eastAsia="Times New Roman" w:hAnsi="Arial" w:cs="Arial"/>
          <w:sz w:val="24"/>
          <w:szCs w:val="24"/>
          <w:lang w:val="en-GB" w:eastAsia="en-GB"/>
        </w:rPr>
        <w:t xml:space="preserve"> Mar. 2024].</w:t>
      </w:r>
    </w:p>
    <w:p w14:paraId="6D759035"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lastRenderedPageBreak/>
        <w:t xml:space="preserve">Godet, M. (2022). Effective strategic management the prospective approach. </w:t>
      </w:r>
      <w:r w:rsidRPr="0044124A">
        <w:rPr>
          <w:rFonts w:ascii="Arial" w:eastAsia="Times New Roman" w:hAnsi="Arial" w:cs="Arial"/>
          <w:i/>
          <w:iCs/>
          <w:sz w:val="24"/>
          <w:szCs w:val="24"/>
          <w:lang w:val="en-GB" w:eastAsia="en-GB"/>
        </w:rPr>
        <w:t>Technology Analysis &amp; Strategic Management</w:t>
      </w:r>
      <w:r w:rsidRPr="0044124A">
        <w:rPr>
          <w:rFonts w:ascii="Arial" w:eastAsia="Times New Roman" w:hAnsi="Arial" w:cs="Arial"/>
          <w:sz w:val="24"/>
          <w:szCs w:val="24"/>
          <w:lang w:val="en-GB" w:eastAsia="en-GB"/>
        </w:rPr>
        <w:t>, 1(1), pp.45–56.</w:t>
      </w:r>
    </w:p>
    <w:p w14:paraId="522A37CA"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proofErr w:type="spellStart"/>
      <w:r w:rsidRPr="0044124A">
        <w:rPr>
          <w:rFonts w:ascii="Arial" w:eastAsia="Times New Roman" w:hAnsi="Arial" w:cs="Arial"/>
          <w:sz w:val="24"/>
          <w:szCs w:val="24"/>
          <w:lang w:val="en-GB" w:eastAsia="en-GB"/>
        </w:rPr>
        <w:t>Kabirifar</w:t>
      </w:r>
      <w:proofErr w:type="spellEnd"/>
      <w:r w:rsidRPr="0044124A">
        <w:rPr>
          <w:rFonts w:ascii="Arial" w:eastAsia="Times New Roman" w:hAnsi="Arial" w:cs="Arial"/>
          <w:sz w:val="24"/>
          <w:szCs w:val="24"/>
          <w:lang w:val="en-GB" w:eastAsia="en-GB"/>
        </w:rPr>
        <w:t xml:space="preserve">, K., </w:t>
      </w:r>
      <w:proofErr w:type="spellStart"/>
      <w:r w:rsidRPr="0044124A">
        <w:rPr>
          <w:rFonts w:ascii="Arial" w:eastAsia="Times New Roman" w:hAnsi="Arial" w:cs="Arial"/>
          <w:sz w:val="24"/>
          <w:szCs w:val="24"/>
          <w:lang w:val="en-GB" w:eastAsia="en-GB"/>
        </w:rPr>
        <w:t>Mojtahedi</w:t>
      </w:r>
      <w:proofErr w:type="spellEnd"/>
      <w:r w:rsidRPr="0044124A">
        <w:rPr>
          <w:rFonts w:ascii="Arial" w:eastAsia="Times New Roman" w:hAnsi="Arial" w:cs="Arial"/>
          <w:sz w:val="24"/>
          <w:szCs w:val="24"/>
          <w:lang w:val="en-GB" w:eastAsia="en-GB"/>
        </w:rPr>
        <w:t xml:space="preserve">, M., Wang, </w:t>
      </w:r>
      <w:proofErr w:type="gramStart"/>
      <w:r w:rsidRPr="0044124A">
        <w:rPr>
          <w:rFonts w:ascii="Arial" w:eastAsia="Times New Roman" w:hAnsi="Arial" w:cs="Arial"/>
          <w:sz w:val="24"/>
          <w:szCs w:val="24"/>
          <w:lang w:val="en-GB" w:eastAsia="en-GB"/>
        </w:rPr>
        <w:t>C.</w:t>
      </w:r>
      <w:proofErr w:type="gramEnd"/>
      <w:r w:rsidRPr="0044124A">
        <w:rPr>
          <w:rFonts w:ascii="Arial" w:eastAsia="Times New Roman" w:hAnsi="Arial" w:cs="Arial"/>
          <w:sz w:val="24"/>
          <w:szCs w:val="24"/>
          <w:lang w:val="en-GB" w:eastAsia="en-GB"/>
        </w:rPr>
        <w:t xml:space="preserve"> and Tam, V.W.Y. (2020). Construction and Demolition Waste Management Contributing Factors Coupled with reduce, reuse, and Recycle Strategies for Effective Waste management: a Review. </w:t>
      </w:r>
      <w:r w:rsidRPr="0044124A">
        <w:rPr>
          <w:rFonts w:ascii="Arial" w:eastAsia="Times New Roman" w:hAnsi="Arial" w:cs="Arial"/>
          <w:i/>
          <w:iCs/>
          <w:sz w:val="24"/>
          <w:szCs w:val="24"/>
          <w:lang w:val="en-GB" w:eastAsia="en-GB"/>
        </w:rPr>
        <w:t>Journal of Cleaner Production</w:t>
      </w:r>
      <w:r w:rsidRPr="0044124A">
        <w:rPr>
          <w:rFonts w:ascii="Arial" w:eastAsia="Times New Roman" w:hAnsi="Arial" w:cs="Arial"/>
          <w:sz w:val="24"/>
          <w:szCs w:val="24"/>
          <w:lang w:val="en-GB" w:eastAsia="en-GB"/>
        </w:rPr>
        <w:t xml:space="preserve">, 263(1), p.121265. </w:t>
      </w:r>
      <w:proofErr w:type="spellStart"/>
      <w:proofErr w:type="gramStart"/>
      <w:r w:rsidRPr="0044124A">
        <w:rPr>
          <w:rFonts w:ascii="Arial" w:eastAsia="Times New Roman" w:hAnsi="Arial" w:cs="Arial"/>
          <w:sz w:val="24"/>
          <w:szCs w:val="24"/>
          <w:lang w:val="en-GB" w:eastAsia="en-GB"/>
        </w:rPr>
        <w:t>doi:https</w:t>
      </w:r>
      <w:proofErr w:type="spellEnd"/>
      <w:r w:rsidRPr="0044124A">
        <w:rPr>
          <w:rFonts w:ascii="Arial" w:eastAsia="Times New Roman" w:hAnsi="Arial" w:cs="Arial"/>
          <w:sz w:val="24"/>
          <w:szCs w:val="24"/>
          <w:lang w:val="en-GB" w:eastAsia="en-GB"/>
        </w:rPr>
        <w:t>://doi.org/10.1016/j.jclepro.2020.121265</w:t>
      </w:r>
      <w:proofErr w:type="gramEnd"/>
      <w:r w:rsidRPr="0044124A">
        <w:rPr>
          <w:rFonts w:ascii="Arial" w:eastAsia="Times New Roman" w:hAnsi="Arial" w:cs="Arial"/>
          <w:sz w:val="24"/>
          <w:szCs w:val="24"/>
          <w:lang w:val="en-GB" w:eastAsia="en-GB"/>
        </w:rPr>
        <w:t>.</w:t>
      </w:r>
    </w:p>
    <w:p w14:paraId="38AB2802"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Kotler, P. and Armstrong, G. (2018). </w:t>
      </w:r>
      <w:r w:rsidRPr="0044124A">
        <w:rPr>
          <w:rFonts w:ascii="Arial" w:eastAsia="Times New Roman" w:hAnsi="Arial" w:cs="Arial"/>
          <w:i/>
          <w:iCs/>
          <w:sz w:val="24"/>
          <w:szCs w:val="24"/>
          <w:lang w:val="en-GB" w:eastAsia="en-GB"/>
        </w:rPr>
        <w:t>Principles of Marketing</w:t>
      </w:r>
      <w:r w:rsidRPr="0044124A">
        <w:rPr>
          <w:rFonts w:ascii="Arial" w:eastAsia="Times New Roman" w:hAnsi="Arial" w:cs="Arial"/>
          <w:sz w:val="24"/>
          <w:szCs w:val="24"/>
          <w:lang w:val="en-GB" w:eastAsia="en-GB"/>
        </w:rPr>
        <w:t>. 17th ed. Harlow: Pearson Education Limited.</w:t>
      </w:r>
    </w:p>
    <w:p w14:paraId="192AB696"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M. Sebnem </w:t>
      </w:r>
      <w:proofErr w:type="spellStart"/>
      <w:r w:rsidRPr="0044124A">
        <w:rPr>
          <w:rFonts w:ascii="Arial" w:eastAsia="Times New Roman" w:hAnsi="Arial" w:cs="Arial"/>
          <w:sz w:val="24"/>
          <w:szCs w:val="24"/>
          <w:lang w:val="en-GB" w:eastAsia="en-GB"/>
        </w:rPr>
        <w:t>Ensari</w:t>
      </w:r>
      <w:proofErr w:type="spellEnd"/>
      <w:r w:rsidRPr="0044124A">
        <w:rPr>
          <w:rFonts w:ascii="Arial" w:eastAsia="Times New Roman" w:hAnsi="Arial" w:cs="Arial"/>
          <w:sz w:val="24"/>
          <w:szCs w:val="24"/>
          <w:lang w:val="en-GB" w:eastAsia="en-GB"/>
        </w:rPr>
        <w:t xml:space="preserve"> and Meltem </w:t>
      </w:r>
      <w:proofErr w:type="spellStart"/>
      <w:r w:rsidRPr="0044124A">
        <w:rPr>
          <w:rFonts w:ascii="Arial" w:eastAsia="Times New Roman" w:hAnsi="Arial" w:cs="Arial"/>
          <w:sz w:val="24"/>
          <w:szCs w:val="24"/>
          <w:lang w:val="en-GB" w:eastAsia="en-GB"/>
        </w:rPr>
        <w:t>Kiygi</w:t>
      </w:r>
      <w:proofErr w:type="spellEnd"/>
      <w:r w:rsidRPr="0044124A">
        <w:rPr>
          <w:rFonts w:ascii="Arial" w:eastAsia="Times New Roman" w:hAnsi="Arial" w:cs="Arial"/>
          <w:sz w:val="24"/>
          <w:szCs w:val="24"/>
          <w:lang w:val="en-GB" w:eastAsia="en-GB"/>
        </w:rPr>
        <w:t xml:space="preserve">-Calli (2017). </w:t>
      </w:r>
      <w:r w:rsidRPr="0044124A">
        <w:rPr>
          <w:rFonts w:ascii="Arial" w:eastAsia="Times New Roman" w:hAnsi="Arial" w:cs="Arial"/>
          <w:i/>
          <w:iCs/>
          <w:sz w:val="24"/>
          <w:szCs w:val="24"/>
          <w:lang w:val="en-GB" w:eastAsia="en-GB"/>
        </w:rPr>
        <w:t>How Small and Medium-sized Enterprises (SMEs) can be competitive</w:t>
      </w:r>
      <w:r w:rsidRPr="0044124A">
        <w:rPr>
          <w:rFonts w:ascii="Arial" w:eastAsia="Times New Roman" w:hAnsi="Arial" w:cs="Arial"/>
          <w:sz w:val="24"/>
          <w:szCs w:val="24"/>
          <w:lang w:val="en-GB" w:eastAsia="en-GB"/>
        </w:rPr>
        <w:t>. LIT Verlag Münster.</w:t>
      </w:r>
    </w:p>
    <w:p w14:paraId="16AB5483"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Rothaermel, F. (2021). </w:t>
      </w:r>
      <w:r w:rsidRPr="0044124A">
        <w:rPr>
          <w:rFonts w:ascii="Arial" w:eastAsia="Times New Roman" w:hAnsi="Arial" w:cs="Arial"/>
          <w:i/>
          <w:iCs/>
          <w:sz w:val="24"/>
          <w:szCs w:val="24"/>
          <w:lang w:val="en-GB" w:eastAsia="en-GB"/>
        </w:rPr>
        <w:t>Strategic management</w:t>
      </w:r>
      <w:r w:rsidRPr="0044124A">
        <w:rPr>
          <w:rFonts w:ascii="Arial" w:eastAsia="Times New Roman" w:hAnsi="Arial" w:cs="Arial"/>
          <w:sz w:val="24"/>
          <w:szCs w:val="24"/>
          <w:lang w:val="en-GB" w:eastAsia="en-GB"/>
        </w:rPr>
        <w:t xml:space="preserve">. 5th ed. New York, New York: </w:t>
      </w:r>
      <w:proofErr w:type="spellStart"/>
      <w:r w:rsidRPr="0044124A">
        <w:rPr>
          <w:rFonts w:ascii="Arial" w:eastAsia="Times New Roman" w:hAnsi="Arial" w:cs="Arial"/>
          <w:sz w:val="24"/>
          <w:szCs w:val="24"/>
          <w:lang w:val="en-GB" w:eastAsia="en-GB"/>
        </w:rPr>
        <w:t>Mcgraw-Hill</w:t>
      </w:r>
      <w:proofErr w:type="spellEnd"/>
      <w:r w:rsidRPr="0044124A">
        <w:rPr>
          <w:rFonts w:ascii="Arial" w:eastAsia="Times New Roman" w:hAnsi="Arial" w:cs="Arial"/>
          <w:sz w:val="24"/>
          <w:szCs w:val="24"/>
          <w:lang w:val="en-GB" w:eastAsia="en-GB"/>
        </w:rPr>
        <w:t xml:space="preserve"> Education.</w:t>
      </w:r>
    </w:p>
    <w:p w14:paraId="45D5EC06" w14:textId="6674DEC2"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Sam, S. (2023). </w:t>
      </w:r>
      <w:r w:rsidRPr="0044124A">
        <w:rPr>
          <w:rFonts w:ascii="Arial" w:eastAsia="Times New Roman" w:hAnsi="Arial" w:cs="Arial"/>
          <w:i/>
          <w:iCs/>
          <w:sz w:val="24"/>
          <w:szCs w:val="24"/>
          <w:lang w:val="en-GB" w:eastAsia="en-GB"/>
        </w:rPr>
        <w:t>Implementation of Corruption Mitigation Strategies by Public Implementation of Corruption Mitigation Strategies by Public Sector Leadership in Sierra Leone Sector Leadership in Sierra Leone</w:t>
      </w:r>
      <w:r w:rsidRPr="0044124A">
        <w:rPr>
          <w:rFonts w:ascii="Arial" w:eastAsia="Times New Roman" w:hAnsi="Arial" w:cs="Arial"/>
          <w:sz w:val="24"/>
          <w:szCs w:val="24"/>
          <w:lang w:val="en-GB" w:eastAsia="en-GB"/>
        </w:rPr>
        <w:t xml:space="preserve">. [online] Available at: https://scholarworks.waldenu.edu/cgi/viewcontent.cgi?article=16176&amp;context=dissertations [Accessed </w:t>
      </w:r>
      <w:r w:rsidRPr="00E7081E">
        <w:rPr>
          <w:rFonts w:ascii="Arial" w:eastAsia="Times New Roman" w:hAnsi="Arial" w:cs="Arial"/>
          <w:sz w:val="24"/>
          <w:szCs w:val="24"/>
          <w:lang w:val="en-GB" w:eastAsia="en-GB"/>
        </w:rPr>
        <w:t>2</w:t>
      </w:r>
      <w:r w:rsidRPr="0044124A">
        <w:rPr>
          <w:rFonts w:ascii="Arial" w:eastAsia="Times New Roman" w:hAnsi="Arial" w:cs="Arial"/>
          <w:sz w:val="24"/>
          <w:szCs w:val="24"/>
          <w:lang w:val="en-GB" w:eastAsia="en-GB"/>
        </w:rPr>
        <w:t xml:space="preserve"> Mar. 2024].</w:t>
      </w:r>
    </w:p>
    <w:p w14:paraId="3ACC7221" w14:textId="77777777" w:rsidR="0044124A" w:rsidRP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SHARFSTEIN, J.M. (2016). Banishing ‘Stakeholders’. </w:t>
      </w:r>
      <w:r w:rsidRPr="0044124A">
        <w:rPr>
          <w:rFonts w:ascii="Arial" w:eastAsia="Times New Roman" w:hAnsi="Arial" w:cs="Arial"/>
          <w:i/>
          <w:iCs/>
          <w:sz w:val="24"/>
          <w:szCs w:val="24"/>
          <w:lang w:val="en-GB" w:eastAsia="en-GB"/>
        </w:rPr>
        <w:t>The Milbank Quarterly</w:t>
      </w:r>
      <w:r w:rsidRPr="0044124A">
        <w:rPr>
          <w:rFonts w:ascii="Arial" w:eastAsia="Times New Roman" w:hAnsi="Arial" w:cs="Arial"/>
          <w:sz w:val="24"/>
          <w:szCs w:val="24"/>
          <w:lang w:val="en-GB" w:eastAsia="en-GB"/>
        </w:rPr>
        <w:t xml:space="preserve">, 94(3), pp.476–479. </w:t>
      </w:r>
      <w:proofErr w:type="spellStart"/>
      <w:proofErr w:type="gramStart"/>
      <w:r w:rsidRPr="0044124A">
        <w:rPr>
          <w:rFonts w:ascii="Arial" w:eastAsia="Times New Roman" w:hAnsi="Arial" w:cs="Arial"/>
          <w:sz w:val="24"/>
          <w:szCs w:val="24"/>
          <w:lang w:val="en-GB" w:eastAsia="en-GB"/>
        </w:rPr>
        <w:t>doi:https</w:t>
      </w:r>
      <w:proofErr w:type="spellEnd"/>
      <w:r w:rsidRPr="0044124A">
        <w:rPr>
          <w:rFonts w:ascii="Arial" w:eastAsia="Times New Roman" w:hAnsi="Arial" w:cs="Arial"/>
          <w:sz w:val="24"/>
          <w:szCs w:val="24"/>
          <w:lang w:val="en-GB" w:eastAsia="en-GB"/>
        </w:rPr>
        <w:t>://doi.org/10.1111/1468-0009.12208</w:t>
      </w:r>
      <w:proofErr w:type="gramEnd"/>
      <w:r w:rsidRPr="0044124A">
        <w:rPr>
          <w:rFonts w:ascii="Arial" w:eastAsia="Times New Roman" w:hAnsi="Arial" w:cs="Arial"/>
          <w:sz w:val="24"/>
          <w:szCs w:val="24"/>
          <w:lang w:val="en-GB" w:eastAsia="en-GB"/>
        </w:rPr>
        <w:t>.</w:t>
      </w:r>
    </w:p>
    <w:p w14:paraId="50432E8F" w14:textId="77777777" w:rsidR="0044124A" w:rsidRDefault="0044124A" w:rsidP="00E7081E">
      <w:pPr>
        <w:spacing w:after="240" w:line="360" w:lineRule="auto"/>
        <w:jc w:val="both"/>
        <w:rPr>
          <w:rFonts w:ascii="Arial" w:eastAsia="Times New Roman" w:hAnsi="Arial" w:cs="Arial"/>
          <w:sz w:val="24"/>
          <w:szCs w:val="24"/>
          <w:lang w:val="en-GB" w:eastAsia="en-GB"/>
        </w:rPr>
      </w:pPr>
      <w:r w:rsidRPr="0044124A">
        <w:rPr>
          <w:rFonts w:ascii="Arial" w:eastAsia="Times New Roman" w:hAnsi="Arial" w:cs="Arial"/>
          <w:sz w:val="24"/>
          <w:szCs w:val="24"/>
          <w:lang w:val="en-GB" w:eastAsia="en-GB"/>
        </w:rPr>
        <w:t xml:space="preserve">Yathiraju, N. (2022). Investigating the use of an Artificial Intelligence Model in an ERP Cloud-Based System. </w:t>
      </w:r>
      <w:r w:rsidRPr="0044124A">
        <w:rPr>
          <w:rFonts w:ascii="Arial" w:eastAsia="Times New Roman" w:hAnsi="Arial" w:cs="Arial"/>
          <w:i/>
          <w:iCs/>
          <w:sz w:val="24"/>
          <w:szCs w:val="24"/>
          <w:lang w:val="en-GB" w:eastAsia="en-GB"/>
        </w:rPr>
        <w:t>International Journal of Electrical, Electronics and Computers</w:t>
      </w:r>
      <w:r w:rsidRPr="0044124A">
        <w:rPr>
          <w:rFonts w:ascii="Arial" w:eastAsia="Times New Roman" w:hAnsi="Arial" w:cs="Arial"/>
          <w:sz w:val="24"/>
          <w:szCs w:val="24"/>
          <w:lang w:val="en-GB" w:eastAsia="en-GB"/>
        </w:rPr>
        <w:t xml:space="preserve">, [online] 7(2), pp.01-26. </w:t>
      </w:r>
      <w:proofErr w:type="spellStart"/>
      <w:proofErr w:type="gramStart"/>
      <w:r w:rsidRPr="0044124A">
        <w:rPr>
          <w:rFonts w:ascii="Arial" w:eastAsia="Times New Roman" w:hAnsi="Arial" w:cs="Arial"/>
          <w:sz w:val="24"/>
          <w:szCs w:val="24"/>
          <w:lang w:val="en-GB" w:eastAsia="en-GB"/>
        </w:rPr>
        <w:t>doi:https</w:t>
      </w:r>
      <w:proofErr w:type="spellEnd"/>
      <w:r w:rsidRPr="0044124A">
        <w:rPr>
          <w:rFonts w:ascii="Arial" w:eastAsia="Times New Roman" w:hAnsi="Arial" w:cs="Arial"/>
          <w:sz w:val="24"/>
          <w:szCs w:val="24"/>
          <w:lang w:val="en-GB" w:eastAsia="en-GB"/>
        </w:rPr>
        <w:t>://doi.org/10.22161/eec.72.1</w:t>
      </w:r>
      <w:proofErr w:type="gramEnd"/>
      <w:r w:rsidRPr="0044124A">
        <w:rPr>
          <w:rFonts w:ascii="Arial" w:eastAsia="Times New Roman" w:hAnsi="Arial" w:cs="Arial"/>
          <w:sz w:val="24"/>
          <w:szCs w:val="24"/>
          <w:lang w:val="en-GB" w:eastAsia="en-GB"/>
        </w:rPr>
        <w:t>.</w:t>
      </w:r>
    </w:p>
    <w:p w14:paraId="70DE2769" w14:textId="72542780" w:rsidR="008A0730" w:rsidRDefault="008A0730" w:rsidP="008A0730">
      <w:pPr>
        <w:pStyle w:val="Heading2"/>
        <w:rPr>
          <w:lang w:val="en-GB" w:eastAsia="en-GB"/>
        </w:rPr>
      </w:pPr>
      <w:bookmarkStart w:id="10" w:name="_Toc160788958"/>
      <w:r>
        <w:rPr>
          <w:lang w:val="en-GB" w:eastAsia="en-GB"/>
        </w:rPr>
        <w:lastRenderedPageBreak/>
        <w:t>Part 2 Presentation</w:t>
      </w:r>
      <w:bookmarkEnd w:id="10"/>
    </w:p>
    <w:p w14:paraId="3427E964" w14:textId="4935036C" w:rsidR="00785F17" w:rsidRDefault="00785F17" w:rsidP="00785F17">
      <w:pPr>
        <w:rPr>
          <w:lang w:val="en-GB" w:eastAsia="en-GB"/>
        </w:rPr>
      </w:pPr>
      <w:r>
        <w:rPr>
          <w:noProof/>
        </w:rPr>
        <w:drawing>
          <wp:inline distT="0" distB="0" distL="0" distR="0" wp14:anchorId="11D11789" wp14:editId="0341F8FB">
            <wp:extent cx="5486400" cy="3086100"/>
            <wp:effectExtent l="0" t="0" r="0" b="0"/>
            <wp:docPr id="13438534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5348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86400" cy="3086100"/>
                    </a:xfrm>
                    <a:prstGeom prst="rect">
                      <a:avLst/>
                    </a:prstGeom>
                  </pic:spPr>
                </pic:pic>
              </a:graphicData>
            </a:graphic>
          </wp:inline>
        </w:drawing>
      </w:r>
    </w:p>
    <w:p w14:paraId="41B4D01A" w14:textId="41C71534" w:rsidR="00785F17" w:rsidRDefault="00785F17" w:rsidP="00785F17">
      <w:pPr>
        <w:rPr>
          <w:lang w:val="en-GB" w:eastAsia="en-GB"/>
        </w:rPr>
      </w:pPr>
      <w:r>
        <w:rPr>
          <w:noProof/>
          <w:lang w:val="en-GB" w:eastAsia="en-GB"/>
        </w:rPr>
        <w:drawing>
          <wp:inline distT="0" distB="0" distL="0" distR="0" wp14:anchorId="1AA59162" wp14:editId="673A471D">
            <wp:extent cx="6096635" cy="3429000"/>
            <wp:effectExtent l="0" t="0" r="0" b="0"/>
            <wp:docPr id="1732833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5FCB63" w14:textId="77777777" w:rsidR="00785F17" w:rsidRPr="00785F17" w:rsidRDefault="00785F17" w:rsidP="00785F17">
      <w:pPr>
        <w:rPr>
          <w:lang w:val="en-GB" w:eastAsia="en-GB"/>
        </w:rPr>
      </w:pPr>
    </w:p>
    <w:p w14:paraId="2C35CE09" w14:textId="73AA76DD" w:rsidR="00B50C08" w:rsidRDefault="00D149FF" w:rsidP="00E7081E">
      <w:pPr>
        <w:spacing w:line="360" w:lineRule="auto"/>
        <w:jc w:val="both"/>
        <w:rPr>
          <w:rFonts w:ascii="Arial" w:hAnsi="Arial" w:cs="Arial"/>
          <w:sz w:val="24"/>
          <w:szCs w:val="24"/>
          <w:lang w:val="en-GB"/>
        </w:rPr>
      </w:pPr>
      <w:r>
        <w:rPr>
          <w:rFonts w:ascii="Arial" w:hAnsi="Arial" w:cs="Arial"/>
          <w:noProof/>
          <w:sz w:val="24"/>
          <w:szCs w:val="24"/>
          <w:lang w:val="en-GB"/>
        </w:rPr>
        <w:lastRenderedPageBreak/>
        <w:drawing>
          <wp:inline distT="0" distB="0" distL="0" distR="0" wp14:anchorId="5DA1B9A1" wp14:editId="3B2ACA95">
            <wp:extent cx="6096635" cy="3429000"/>
            <wp:effectExtent l="0" t="0" r="0" b="0"/>
            <wp:docPr id="1192446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89B776" w14:textId="7F5E13AF" w:rsidR="00D149FF" w:rsidRDefault="00D149FF" w:rsidP="00E7081E">
      <w:pPr>
        <w:spacing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4853BABA" wp14:editId="0B70BF0D">
            <wp:extent cx="6096635" cy="3429000"/>
            <wp:effectExtent l="0" t="0" r="0" b="0"/>
            <wp:docPr id="5772767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FDDDBA" w14:textId="16D92609" w:rsidR="00D149FF" w:rsidRDefault="00624B0F" w:rsidP="00E7081E">
      <w:pPr>
        <w:spacing w:line="360" w:lineRule="auto"/>
        <w:jc w:val="both"/>
        <w:rPr>
          <w:rFonts w:ascii="Arial" w:hAnsi="Arial" w:cs="Arial"/>
          <w:sz w:val="24"/>
          <w:szCs w:val="24"/>
          <w:lang w:val="en-GB"/>
        </w:rPr>
      </w:pPr>
      <w:r>
        <w:rPr>
          <w:rFonts w:ascii="Arial" w:hAnsi="Arial" w:cs="Arial"/>
          <w:noProof/>
          <w:sz w:val="24"/>
          <w:szCs w:val="24"/>
          <w:lang w:val="en-GB"/>
        </w:rPr>
        <w:lastRenderedPageBreak/>
        <w:drawing>
          <wp:inline distT="0" distB="0" distL="0" distR="0" wp14:anchorId="231E7A9F" wp14:editId="22B863CB">
            <wp:extent cx="6096635" cy="3429000"/>
            <wp:effectExtent l="0" t="0" r="0" b="0"/>
            <wp:docPr id="1578899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6A84D80" w14:textId="6C34827E" w:rsidR="00624B0F" w:rsidRDefault="00624B0F" w:rsidP="00E7081E">
      <w:pPr>
        <w:spacing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6B7B61A8" wp14:editId="15E0CD66">
            <wp:extent cx="6096635" cy="3429000"/>
            <wp:effectExtent l="0" t="0" r="0" b="0"/>
            <wp:docPr id="18380065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8B2DA34" w14:textId="0A06EE3C" w:rsidR="00624B0F" w:rsidRDefault="00C04A8E" w:rsidP="00E7081E">
      <w:pPr>
        <w:spacing w:line="360" w:lineRule="auto"/>
        <w:jc w:val="both"/>
        <w:rPr>
          <w:rFonts w:ascii="Arial" w:hAnsi="Arial" w:cs="Arial"/>
          <w:sz w:val="24"/>
          <w:szCs w:val="24"/>
          <w:lang w:val="en-GB"/>
        </w:rPr>
      </w:pPr>
      <w:r>
        <w:rPr>
          <w:rFonts w:ascii="Arial" w:hAnsi="Arial" w:cs="Arial"/>
          <w:noProof/>
          <w:sz w:val="24"/>
          <w:szCs w:val="24"/>
          <w:lang w:val="en-GB"/>
        </w:rPr>
        <w:lastRenderedPageBreak/>
        <w:drawing>
          <wp:inline distT="0" distB="0" distL="0" distR="0" wp14:anchorId="39BDFD1E" wp14:editId="74B6206D">
            <wp:extent cx="6096635" cy="3429000"/>
            <wp:effectExtent l="0" t="0" r="0" b="0"/>
            <wp:docPr id="14002999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BC05FE8" w14:textId="4D72FCF8" w:rsidR="00C04A8E" w:rsidRDefault="00C04A8E" w:rsidP="00E7081E">
      <w:pPr>
        <w:spacing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054661FF" wp14:editId="331F28F5">
            <wp:extent cx="6096635" cy="3429000"/>
            <wp:effectExtent l="0" t="0" r="0" b="0"/>
            <wp:docPr id="4636927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4FF1005" w14:textId="477699D5" w:rsidR="005549F9" w:rsidRPr="00E7081E" w:rsidRDefault="005549F9" w:rsidP="00E7081E">
      <w:pPr>
        <w:spacing w:line="360" w:lineRule="auto"/>
        <w:jc w:val="both"/>
        <w:rPr>
          <w:rFonts w:ascii="Arial" w:hAnsi="Arial" w:cs="Arial"/>
          <w:sz w:val="24"/>
          <w:szCs w:val="24"/>
          <w:lang w:val="en-GB"/>
        </w:rPr>
      </w:pPr>
      <w:r>
        <w:rPr>
          <w:rFonts w:ascii="Arial" w:hAnsi="Arial" w:cs="Arial"/>
          <w:noProof/>
          <w:sz w:val="24"/>
          <w:szCs w:val="24"/>
          <w:lang w:val="en-GB"/>
        </w:rPr>
        <w:lastRenderedPageBreak/>
        <w:drawing>
          <wp:inline distT="0" distB="0" distL="0" distR="0" wp14:anchorId="540CF1BC" wp14:editId="5FF14F28">
            <wp:extent cx="6096635" cy="3429000"/>
            <wp:effectExtent l="0" t="0" r="0" b="0"/>
            <wp:docPr id="1753442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5549F9" w:rsidRPr="00E7081E" w:rsidSect="001A41AA">
      <w:footerReference w:type="defaul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E2D22" w14:textId="77777777" w:rsidR="001A41AA" w:rsidRDefault="001A41AA" w:rsidP="007538F8">
      <w:pPr>
        <w:spacing w:after="0" w:line="240" w:lineRule="auto"/>
      </w:pPr>
      <w:r>
        <w:separator/>
      </w:r>
    </w:p>
  </w:endnote>
  <w:endnote w:type="continuationSeparator" w:id="0">
    <w:p w14:paraId="54201AC3" w14:textId="77777777" w:rsidR="001A41AA" w:rsidRDefault="001A41AA" w:rsidP="00753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375969"/>
      <w:docPartObj>
        <w:docPartGallery w:val="Page Numbers (Bottom of Page)"/>
        <w:docPartUnique/>
      </w:docPartObj>
    </w:sdtPr>
    <w:sdtEndPr>
      <w:rPr>
        <w:noProof/>
      </w:rPr>
    </w:sdtEndPr>
    <w:sdtContent>
      <w:p w14:paraId="6FAD6819" w14:textId="0ECB93FF" w:rsidR="007538F8" w:rsidRDefault="007538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4DF27E" w14:textId="77777777" w:rsidR="007538F8" w:rsidRDefault="00753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514E4" w14:textId="77777777" w:rsidR="001A41AA" w:rsidRDefault="001A41AA" w:rsidP="007538F8">
      <w:pPr>
        <w:spacing w:after="0" w:line="240" w:lineRule="auto"/>
      </w:pPr>
      <w:r>
        <w:separator/>
      </w:r>
    </w:p>
  </w:footnote>
  <w:footnote w:type="continuationSeparator" w:id="0">
    <w:p w14:paraId="4D3CD0BD" w14:textId="77777777" w:rsidR="001A41AA" w:rsidRDefault="001A41AA" w:rsidP="00753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3855251">
    <w:abstractNumId w:val="8"/>
  </w:num>
  <w:num w:numId="2" w16cid:durableId="286471732">
    <w:abstractNumId w:val="6"/>
  </w:num>
  <w:num w:numId="3" w16cid:durableId="1427850350">
    <w:abstractNumId w:val="5"/>
  </w:num>
  <w:num w:numId="4" w16cid:durableId="1146504930">
    <w:abstractNumId w:val="4"/>
  </w:num>
  <w:num w:numId="5" w16cid:durableId="1876773900">
    <w:abstractNumId w:val="7"/>
  </w:num>
  <w:num w:numId="6" w16cid:durableId="715547729">
    <w:abstractNumId w:val="3"/>
  </w:num>
  <w:num w:numId="7" w16cid:durableId="1571768427">
    <w:abstractNumId w:val="2"/>
  </w:num>
  <w:num w:numId="8" w16cid:durableId="1218056571">
    <w:abstractNumId w:val="1"/>
  </w:num>
  <w:num w:numId="9" w16cid:durableId="773597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44E"/>
    <w:rsid w:val="00034616"/>
    <w:rsid w:val="0006063C"/>
    <w:rsid w:val="000B1213"/>
    <w:rsid w:val="00105A9C"/>
    <w:rsid w:val="0015074B"/>
    <w:rsid w:val="001A41AA"/>
    <w:rsid w:val="0029639D"/>
    <w:rsid w:val="00326F90"/>
    <w:rsid w:val="003950F2"/>
    <w:rsid w:val="0044124A"/>
    <w:rsid w:val="0046612D"/>
    <w:rsid w:val="004A7D27"/>
    <w:rsid w:val="004C0551"/>
    <w:rsid w:val="005549F9"/>
    <w:rsid w:val="00576E86"/>
    <w:rsid w:val="005D41B6"/>
    <w:rsid w:val="00607368"/>
    <w:rsid w:val="00624B0F"/>
    <w:rsid w:val="00682411"/>
    <w:rsid w:val="0074688E"/>
    <w:rsid w:val="007538F8"/>
    <w:rsid w:val="00763244"/>
    <w:rsid w:val="00785F17"/>
    <w:rsid w:val="007E2739"/>
    <w:rsid w:val="00802902"/>
    <w:rsid w:val="0089649F"/>
    <w:rsid w:val="008A0730"/>
    <w:rsid w:val="00940010"/>
    <w:rsid w:val="00955236"/>
    <w:rsid w:val="00975E89"/>
    <w:rsid w:val="00A6569A"/>
    <w:rsid w:val="00AA1D8D"/>
    <w:rsid w:val="00AA6B88"/>
    <w:rsid w:val="00B47730"/>
    <w:rsid w:val="00B50C08"/>
    <w:rsid w:val="00B71394"/>
    <w:rsid w:val="00BD4E81"/>
    <w:rsid w:val="00BE6D8F"/>
    <w:rsid w:val="00C04A8E"/>
    <w:rsid w:val="00CB0664"/>
    <w:rsid w:val="00CC272B"/>
    <w:rsid w:val="00D02406"/>
    <w:rsid w:val="00D149FF"/>
    <w:rsid w:val="00D84A41"/>
    <w:rsid w:val="00E7081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96BAF3"/>
  <w14:defaultImageDpi w14:val="300"/>
  <w15:docId w15:val="{676C062C-209B-4DF0-AC05-A2E613812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549F9"/>
    <w:pPr>
      <w:tabs>
        <w:tab w:val="right" w:leader="dot" w:pos="8630"/>
      </w:tabs>
      <w:spacing w:after="100" w:line="360" w:lineRule="auto"/>
      <w:jc w:val="both"/>
    </w:pPr>
    <w:rPr>
      <w:rFonts w:ascii="Arial" w:eastAsia="Times New Roman" w:hAnsi="Arial" w:cs="Arial"/>
      <w:b/>
      <w:bCs/>
      <w:noProof/>
      <w:kern w:val="36"/>
      <w:sz w:val="24"/>
      <w:szCs w:val="24"/>
      <w:lang w:val="en-GB" w:eastAsia="en-GB"/>
    </w:rPr>
  </w:style>
  <w:style w:type="paragraph" w:styleId="TOC2">
    <w:name w:val="toc 2"/>
    <w:basedOn w:val="Normal"/>
    <w:next w:val="Normal"/>
    <w:autoRedefine/>
    <w:uiPriority w:val="39"/>
    <w:unhideWhenUsed/>
    <w:rsid w:val="007538F8"/>
    <w:pPr>
      <w:spacing w:after="100"/>
      <w:ind w:left="220"/>
    </w:pPr>
  </w:style>
  <w:style w:type="character" w:styleId="Hyperlink">
    <w:name w:val="Hyperlink"/>
    <w:basedOn w:val="DefaultParagraphFont"/>
    <w:uiPriority w:val="99"/>
    <w:unhideWhenUsed/>
    <w:rsid w:val="007538F8"/>
    <w:rPr>
      <w:color w:val="0000FF" w:themeColor="hyperlink"/>
      <w:u w:val="single"/>
    </w:rPr>
  </w:style>
  <w:style w:type="character" w:styleId="UnresolvedMention">
    <w:name w:val="Unresolved Mention"/>
    <w:basedOn w:val="DefaultParagraphFont"/>
    <w:uiPriority w:val="99"/>
    <w:semiHidden/>
    <w:unhideWhenUsed/>
    <w:rsid w:val="006073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5091">
      <w:bodyDiv w:val="1"/>
      <w:marLeft w:val="0"/>
      <w:marRight w:val="0"/>
      <w:marTop w:val="0"/>
      <w:marBottom w:val="0"/>
      <w:divBdr>
        <w:top w:val="none" w:sz="0" w:space="0" w:color="auto"/>
        <w:left w:val="none" w:sz="0" w:space="0" w:color="auto"/>
        <w:bottom w:val="none" w:sz="0" w:space="0" w:color="auto"/>
        <w:right w:val="none" w:sz="0" w:space="0" w:color="auto"/>
      </w:divBdr>
      <w:divsChild>
        <w:div w:id="132253892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ltonsandfordwines.com/"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sv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18</Pages>
  <Words>3824</Words>
  <Characters>21798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Luminita Crisu</cp:lastModifiedBy>
  <cp:revision>36</cp:revision>
  <dcterms:created xsi:type="dcterms:W3CDTF">2024-03-08T09:39:00Z</dcterms:created>
  <dcterms:modified xsi:type="dcterms:W3CDTF">2024-03-08T11:15:00Z</dcterms:modified>
  <cp:category/>
</cp:coreProperties>
</file>