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1143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d84902ca-e5fd-41e9-8b09-21eec36ebfc1}"/>
        </w:placeholder>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5B9BD5" w:themeColor="accent1"/>
          <w:sz w:val="80"/>
          <w:szCs w:val="80"/>
          <w14:textFill>
            <w14:solidFill>
              <w14:schemeClr w14:val="accent1"/>
            </w14:solidFill>
          </w14:textFill>
        </w:rPr>
      </w:sdtEndPr>
      <w:sdtContent>
        <w:p>
          <w:pPr>
            <w:pStyle w:val="19"/>
            <w:pBdr>
              <w:top w:val="single" w:color="5B9BD5" w:themeColor="accent1" w:sz="6" w:space="6"/>
              <w:bottom w:val="single" w:color="5B9BD5" w:themeColor="accent1" w:sz="6" w:space="6"/>
            </w:pBdr>
            <w:spacing w:after="240"/>
            <w:jc w:val="center"/>
            <w:rPr>
              <w:color w:val="5B9BD5" w:themeColor="accent1"/>
              <w:sz w:val="28"/>
              <w:szCs w:val="28"/>
              <w14:textFill>
                <w14:solidFill>
                  <w14:schemeClr w14:val="accent1"/>
                </w14:solidFill>
              </w14:textFill>
            </w:rPr>
          </w:pPr>
          <w:r>
            <w:rPr>
              <w:rFonts w:hint="eastAsia" w:asciiTheme="majorHAnsi" w:hAnsiTheme="majorHAnsi" w:eastAsiaTheme="majorEastAsia" w:cstheme="majorBidi"/>
              <w:caps/>
              <w:color w:val="5B9BD5" w:themeColor="accent1"/>
              <w:sz w:val="72"/>
              <w:szCs w:val="72"/>
              <w:lang w:eastAsia="zh-CN"/>
              <w14:textFill>
                <w14:solidFill>
                  <w14:schemeClr w14:val="accent1"/>
                </w14:solidFill>
              </w14:textFill>
            </w:rPr>
            <w:t>Performance Management Strategy Analysis Report for Portal Fabrication plc and Troyland Footwear Brand</w:t>
          </w:r>
        </w:p>
      </w:sdtContent>
    </w:sdt>
    <w:p>
      <w:pPr>
        <w:pStyle w:val="19"/>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fullDate="2023-03-30T00:00:00Z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9"/>
                                  <w:spacing w:after="40"/>
                                  <w:jc w:val="center"/>
                                  <w:rPr>
                                    <w:caps/>
                                    <w:color w:val="5B9BD5" w:themeColor="accent1"/>
                                    <w:sz w:val="28"/>
                                    <w:szCs w:val="28"/>
                                    <w14:textFill>
                                      <w14:solidFill>
                                        <w14:schemeClr w14:val="accent1"/>
                                      </w14:solidFill>
                                    </w14:textFill>
                                  </w:rPr>
                                </w:pPr>
                                <w:r>
                                  <w:rPr>
                                    <w:rFonts w:hint="eastAsia" w:cstheme="minorBidi"/>
                                    <w:caps/>
                                    <w:color w:val="5B9BD5" w:themeColor="accent1"/>
                                    <w:sz w:val="28"/>
                                    <w:szCs w:val="28"/>
                                    <w:lang w:val="en-US" w:eastAsia="zh-CN" w:bidi="ar-SA"/>
                                    <w14:textFill>
                                      <w14:solidFill>
                                        <w14:schemeClr w14:val="accent1"/>
                                      </w14:solidFill>
                                    </w14:textFill>
                                  </w:rPr>
                                  <w:t>March 30, 2023</w:t>
                                </w:r>
                              </w:p>
                            </w:sdtContent>
                          </w:sdt>
                          <w:p>
                            <w:pPr>
                              <w:pStyle w:val="19"/>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9"/>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90pt;margin-top:715.6pt;height:46.45pt;width:451.3pt;mso-position-horizontal-relative:page;mso-position-vertical-relative:page;z-index:251659264;v-text-anchor:bottom;mso-width-relative:margin;mso-height-relative:page;mso-width-percent:1000;" filled="f" stroked="f" coordsize="21600,21600" o:gfxdata="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MIHEjWAAAABAEAAA8AAAAAAAAAAQAgAAAAIgAAAGRycy9kb3ducmV2LnhtbFBLAQIUABQA&#10;AAAIAIdO4kBmP0cWKwIAAGcEAAAOAAAAAAAAAAEAIAAAACUBAABkcnMvZTJvRG9jLnhtbFBLBQYA&#10;AAAABgAGAFkBAADCBQ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fullDate="2023-03-30T00:00:00Z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9"/>
                            <w:spacing w:after="40"/>
                            <w:jc w:val="center"/>
                            <w:rPr>
                              <w:caps/>
                              <w:color w:val="5B9BD5" w:themeColor="accent1"/>
                              <w:sz w:val="28"/>
                              <w:szCs w:val="28"/>
                              <w14:textFill>
                                <w14:solidFill>
                                  <w14:schemeClr w14:val="accent1"/>
                                </w14:solidFill>
                              </w14:textFill>
                            </w:rPr>
                          </w:pPr>
                          <w:r>
                            <w:rPr>
                              <w:rFonts w:hint="eastAsia" w:cstheme="minorBidi"/>
                              <w:caps/>
                              <w:color w:val="5B9BD5" w:themeColor="accent1"/>
                              <w:sz w:val="28"/>
                              <w:szCs w:val="28"/>
                              <w:lang w:val="en-US" w:eastAsia="zh-CN" w:bidi="ar-SA"/>
                              <w14:textFill>
                                <w14:solidFill>
                                  <w14:schemeClr w14:val="accent1"/>
                                </w14:solidFill>
                              </w14:textFill>
                            </w:rPr>
                            <w:t>March 30, 2023</w:t>
                          </w:r>
                        </w:p>
                      </w:sdtContent>
                    </w:sdt>
                    <w:p>
                      <w:pPr>
                        <w:pStyle w:val="19"/>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9"/>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889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outlineLvl w:val="0"/>
        <w:rPr>
          <w:rFonts w:hint="eastAsia" w:ascii="Times New Roman" w:hAnsi="Times New Roman" w:eastAsia="宋体"/>
          <w:b/>
          <w:bCs/>
          <w:caps w:val="0"/>
          <w:color w:val="5B9BD5" w:themeColor="accent1"/>
          <w:sz w:val="24"/>
          <w:szCs w:val="24"/>
          <w:highlight w:val="none"/>
          <w:lang w:val="en-US" w:eastAsia="zh-CN"/>
          <w14:textFill>
            <w14:solidFill>
              <w14:schemeClr w14:val="accent1"/>
            </w14:solidFill>
          </w14:textFill>
        </w:rPr>
      </w:pPr>
      <w:bookmarkStart w:id="0" w:name="_Toc24392"/>
      <w:bookmarkStart w:id="1" w:name="_Toc5569"/>
      <w:bookmarkStart w:id="2" w:name="_Toc22177"/>
      <w:bookmarkStart w:id="3" w:name="_Toc4057"/>
      <w:r>
        <w:rPr>
          <w:rFonts w:hint="eastAsia"/>
          <w:b/>
          <w:bCs/>
          <w:caps w:val="0"/>
          <w:color w:val="5B9BD5" w:themeColor="accent1"/>
          <w:sz w:val="24"/>
          <w:szCs w:val="24"/>
          <w:highlight w:val="none"/>
          <w:lang w:val="en-US" w:eastAsia="zh-CN"/>
          <w14:textFill>
            <w14:solidFill>
              <w14:schemeClr w14:val="accent1"/>
            </w14:solidFill>
          </w14:textFill>
        </w:rPr>
        <w:t xml:space="preserve">MOODLE NAME:     </w:t>
      </w:r>
      <w:bookmarkEnd w:id="0"/>
      <w:bookmarkEnd w:id="1"/>
      <w:r>
        <w:rPr>
          <w:rFonts w:hint="eastAsia"/>
          <w:b/>
          <w:bCs/>
          <w:i w:val="0"/>
          <w:iCs w:val="0"/>
          <w:caps w:val="0"/>
          <w:color w:val="5B9BD5" w:themeColor="accent1"/>
          <w:sz w:val="24"/>
          <w:szCs w:val="24"/>
          <w:highlight w:val="none"/>
          <w:lang w:val="en-US" w:eastAsia="zh-CN"/>
          <w14:textFill>
            <w14:solidFill>
              <w14:schemeClr w14:val="accent1"/>
            </w14:solidFill>
          </w14:textFill>
        </w:rPr>
        <w:t xml:space="preserve">   </w:t>
      </w:r>
      <w:bookmarkEnd w:id="2"/>
      <w:r>
        <w:rPr>
          <w:rFonts w:hint="eastAsia"/>
          <w:b/>
          <w:bCs/>
          <w:i w:val="0"/>
          <w:iCs w:val="0"/>
          <w:caps w:val="0"/>
          <w:color w:val="5B9BD5" w:themeColor="accent1"/>
          <w:sz w:val="24"/>
          <w:szCs w:val="24"/>
          <w:highlight w:val="none"/>
          <w:lang w:val="en-US" w:eastAsia="zh-CN"/>
          <w14:textFill>
            <w14:solidFill>
              <w14:schemeClr w14:val="accent1"/>
            </w14:solidFill>
          </w14:textFill>
        </w:rPr>
        <w:t xml:space="preserve"> </w:t>
      </w:r>
      <w:r>
        <w:rPr>
          <w:rFonts w:hint="eastAsia" w:ascii="Times New Roman" w:hAnsi="Times New Roman" w:eastAsia="宋体"/>
          <w:b/>
          <w:bCs/>
          <w:caps w:val="0"/>
          <w:color w:val="5B9BD5" w:themeColor="accent1"/>
          <w:sz w:val="24"/>
          <w:szCs w:val="24"/>
          <w:highlight w:val="none"/>
          <w:lang w:val="en-US" w:eastAsia="zh-CN"/>
          <w14:textFill>
            <w14:solidFill>
              <w14:schemeClr w14:val="accent1"/>
            </w14:solidFill>
          </w14:textFill>
        </w:rPr>
        <w:t>Contemporary Issues in Performance Management</w:t>
      </w:r>
      <w:bookmarkEnd w:id="3"/>
    </w:p>
    <w:p>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outlineLvl w:val="0"/>
        <w:rPr>
          <w:rFonts w:hint="default"/>
          <w:b/>
          <w:bCs/>
          <w:i w:val="0"/>
          <w:iCs w:val="0"/>
          <w:caps w:val="0"/>
          <w:color w:val="5B9BD5" w:themeColor="accent1"/>
          <w:sz w:val="24"/>
          <w:szCs w:val="24"/>
          <w:highlight w:val="none"/>
          <w:lang w:val="en-US" w:eastAsia="zh-CN"/>
          <w14:textFill>
            <w14:solidFill>
              <w14:schemeClr w14:val="accent1"/>
            </w14:solidFill>
          </w14:textFill>
        </w:rPr>
      </w:pPr>
      <w:bookmarkStart w:id="4" w:name="_Toc12058"/>
      <w:bookmarkStart w:id="5" w:name="_Toc28197"/>
      <w:r>
        <w:rPr>
          <w:rFonts w:hint="eastAsia"/>
          <w:b/>
          <w:bCs/>
          <w:caps w:val="0"/>
          <w:color w:val="5B9BD5" w:themeColor="accent1"/>
          <w:sz w:val="24"/>
          <w:szCs w:val="24"/>
          <w:highlight w:val="none"/>
          <w:lang w:val="en-US" w:eastAsia="zh-CN"/>
          <w14:textFill>
            <w14:solidFill>
              <w14:schemeClr w14:val="accent1"/>
            </w14:solidFill>
          </w14:textFill>
        </w:rPr>
        <w:t>MOODLE NUMBER:      BMMB70</w:t>
      </w:r>
      <w:bookmarkEnd w:id="4"/>
      <w:r>
        <w:rPr>
          <w:rFonts w:hint="eastAsia"/>
          <w:b/>
          <w:bCs/>
          <w:caps w:val="0"/>
          <w:color w:val="5B9BD5" w:themeColor="accent1"/>
          <w:sz w:val="24"/>
          <w:szCs w:val="24"/>
          <w:highlight w:val="none"/>
          <w:lang w:val="en-US" w:eastAsia="zh-CN"/>
          <w14:textFill>
            <w14:solidFill>
              <w14:schemeClr w14:val="accent1"/>
            </w14:solidFill>
          </w14:textFill>
        </w:rPr>
        <w:t>17</w:t>
      </w:r>
      <w:bookmarkEnd w:id="5"/>
    </w:p>
    <w:p>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outlineLvl w:val="0"/>
        <w:rPr>
          <w:rFonts w:hint="default"/>
          <w:b/>
          <w:bCs/>
          <w:caps w:val="0"/>
          <w:color w:val="5B9BD5" w:themeColor="accent1"/>
          <w:sz w:val="24"/>
          <w:szCs w:val="24"/>
          <w:highlight w:val="none"/>
          <w:lang w:val="en-US" w:eastAsia="zh-CN"/>
          <w14:textFill>
            <w14:solidFill>
              <w14:schemeClr w14:val="accent1"/>
            </w14:solidFill>
          </w14:textFill>
        </w:rPr>
      </w:pPr>
      <w:bookmarkStart w:id="6" w:name="_Toc8663"/>
      <w:bookmarkStart w:id="7" w:name="_Toc7798"/>
      <w:r>
        <w:rPr>
          <w:rFonts w:hint="default"/>
          <w:b/>
          <w:bCs/>
          <w:caps w:val="0"/>
          <w:color w:val="5B9BD5" w:themeColor="accent1"/>
          <w:sz w:val="24"/>
          <w:szCs w:val="24"/>
          <w:highlight w:val="none"/>
          <w:lang w:val="en-US" w:eastAsia="zh-CN"/>
          <w14:textFill>
            <w14:solidFill>
              <w14:schemeClr w14:val="accent1"/>
            </w14:solidFill>
          </w14:textFill>
        </w:rPr>
        <w:fldChar w:fldCharType="begin"/>
      </w:r>
      <w:r>
        <w:rPr>
          <w:rFonts w:hint="default"/>
          <w:b/>
          <w:bCs/>
          <w:caps w:val="0"/>
          <w:color w:val="5B9BD5" w:themeColor="accent1"/>
          <w:sz w:val="24"/>
          <w:szCs w:val="24"/>
          <w:highlight w:val="none"/>
          <w:lang w:val="en-US" w:eastAsia="zh-CN"/>
          <w14:textFill>
            <w14:solidFill>
              <w14:schemeClr w14:val="accent1"/>
            </w14:solidFill>
          </w14:textFill>
        </w:rPr>
        <w:instrText xml:space="preserve"> HYPERLINK "https://www.baidu.com/link?url=4JXEQwBdRu4UE1fGJFyWc19f76X3qbUZiIgKXEbpg-_XEPiwcJwiGF6OsvL9z3K_uqAhz8kVNPOpqYCuqzQRPdAKSGN3Ilbhl-UX5Ji2uu3&amp;wd=&amp;eqid=81ec4b5200000ab80000000664225a3a" \t "https://www.baidu.com/_blank" </w:instrText>
      </w:r>
      <w:r>
        <w:rPr>
          <w:rFonts w:hint="default"/>
          <w:b/>
          <w:bCs/>
          <w:caps w:val="0"/>
          <w:color w:val="5B9BD5" w:themeColor="accent1"/>
          <w:sz w:val="24"/>
          <w:szCs w:val="24"/>
          <w:highlight w:val="none"/>
          <w:lang w:val="en-US" w:eastAsia="zh-CN"/>
          <w14:textFill>
            <w14:solidFill>
              <w14:schemeClr w14:val="accent1"/>
            </w14:solidFill>
          </w14:textFill>
        </w:rPr>
        <w:fldChar w:fldCharType="separate"/>
      </w:r>
      <w:r>
        <w:rPr>
          <w:rFonts w:hint="default"/>
          <w:b/>
          <w:bCs/>
          <w:caps w:val="0"/>
          <w:color w:val="5B9BD5" w:themeColor="accent1"/>
          <w:sz w:val="24"/>
          <w:szCs w:val="24"/>
          <w:highlight w:val="none"/>
          <w:lang w:val="en-US" w:eastAsia="zh-CN"/>
          <w14:textFill>
            <w14:solidFill>
              <w14:schemeClr w14:val="accent1"/>
            </w14:solidFill>
          </w14:textFill>
        </w:rPr>
        <w:t>W</w:t>
      </w:r>
      <w:r>
        <w:rPr>
          <w:rFonts w:hint="eastAsia"/>
          <w:b/>
          <w:bCs/>
          <w:caps w:val="0"/>
          <w:color w:val="5B9BD5" w:themeColor="accent1"/>
          <w:sz w:val="24"/>
          <w:szCs w:val="24"/>
          <w:highlight w:val="none"/>
          <w:lang w:val="en-US" w:eastAsia="zh-CN"/>
          <w14:textFill>
            <w14:solidFill>
              <w14:schemeClr w14:val="accent1"/>
            </w14:solidFill>
          </w14:textFill>
        </w:rPr>
        <w:t>ORD</w:t>
      </w:r>
      <w:r>
        <w:rPr>
          <w:rFonts w:hint="default"/>
          <w:b/>
          <w:bCs/>
          <w:caps w:val="0"/>
          <w:color w:val="5B9BD5" w:themeColor="accent1"/>
          <w:sz w:val="24"/>
          <w:szCs w:val="24"/>
          <w:highlight w:val="none"/>
          <w:lang w:val="en-US" w:eastAsia="zh-CN"/>
          <w14:textFill>
            <w14:solidFill>
              <w14:schemeClr w14:val="accent1"/>
            </w14:solidFill>
          </w14:textFill>
        </w:rPr>
        <w:t xml:space="preserve"> </w:t>
      </w:r>
      <w:r>
        <w:rPr>
          <w:rFonts w:hint="eastAsia"/>
          <w:b/>
          <w:bCs/>
          <w:caps w:val="0"/>
          <w:color w:val="5B9BD5" w:themeColor="accent1"/>
          <w:sz w:val="24"/>
          <w:szCs w:val="24"/>
          <w:highlight w:val="none"/>
          <w:lang w:val="en-US" w:eastAsia="zh-CN"/>
          <w14:textFill>
            <w14:solidFill>
              <w14:schemeClr w14:val="accent1"/>
            </w14:solidFill>
          </w14:textFill>
        </w:rPr>
        <w:t>C</w:t>
      </w:r>
      <w:r>
        <w:rPr>
          <w:rFonts w:hint="default"/>
          <w:b/>
          <w:bCs/>
          <w:caps w:val="0"/>
          <w:color w:val="5B9BD5" w:themeColor="accent1"/>
          <w:sz w:val="24"/>
          <w:szCs w:val="24"/>
          <w:highlight w:val="none"/>
          <w:lang w:val="en-US" w:eastAsia="zh-CN"/>
          <w14:textFill>
            <w14:solidFill>
              <w14:schemeClr w14:val="accent1"/>
            </w14:solidFill>
          </w14:textFill>
        </w:rPr>
        <w:fldChar w:fldCharType="end"/>
      </w:r>
      <w:r>
        <w:rPr>
          <w:rFonts w:hint="eastAsia"/>
          <w:b/>
          <w:bCs/>
          <w:caps w:val="0"/>
          <w:color w:val="5B9BD5" w:themeColor="accent1"/>
          <w:sz w:val="24"/>
          <w:szCs w:val="24"/>
          <w:highlight w:val="none"/>
          <w:lang w:val="en-US" w:eastAsia="zh-CN"/>
          <w14:textFill>
            <w14:solidFill>
              <w14:schemeClr w14:val="accent1"/>
            </w14:solidFill>
          </w14:textFill>
        </w:rPr>
        <w:t xml:space="preserve">OUNT：         </w:t>
      </w:r>
      <w:bookmarkEnd w:id="6"/>
      <w:r>
        <w:rPr>
          <w:rFonts w:hint="eastAsia"/>
          <w:b/>
          <w:bCs/>
          <w:caps w:val="0"/>
          <w:color w:val="5B9BD5" w:themeColor="accent1"/>
          <w:sz w:val="24"/>
          <w:szCs w:val="24"/>
          <w:highlight w:val="none"/>
          <w:lang w:val="en-US" w:eastAsia="zh-CN"/>
          <w14:textFill>
            <w14:solidFill>
              <w14:schemeClr w14:val="accent1"/>
            </w14:solidFill>
          </w14:textFill>
        </w:rPr>
        <w:t>5117</w:t>
      </w:r>
      <w:bookmarkEnd w:id="7"/>
    </w:p>
    <w:p>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outlineLvl w:val="0"/>
        <w:rPr>
          <w:rFonts w:hint="eastAsia" w:ascii="Times New Roman" w:hAnsi="Times New Roman"/>
          <w:b/>
          <w:bCs/>
          <w:caps w:val="0"/>
          <w:color w:val="5B9BD5" w:themeColor="accent1"/>
          <w:sz w:val="24"/>
          <w:szCs w:val="24"/>
          <w:highlight w:val="none"/>
          <w:lang w:val="en-US" w:eastAsia="zh-CN"/>
          <w14:textFill>
            <w14:solidFill>
              <w14:schemeClr w14:val="accent1"/>
            </w14:solidFill>
          </w14:textFill>
        </w:rPr>
      </w:pPr>
      <w:bookmarkStart w:id="8" w:name="_Toc23317"/>
      <w:bookmarkStart w:id="9" w:name="_Toc31970"/>
      <w:bookmarkStart w:id="10" w:name="_Toc7841"/>
      <w:bookmarkStart w:id="11" w:name="_Toc19030"/>
      <w:r>
        <w:rPr>
          <w:rFonts w:hint="eastAsia"/>
          <w:b/>
          <w:bCs/>
          <w:caps w:val="0"/>
          <w:color w:val="5B9BD5" w:themeColor="accent1"/>
          <w:sz w:val="24"/>
          <w:szCs w:val="24"/>
          <w:highlight w:val="none"/>
          <w:lang w:val="en-US" w:eastAsia="zh-CN"/>
          <w14:textFill>
            <w14:solidFill>
              <w14:schemeClr w14:val="accent1"/>
            </w14:solidFill>
          </w14:textFill>
        </w:rPr>
        <w:t>NAME:                  刘子赫（Zihe Liu）</w:t>
      </w:r>
      <w:bookmarkEnd w:id="8"/>
      <w:bookmarkEnd w:id="9"/>
      <w:bookmarkEnd w:id="10"/>
      <w:bookmarkEnd w:id="11"/>
    </w:p>
    <w:p>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outlineLvl w:val="0"/>
        <w:rPr>
          <w:color w:val="5B9BD5" w:themeColor="accent1"/>
          <w:sz w:val="24"/>
          <w:szCs w:val="24"/>
          <w:highlight w:val="none"/>
          <w14:textFill>
            <w14:solidFill>
              <w14:schemeClr w14:val="accent1"/>
            </w14:solidFill>
          </w14:textFill>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12" w:name="_Toc27312"/>
      <w:bookmarkStart w:id="13" w:name="_Toc10837"/>
      <w:bookmarkStart w:id="14" w:name="_Toc23163"/>
      <w:bookmarkStart w:id="15" w:name="_Toc30351"/>
      <w:bookmarkStart w:id="16" w:name="_Toc6765"/>
      <w:bookmarkStart w:id="17" w:name="_Toc8980"/>
      <w:bookmarkStart w:id="18" w:name="_Toc16451"/>
      <w:bookmarkStart w:id="19" w:name="_Toc10539"/>
      <w:bookmarkStart w:id="20" w:name="_Toc29936"/>
      <w:r>
        <w:rPr>
          <w:rFonts w:hint="eastAsia"/>
          <w:b/>
          <w:bCs/>
          <w:caps w:val="0"/>
          <w:color w:val="5B9BD5" w:themeColor="accent1"/>
          <w:sz w:val="24"/>
          <w:szCs w:val="24"/>
          <w:highlight w:val="none"/>
          <w:lang w:val="en-US" w:eastAsia="zh-CN"/>
          <w14:textFill>
            <w14:solidFill>
              <w14:schemeClr w14:val="accent1"/>
            </w14:solidFill>
          </w14:textFill>
        </w:rPr>
        <w:t>STUDENT NUMBER：    22033</w:t>
      </w:r>
      <w:bookmarkEnd w:id="12"/>
      <w:bookmarkEnd w:id="13"/>
      <w:bookmarkEnd w:id="14"/>
      <w:bookmarkEnd w:id="15"/>
      <w:bookmarkEnd w:id="16"/>
      <w:bookmarkEnd w:id="17"/>
      <w:bookmarkEnd w:id="18"/>
      <w:bookmarkEnd w:id="19"/>
      <w:bookmarkEnd w:id="20"/>
    </w:p>
    <w:p>
      <w:pPr>
        <w:rPr>
          <w:rFonts w:hint="eastAsia"/>
        </w:rPr>
      </w:pPr>
      <w:bookmarkStart w:id="21" w:name="_Toc129339185"/>
      <w:bookmarkStart w:id="22" w:name="_Toc31839"/>
      <w:r>
        <w:rPr>
          <w:rStyle w:val="18"/>
          <w:sz w:val="24"/>
          <w:szCs w:val="24"/>
        </w:rPr>
        <w:t>Executive Summary</w:t>
      </w:r>
      <w:bookmarkEnd w:id="21"/>
      <w:r>
        <w:rPr>
          <w:rStyle w:val="18"/>
          <w:rFonts w:hint="eastAsia"/>
          <w:sz w:val="24"/>
          <w:szCs w:val="24"/>
          <w:lang w:val="en-US" w:eastAsia="zh-CN"/>
        </w:rPr>
        <w:t xml:space="preserve">: </w:t>
      </w:r>
      <w:bookmarkEnd w:id="22"/>
      <w:r>
        <w:rPr>
          <w:rFonts w:hint="eastAsia"/>
        </w:rPr>
        <w:t>This article is a performance management strategy analysis report for Portal Fabrication plc. We found that the M/S department is more efficient and However, these measures may not capture the full picture of divisional performance as they do not consider other However, these measures may not capture the full picture of divisional performance as they do not consider other factors such as customer satisfaction, quality, innovation, and sustainability. Therefore, we suggest that Portal Fabrication plc should use a balanced scorecard approach to measure and manage its divisional performance.Portal Fabrication plc has an internal agreement between its M/S and service divisions for charging for warranty repairs. The M/S division charges the service division £10m per year for providing warranty service to customers who buy its machines. The board is considering amending this existing agreement by using one of two transfer pricing methods: market price or cost plus. The board is considering amending this existing agreement by using one of two transfer pricing methods: market price or cost plus.In summary, this article provides an in-depth analysis of Portal Fabrication plc and offers suggestions for improving its performance management strategy.</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sdt>
      <w:sdtPr>
        <w:rPr>
          <w:rFonts w:ascii="宋体" w:hAnsi="宋体" w:eastAsia="宋体" w:cs="Times New Roman"/>
          <w:kern w:val="2"/>
          <w:sz w:val="21"/>
        </w:rPr>
        <w:id w:val="147462821"/>
        <w15:color w:val="DBDBDB"/>
        <w:docPartObj>
          <w:docPartGallery w:val="Table of Contents"/>
          <w:docPartUnique/>
        </w:docPartObj>
      </w:sdtPr>
      <w:sdtEndPr>
        <w:rPr>
          <w:rFonts w:ascii="Times New Roman" w:hAnsi="Times New Roman" w:eastAsia="宋体" w:cs="Times New Roman"/>
          <w:bCs/>
          <w:kern w:val="2"/>
          <w:sz w:val="24"/>
        </w:rPr>
      </w:sdtEndPr>
      <w:sdtContent>
        <w:p>
          <w:pPr>
            <w:pStyle w:val="23"/>
          </w:pPr>
          <w:r>
            <w:t>Table of Contents</w:t>
          </w:r>
        </w:p>
        <w:p>
          <w:pPr>
            <w:spacing w:before="0" w:beforeLines="0" w:after="0" w:afterLines="0" w:line="240" w:lineRule="auto"/>
            <w:ind w:left="0" w:leftChars="0" w:right="0" w:rightChars="0" w:firstLine="0" w:firstLineChars="0"/>
            <w:jc w:val="center"/>
          </w:pPr>
        </w:p>
        <w:p>
          <w:pPr>
            <w:pStyle w:val="8"/>
            <w:tabs>
              <w:tab w:val="right" w:leader="dot" w:pos="8306"/>
            </w:tabs>
          </w:pPr>
          <w:r>
            <w:rPr>
              <w:b/>
              <w:bCs/>
            </w:rPr>
            <w:fldChar w:fldCharType="begin"/>
          </w:r>
          <w:r>
            <w:rPr>
              <w:b/>
              <w:bCs/>
            </w:rPr>
            <w:instrText xml:space="preserve">TOC \o "1-3" \h \u </w:instrText>
          </w:r>
          <w:r>
            <w:rPr>
              <w:b/>
              <w:bCs/>
            </w:rPr>
            <w:fldChar w:fldCharType="separate"/>
          </w:r>
          <w:r>
            <w:rPr>
              <w:bCs/>
            </w:rPr>
            <w:fldChar w:fldCharType="begin"/>
          </w:r>
          <w:r>
            <w:rPr>
              <w:bCs/>
            </w:rPr>
            <w:instrText xml:space="preserve"> HYPERLINK \l _Toc31839 </w:instrText>
          </w:r>
          <w:r>
            <w:rPr>
              <w:bCs/>
            </w:rPr>
            <w:fldChar w:fldCharType="separate"/>
          </w:r>
          <w:r>
            <w:rPr>
              <w:szCs w:val="24"/>
            </w:rPr>
            <w:t>Executive Summary</w:t>
          </w:r>
          <w:r>
            <w:tab/>
          </w:r>
          <w:r>
            <w:fldChar w:fldCharType="begin"/>
          </w:r>
          <w:r>
            <w:instrText xml:space="preserve"> PAGEREF _Toc31839 \h </w:instrText>
          </w:r>
          <w:r>
            <w:fldChar w:fldCharType="separate"/>
          </w:r>
          <w:r>
            <w:t>2</w:t>
          </w:r>
          <w:r>
            <w:fldChar w:fldCharType="end"/>
          </w:r>
          <w:r>
            <w:rPr>
              <w:bCs/>
            </w:rPr>
            <w:fldChar w:fldCharType="end"/>
          </w:r>
        </w:p>
        <w:p>
          <w:pPr>
            <w:pStyle w:val="8"/>
            <w:tabs>
              <w:tab w:val="right" w:leader="dot" w:pos="8306"/>
            </w:tabs>
          </w:pPr>
          <w:r>
            <w:rPr>
              <w:bCs/>
            </w:rPr>
            <w:fldChar w:fldCharType="begin"/>
          </w:r>
          <w:r>
            <w:rPr>
              <w:bCs/>
            </w:rPr>
            <w:instrText xml:space="preserve"> HYPERLINK \l _Toc23181 </w:instrText>
          </w:r>
          <w:r>
            <w:rPr>
              <w:bCs/>
            </w:rPr>
            <w:fldChar w:fldCharType="separate"/>
          </w:r>
          <w:r>
            <w:rPr>
              <w:rFonts w:hint="eastAsia"/>
            </w:rPr>
            <w:t>1. Introduction</w:t>
          </w:r>
          <w:r>
            <w:tab/>
          </w:r>
          <w:r>
            <w:fldChar w:fldCharType="begin"/>
          </w:r>
          <w:r>
            <w:instrText xml:space="preserve"> PAGEREF _Toc23181 \h </w:instrText>
          </w:r>
          <w:r>
            <w:fldChar w:fldCharType="separate"/>
          </w:r>
          <w:r>
            <w:t>4</w:t>
          </w:r>
          <w:r>
            <w:fldChar w:fldCharType="end"/>
          </w:r>
          <w:r>
            <w:rPr>
              <w:bCs/>
            </w:rPr>
            <w:fldChar w:fldCharType="end"/>
          </w:r>
        </w:p>
        <w:p>
          <w:pPr>
            <w:pStyle w:val="10"/>
            <w:tabs>
              <w:tab w:val="right" w:leader="dot" w:pos="8306"/>
            </w:tabs>
          </w:pPr>
          <w:r>
            <w:rPr>
              <w:bCs/>
            </w:rPr>
            <w:fldChar w:fldCharType="begin"/>
          </w:r>
          <w:r>
            <w:rPr>
              <w:bCs/>
            </w:rPr>
            <w:instrText xml:space="preserve"> HYPERLINK \l _Toc1028 </w:instrText>
          </w:r>
          <w:r>
            <w:rPr>
              <w:bCs/>
            </w:rPr>
            <w:fldChar w:fldCharType="separate"/>
          </w:r>
          <w:r>
            <w:rPr>
              <w:rFonts w:hint="default"/>
              <w:lang w:val="en-US" w:eastAsia="zh-CN"/>
            </w:rPr>
            <w:t xml:space="preserve">1.1 </w:t>
          </w:r>
          <w:r>
            <w:rPr>
              <w:rFonts w:hint="eastAsia"/>
              <w:lang w:val="en-US" w:eastAsia="zh-CN"/>
            </w:rPr>
            <w:t>PART1 Portal Fabrication PLC</w:t>
          </w:r>
          <w:r>
            <w:tab/>
          </w:r>
          <w:r>
            <w:fldChar w:fldCharType="begin"/>
          </w:r>
          <w:r>
            <w:instrText xml:space="preserve"> PAGEREF _Toc1028 \h </w:instrText>
          </w:r>
          <w:r>
            <w:fldChar w:fldCharType="separate"/>
          </w:r>
          <w:r>
            <w:t>4</w:t>
          </w:r>
          <w:r>
            <w:fldChar w:fldCharType="end"/>
          </w:r>
          <w:r>
            <w:rPr>
              <w:bCs/>
            </w:rPr>
            <w:fldChar w:fldCharType="end"/>
          </w:r>
        </w:p>
        <w:p>
          <w:pPr>
            <w:pStyle w:val="10"/>
            <w:tabs>
              <w:tab w:val="right" w:leader="dot" w:pos="8306"/>
            </w:tabs>
          </w:pPr>
          <w:r>
            <w:rPr>
              <w:bCs/>
            </w:rPr>
            <w:fldChar w:fldCharType="begin"/>
          </w:r>
          <w:r>
            <w:rPr>
              <w:bCs/>
            </w:rPr>
            <w:instrText xml:space="preserve"> HYPERLINK \l _Toc5959 </w:instrText>
          </w:r>
          <w:r>
            <w:rPr>
              <w:bCs/>
            </w:rPr>
            <w:fldChar w:fldCharType="separate"/>
          </w:r>
          <w:r>
            <w:rPr>
              <w:rFonts w:hint="eastAsia"/>
              <w:lang w:val="en-US" w:eastAsia="zh-CN"/>
            </w:rPr>
            <w:t>1.2 PART2 Troy Brands</w:t>
          </w:r>
          <w:r>
            <w:tab/>
          </w:r>
          <w:r>
            <w:fldChar w:fldCharType="begin"/>
          </w:r>
          <w:r>
            <w:instrText xml:space="preserve"> PAGEREF _Toc5959 \h </w:instrText>
          </w:r>
          <w:r>
            <w:fldChar w:fldCharType="separate"/>
          </w:r>
          <w:r>
            <w:t>4</w:t>
          </w:r>
          <w:r>
            <w:fldChar w:fldCharType="end"/>
          </w:r>
          <w:r>
            <w:rPr>
              <w:bCs/>
            </w:rPr>
            <w:fldChar w:fldCharType="end"/>
          </w:r>
        </w:p>
        <w:p>
          <w:pPr>
            <w:pStyle w:val="8"/>
            <w:tabs>
              <w:tab w:val="right" w:leader="dot" w:pos="8306"/>
            </w:tabs>
          </w:pPr>
          <w:r>
            <w:rPr>
              <w:bCs/>
            </w:rPr>
            <w:fldChar w:fldCharType="begin"/>
          </w:r>
          <w:r>
            <w:rPr>
              <w:bCs/>
            </w:rPr>
            <w:instrText xml:space="preserve"> HYPERLINK \l _Toc23418 </w:instrText>
          </w:r>
          <w:r>
            <w:rPr>
              <w:bCs/>
            </w:rPr>
            <w:fldChar w:fldCharType="separate"/>
          </w:r>
          <w:r>
            <w:rPr>
              <w:rFonts w:hint="eastAsia"/>
            </w:rPr>
            <w:t>2. Key findings</w:t>
          </w:r>
          <w:r>
            <w:tab/>
          </w:r>
          <w:r>
            <w:fldChar w:fldCharType="begin"/>
          </w:r>
          <w:r>
            <w:instrText xml:space="preserve"> PAGEREF _Toc23418 \h </w:instrText>
          </w:r>
          <w:r>
            <w:fldChar w:fldCharType="separate"/>
          </w:r>
          <w:r>
            <w:t>5</w:t>
          </w:r>
          <w:r>
            <w:fldChar w:fldCharType="end"/>
          </w:r>
          <w:r>
            <w:rPr>
              <w:bCs/>
            </w:rPr>
            <w:fldChar w:fldCharType="end"/>
          </w:r>
        </w:p>
        <w:p>
          <w:pPr>
            <w:pStyle w:val="10"/>
            <w:tabs>
              <w:tab w:val="right" w:leader="dot" w:pos="8306"/>
            </w:tabs>
          </w:pPr>
          <w:r>
            <w:rPr>
              <w:bCs/>
            </w:rPr>
            <w:fldChar w:fldCharType="begin"/>
          </w:r>
          <w:r>
            <w:rPr>
              <w:bCs/>
            </w:rPr>
            <w:instrText xml:space="preserve"> HYPERLINK \l _Toc19997 </w:instrText>
          </w:r>
          <w:r>
            <w:rPr>
              <w:bCs/>
            </w:rPr>
            <w:fldChar w:fldCharType="separate"/>
          </w:r>
          <w:r>
            <w:rPr>
              <w:rFonts w:hint="eastAsia"/>
              <w:lang w:val="en-US" w:eastAsia="zh-CN"/>
            </w:rPr>
            <w:t>2.1. PART1 Portal Fabrication PLC</w:t>
          </w:r>
          <w:r>
            <w:tab/>
          </w:r>
          <w:r>
            <w:fldChar w:fldCharType="begin"/>
          </w:r>
          <w:r>
            <w:instrText xml:space="preserve"> PAGEREF _Toc19997 \h </w:instrText>
          </w:r>
          <w:r>
            <w:fldChar w:fldCharType="separate"/>
          </w:r>
          <w:r>
            <w:t>5</w:t>
          </w:r>
          <w:r>
            <w:fldChar w:fldCharType="end"/>
          </w:r>
          <w:r>
            <w:rPr>
              <w:bCs/>
            </w:rPr>
            <w:fldChar w:fldCharType="end"/>
          </w:r>
        </w:p>
        <w:p>
          <w:pPr>
            <w:pStyle w:val="6"/>
            <w:tabs>
              <w:tab w:val="right" w:leader="dot" w:pos="8306"/>
            </w:tabs>
          </w:pPr>
          <w:r>
            <w:rPr>
              <w:bCs/>
            </w:rPr>
            <w:fldChar w:fldCharType="begin"/>
          </w:r>
          <w:r>
            <w:rPr>
              <w:bCs/>
            </w:rPr>
            <w:instrText xml:space="preserve"> HYPERLINK \l _Toc19701 </w:instrText>
          </w:r>
          <w:r>
            <w:rPr>
              <w:bCs/>
            </w:rPr>
            <w:fldChar w:fldCharType="separate"/>
          </w:r>
          <w:r>
            <w:rPr>
              <w:rFonts w:hint="eastAsia"/>
            </w:rPr>
            <w:t>2.1</w:t>
          </w:r>
          <w:r>
            <w:rPr>
              <w:rFonts w:hint="eastAsia"/>
              <w:lang w:val="en-US" w:eastAsia="zh-CN"/>
            </w:rPr>
            <w:t>.1</w:t>
          </w:r>
          <w:r>
            <w:rPr>
              <w:rFonts w:hint="eastAsia"/>
            </w:rPr>
            <w:t xml:space="preserve"> Departmental performance assessment and metrics</w:t>
          </w:r>
          <w:r>
            <w:tab/>
          </w:r>
          <w:r>
            <w:fldChar w:fldCharType="begin"/>
          </w:r>
          <w:r>
            <w:instrText xml:space="preserve"> PAGEREF _Toc19701 \h </w:instrText>
          </w:r>
          <w:r>
            <w:fldChar w:fldCharType="separate"/>
          </w:r>
          <w:r>
            <w:t>5</w:t>
          </w:r>
          <w:r>
            <w:fldChar w:fldCharType="end"/>
          </w:r>
          <w:r>
            <w:rPr>
              <w:bCs/>
            </w:rPr>
            <w:fldChar w:fldCharType="end"/>
          </w:r>
        </w:p>
        <w:p>
          <w:pPr>
            <w:pStyle w:val="6"/>
            <w:tabs>
              <w:tab w:val="right" w:leader="dot" w:pos="8306"/>
            </w:tabs>
          </w:pPr>
          <w:r>
            <w:rPr>
              <w:bCs/>
            </w:rPr>
            <w:fldChar w:fldCharType="begin"/>
          </w:r>
          <w:r>
            <w:rPr>
              <w:bCs/>
            </w:rPr>
            <w:instrText xml:space="preserve"> HYPERLINK \l _Toc20186 </w:instrText>
          </w:r>
          <w:r>
            <w:rPr>
              <w:bCs/>
            </w:rPr>
            <w:fldChar w:fldCharType="separate"/>
          </w:r>
          <w:r>
            <w:rPr>
              <w:rFonts w:hint="eastAsia"/>
            </w:rPr>
            <w:t>2.1.2 Design and evaluation of transfer pricing systems</w:t>
          </w:r>
          <w:r>
            <w:tab/>
          </w:r>
          <w:r>
            <w:fldChar w:fldCharType="begin"/>
          </w:r>
          <w:r>
            <w:instrText xml:space="preserve"> PAGEREF _Toc20186 \h </w:instrText>
          </w:r>
          <w:r>
            <w:fldChar w:fldCharType="separate"/>
          </w:r>
          <w:r>
            <w:t>7</w:t>
          </w:r>
          <w:r>
            <w:fldChar w:fldCharType="end"/>
          </w:r>
          <w:r>
            <w:rPr>
              <w:bCs/>
            </w:rPr>
            <w:fldChar w:fldCharType="end"/>
          </w:r>
        </w:p>
        <w:p>
          <w:pPr>
            <w:pStyle w:val="6"/>
            <w:tabs>
              <w:tab w:val="right" w:leader="dot" w:pos="8306"/>
            </w:tabs>
          </w:pPr>
          <w:r>
            <w:rPr>
              <w:bCs/>
            </w:rPr>
            <w:fldChar w:fldCharType="begin"/>
          </w:r>
          <w:r>
            <w:rPr>
              <w:bCs/>
            </w:rPr>
            <w:instrText xml:space="preserve"> HYPERLINK \l _Toc1490 </w:instrText>
          </w:r>
          <w:r>
            <w:rPr>
              <w:bCs/>
            </w:rPr>
            <w:fldChar w:fldCharType="separate"/>
          </w:r>
          <w:r>
            <w:rPr>
              <w:rFonts w:hint="eastAsia"/>
            </w:rPr>
            <w:t>2.1.3 Impact of the Executive Information System on performance management</w:t>
          </w:r>
          <w:r>
            <w:tab/>
          </w:r>
          <w:r>
            <w:fldChar w:fldCharType="begin"/>
          </w:r>
          <w:r>
            <w:instrText xml:space="preserve"> PAGEREF _Toc1490 \h </w:instrText>
          </w:r>
          <w:r>
            <w:fldChar w:fldCharType="separate"/>
          </w:r>
          <w:r>
            <w:t>9</w:t>
          </w:r>
          <w:r>
            <w:fldChar w:fldCharType="end"/>
          </w:r>
          <w:r>
            <w:rPr>
              <w:bCs/>
            </w:rPr>
            <w:fldChar w:fldCharType="end"/>
          </w:r>
        </w:p>
        <w:p>
          <w:pPr>
            <w:pStyle w:val="10"/>
            <w:tabs>
              <w:tab w:val="right" w:leader="dot" w:pos="8306"/>
            </w:tabs>
          </w:pPr>
          <w:r>
            <w:rPr>
              <w:bCs/>
            </w:rPr>
            <w:fldChar w:fldCharType="begin"/>
          </w:r>
          <w:r>
            <w:rPr>
              <w:bCs/>
            </w:rPr>
            <w:instrText xml:space="preserve"> HYPERLINK \l _Toc17186 </w:instrText>
          </w:r>
          <w:r>
            <w:rPr>
              <w:bCs/>
            </w:rPr>
            <w:fldChar w:fldCharType="separate"/>
          </w:r>
          <w:r>
            <w:rPr>
              <w:rFonts w:hint="eastAsia"/>
              <w:lang w:val="en-US" w:eastAsia="zh-CN"/>
            </w:rPr>
            <w:t>2.2 Part2 Troy Brands</w:t>
          </w:r>
          <w:r>
            <w:tab/>
          </w:r>
          <w:r>
            <w:fldChar w:fldCharType="begin"/>
          </w:r>
          <w:r>
            <w:instrText xml:space="preserve"> PAGEREF _Toc17186 \h </w:instrText>
          </w:r>
          <w:r>
            <w:fldChar w:fldCharType="separate"/>
          </w:r>
          <w:r>
            <w:t>10</w:t>
          </w:r>
          <w:r>
            <w:fldChar w:fldCharType="end"/>
          </w:r>
          <w:r>
            <w:rPr>
              <w:bCs/>
            </w:rPr>
            <w:fldChar w:fldCharType="end"/>
          </w:r>
        </w:p>
        <w:p>
          <w:pPr>
            <w:pStyle w:val="6"/>
            <w:tabs>
              <w:tab w:val="right" w:leader="dot" w:pos="8306"/>
            </w:tabs>
          </w:pPr>
          <w:r>
            <w:rPr>
              <w:bCs/>
            </w:rPr>
            <w:fldChar w:fldCharType="begin"/>
          </w:r>
          <w:r>
            <w:rPr>
              <w:bCs/>
            </w:rPr>
            <w:instrText xml:space="preserve"> HYPERLINK \l _Toc23547 </w:instrText>
          </w:r>
          <w:r>
            <w:rPr>
              <w:bCs/>
            </w:rPr>
            <w:fldChar w:fldCharType="separate"/>
          </w:r>
          <w:r>
            <w:rPr>
              <w:rFonts w:hint="eastAsia"/>
              <w:lang w:val="en-US" w:eastAsia="zh-CN"/>
            </w:rPr>
            <w:t xml:space="preserve">2.2.1 </w:t>
          </w:r>
          <w:r>
            <w:rPr>
              <w:rFonts w:hint="eastAsia"/>
            </w:rPr>
            <w:t>Financial Performance</w:t>
          </w:r>
          <w:r>
            <w:tab/>
          </w:r>
          <w:r>
            <w:fldChar w:fldCharType="begin"/>
          </w:r>
          <w:r>
            <w:instrText xml:space="preserve"> PAGEREF _Toc23547 \h </w:instrText>
          </w:r>
          <w:r>
            <w:fldChar w:fldCharType="separate"/>
          </w:r>
          <w:r>
            <w:t>10</w:t>
          </w:r>
          <w:r>
            <w:fldChar w:fldCharType="end"/>
          </w:r>
          <w:r>
            <w:rPr>
              <w:bCs/>
            </w:rPr>
            <w:fldChar w:fldCharType="end"/>
          </w:r>
        </w:p>
        <w:p>
          <w:pPr>
            <w:pStyle w:val="6"/>
            <w:tabs>
              <w:tab w:val="right" w:leader="dot" w:pos="8306"/>
            </w:tabs>
          </w:pPr>
          <w:r>
            <w:rPr>
              <w:bCs/>
            </w:rPr>
            <w:fldChar w:fldCharType="begin"/>
          </w:r>
          <w:r>
            <w:rPr>
              <w:bCs/>
            </w:rPr>
            <w:instrText xml:space="preserve"> HYPERLINK \l _Toc30912 </w:instrText>
          </w:r>
          <w:r>
            <w:rPr>
              <w:bCs/>
            </w:rPr>
            <w:fldChar w:fldCharType="separate"/>
          </w:r>
          <w:r>
            <w:rPr>
              <w:rFonts w:hint="eastAsia"/>
              <w:lang w:val="en-US" w:eastAsia="zh-CN"/>
            </w:rPr>
            <w:t xml:space="preserve">2.2.2 </w:t>
          </w:r>
          <w:r>
            <w:rPr>
              <w:rFonts w:hint="eastAsia"/>
            </w:rPr>
            <w:t>The reasons and methods why Troyland needs to undertake Business Process Reengineering</w:t>
          </w:r>
          <w:r>
            <w:tab/>
          </w:r>
          <w:r>
            <w:fldChar w:fldCharType="begin"/>
          </w:r>
          <w:r>
            <w:instrText xml:space="preserve"> PAGEREF _Toc30912 \h </w:instrText>
          </w:r>
          <w:r>
            <w:fldChar w:fldCharType="separate"/>
          </w:r>
          <w:r>
            <w:t>13</w:t>
          </w:r>
          <w:r>
            <w:fldChar w:fldCharType="end"/>
          </w:r>
          <w:r>
            <w:rPr>
              <w:bCs/>
            </w:rPr>
            <w:fldChar w:fldCharType="end"/>
          </w:r>
        </w:p>
        <w:p>
          <w:pPr>
            <w:pStyle w:val="6"/>
            <w:tabs>
              <w:tab w:val="right" w:leader="dot" w:pos="8306"/>
            </w:tabs>
          </w:pPr>
          <w:r>
            <w:rPr>
              <w:bCs/>
            </w:rPr>
            <w:fldChar w:fldCharType="begin"/>
          </w:r>
          <w:r>
            <w:rPr>
              <w:bCs/>
            </w:rPr>
            <w:instrText xml:space="preserve"> HYPERLINK \l _Toc8051 </w:instrText>
          </w:r>
          <w:r>
            <w:rPr>
              <w:bCs/>
            </w:rPr>
            <w:fldChar w:fldCharType="separate"/>
          </w:r>
          <w:r>
            <w:rPr>
              <w:rFonts w:hint="eastAsia"/>
              <w:lang w:val="en-US" w:eastAsia="zh-CN"/>
            </w:rPr>
            <w:t xml:space="preserve">2.2.3 </w:t>
          </w:r>
          <w:r>
            <w:rPr>
              <w:rFonts w:hint="eastAsia"/>
            </w:rPr>
            <w:t>Troyland's Balanced Scorecard</w:t>
          </w:r>
          <w:r>
            <w:tab/>
          </w:r>
          <w:r>
            <w:fldChar w:fldCharType="begin"/>
          </w:r>
          <w:r>
            <w:instrText xml:space="preserve"> PAGEREF _Toc8051 \h </w:instrText>
          </w:r>
          <w:r>
            <w:fldChar w:fldCharType="separate"/>
          </w:r>
          <w:r>
            <w:t>14</w:t>
          </w:r>
          <w:r>
            <w:fldChar w:fldCharType="end"/>
          </w:r>
          <w:r>
            <w:rPr>
              <w:bCs/>
            </w:rPr>
            <w:fldChar w:fldCharType="end"/>
          </w:r>
        </w:p>
        <w:p>
          <w:pPr>
            <w:pStyle w:val="8"/>
            <w:tabs>
              <w:tab w:val="right" w:leader="dot" w:pos="8306"/>
            </w:tabs>
          </w:pPr>
          <w:r>
            <w:rPr>
              <w:bCs/>
            </w:rPr>
            <w:fldChar w:fldCharType="begin"/>
          </w:r>
          <w:r>
            <w:rPr>
              <w:bCs/>
            </w:rPr>
            <w:instrText xml:space="preserve"> HYPERLINK \l _Toc23433 </w:instrText>
          </w:r>
          <w:r>
            <w:rPr>
              <w:bCs/>
            </w:rPr>
            <w:fldChar w:fldCharType="separate"/>
          </w:r>
          <w:r>
            <w:rPr>
              <w:rFonts w:hint="eastAsia"/>
              <w:lang w:val="en-US" w:eastAsia="zh-CN"/>
            </w:rPr>
            <w:t>3. Conclusion</w:t>
          </w:r>
          <w:r>
            <w:tab/>
          </w:r>
          <w:r>
            <w:fldChar w:fldCharType="begin"/>
          </w:r>
          <w:r>
            <w:instrText xml:space="preserve"> PAGEREF _Toc23433 \h </w:instrText>
          </w:r>
          <w:r>
            <w:fldChar w:fldCharType="separate"/>
          </w:r>
          <w:r>
            <w:t>15</w:t>
          </w:r>
          <w:r>
            <w:fldChar w:fldCharType="end"/>
          </w:r>
          <w:r>
            <w:rPr>
              <w:bCs/>
            </w:rPr>
            <w:fldChar w:fldCharType="end"/>
          </w:r>
        </w:p>
        <w:p>
          <w:pPr>
            <w:pStyle w:val="10"/>
            <w:tabs>
              <w:tab w:val="right" w:leader="dot" w:pos="8306"/>
            </w:tabs>
          </w:pPr>
          <w:r>
            <w:rPr>
              <w:bCs/>
            </w:rPr>
            <w:fldChar w:fldCharType="begin"/>
          </w:r>
          <w:r>
            <w:rPr>
              <w:bCs/>
            </w:rPr>
            <w:instrText xml:space="preserve"> HYPERLINK \l _Toc24871 </w:instrText>
          </w:r>
          <w:r>
            <w:rPr>
              <w:bCs/>
            </w:rPr>
            <w:fldChar w:fldCharType="separate"/>
          </w:r>
          <w:r>
            <w:rPr>
              <w:rFonts w:hint="eastAsia"/>
              <w:lang w:val="en-US" w:eastAsia="zh-CN"/>
            </w:rPr>
            <w:t xml:space="preserve">3.1 </w:t>
          </w:r>
          <w:r>
            <w:rPr>
              <w:rFonts w:hint="eastAsia"/>
            </w:rPr>
            <w:t>P</w:t>
          </w:r>
          <w:r>
            <w:rPr>
              <w:rFonts w:hint="eastAsia"/>
              <w:lang w:val="en-US" w:eastAsia="zh-CN"/>
            </w:rPr>
            <w:t>ART</w:t>
          </w:r>
          <w:r>
            <w:rPr>
              <w:rFonts w:hint="eastAsia"/>
            </w:rPr>
            <w:t>1</w:t>
          </w:r>
          <w:r>
            <w:tab/>
          </w:r>
          <w:r>
            <w:fldChar w:fldCharType="begin"/>
          </w:r>
          <w:r>
            <w:instrText xml:space="preserve"> PAGEREF _Toc24871 \h </w:instrText>
          </w:r>
          <w:r>
            <w:fldChar w:fldCharType="separate"/>
          </w:r>
          <w:r>
            <w:t>15</w:t>
          </w:r>
          <w:r>
            <w:fldChar w:fldCharType="end"/>
          </w:r>
          <w:r>
            <w:rPr>
              <w:bCs/>
            </w:rPr>
            <w:fldChar w:fldCharType="end"/>
          </w:r>
        </w:p>
        <w:p>
          <w:pPr>
            <w:pStyle w:val="10"/>
            <w:tabs>
              <w:tab w:val="right" w:leader="dot" w:pos="8306"/>
            </w:tabs>
          </w:pPr>
          <w:r>
            <w:rPr>
              <w:bCs/>
            </w:rPr>
            <w:fldChar w:fldCharType="begin"/>
          </w:r>
          <w:r>
            <w:rPr>
              <w:bCs/>
            </w:rPr>
            <w:instrText xml:space="preserve"> HYPERLINK \l _Toc861 </w:instrText>
          </w:r>
          <w:r>
            <w:rPr>
              <w:bCs/>
            </w:rPr>
            <w:fldChar w:fldCharType="separate"/>
          </w:r>
          <w:r>
            <w:rPr>
              <w:rFonts w:hint="eastAsia"/>
              <w:lang w:val="en-US" w:eastAsia="zh-CN"/>
            </w:rPr>
            <w:t xml:space="preserve">3.2 </w:t>
          </w:r>
          <w:r>
            <w:rPr>
              <w:rFonts w:hint="eastAsia"/>
            </w:rPr>
            <w:t>P</w:t>
          </w:r>
          <w:r>
            <w:rPr>
              <w:rFonts w:hint="eastAsia"/>
              <w:lang w:val="en-US" w:eastAsia="zh-CN"/>
            </w:rPr>
            <w:t>ART</w:t>
          </w:r>
          <w:r>
            <w:rPr>
              <w:rFonts w:hint="eastAsia"/>
            </w:rPr>
            <w:t>2</w:t>
          </w:r>
          <w:r>
            <w:tab/>
          </w:r>
          <w:r>
            <w:fldChar w:fldCharType="begin"/>
          </w:r>
          <w:r>
            <w:instrText xml:space="preserve"> PAGEREF _Toc861 \h </w:instrText>
          </w:r>
          <w:r>
            <w:fldChar w:fldCharType="separate"/>
          </w:r>
          <w:r>
            <w:t>15</w:t>
          </w:r>
          <w:r>
            <w:fldChar w:fldCharType="end"/>
          </w:r>
          <w:r>
            <w:rPr>
              <w:bCs/>
            </w:rPr>
            <w:fldChar w:fldCharType="end"/>
          </w:r>
        </w:p>
        <w:p>
          <w:pPr>
            <w:pStyle w:val="8"/>
            <w:tabs>
              <w:tab w:val="right" w:leader="dot" w:pos="8306"/>
            </w:tabs>
          </w:pPr>
          <w:r>
            <w:rPr>
              <w:bCs/>
            </w:rPr>
            <w:fldChar w:fldCharType="begin"/>
          </w:r>
          <w:r>
            <w:rPr>
              <w:bCs/>
            </w:rPr>
            <w:instrText xml:space="preserve"> HYPERLINK \l _Toc8575 </w:instrText>
          </w:r>
          <w:r>
            <w:rPr>
              <w:bCs/>
            </w:rPr>
            <w:fldChar w:fldCharType="separate"/>
          </w:r>
          <w:r>
            <w:t>Bibliography</w:t>
          </w:r>
          <w:r>
            <w:tab/>
          </w:r>
          <w:r>
            <w:fldChar w:fldCharType="begin"/>
          </w:r>
          <w:r>
            <w:instrText xml:space="preserve"> PAGEREF _Toc8575 \h </w:instrText>
          </w:r>
          <w:r>
            <w:fldChar w:fldCharType="separate"/>
          </w:r>
          <w:r>
            <w:t>16</w:t>
          </w:r>
          <w:r>
            <w:fldChar w:fldCharType="end"/>
          </w:r>
          <w:r>
            <w:rPr>
              <w:bCs/>
            </w:rPr>
            <w:fldChar w:fldCharType="end"/>
          </w:r>
        </w:p>
        <w:p>
          <w:pPr>
            <w:rPr>
              <w:b/>
              <w:bCs/>
            </w:rPr>
          </w:pPr>
          <w:r>
            <w:rPr>
              <w:bCs/>
            </w:rPr>
            <w:fldChar w:fldCharType="end"/>
          </w:r>
        </w:p>
      </w:sdtContent>
    </w:sdt>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rFonts w:hint="eastAsia"/>
        </w:rPr>
      </w:pPr>
    </w:p>
    <w:p>
      <w:pPr>
        <w:pStyle w:val="2"/>
        <w:numPr>
          <w:ilvl w:val="0"/>
          <w:numId w:val="1"/>
        </w:numPr>
        <w:bidi w:val="0"/>
        <w:rPr>
          <w:rFonts w:hint="eastAsia"/>
        </w:rPr>
      </w:pPr>
      <w:bookmarkStart w:id="23" w:name="_Toc23181"/>
      <w:r>
        <w:rPr>
          <w:rFonts w:hint="eastAsia"/>
        </w:rPr>
        <w:t>Introduction</w:t>
      </w:r>
      <w:bookmarkEnd w:id="23"/>
    </w:p>
    <w:p>
      <w:pPr>
        <w:numPr>
          <w:numId w:val="0"/>
        </w:numPr>
        <w:rPr>
          <w:rFonts w:hint="eastAsia"/>
        </w:rPr>
      </w:pPr>
    </w:p>
    <w:p>
      <w:pPr>
        <w:rPr>
          <w:rFonts w:hint="eastAsia"/>
        </w:rPr>
      </w:pPr>
      <w:r>
        <w:rPr>
          <w:rFonts w:hint="eastAsia"/>
        </w:rPr>
        <w:t>Performance management is the process of achieving alignment between organisational or individual goals and organisational strategic objectives to improve organisational or individual efficiency and effectiveness through the steps of setting goals, measuring results, providing feedback and taking action (Otley, 1999). Performance management is an integral part of organisational management, especially in the contemporary environment where competition is becoming more intense, change is rapid and demands are increasingly efficient, and effective performance management is important for organisations to achieve sustainable development.</w:t>
      </w:r>
    </w:p>
    <w:p>
      <w:pPr>
        <w:rPr>
          <w:rFonts w:hint="eastAsia"/>
        </w:rPr>
      </w:pPr>
    </w:p>
    <w:p>
      <w:pPr>
        <w:pStyle w:val="3"/>
        <w:numPr>
          <w:ilvl w:val="1"/>
          <w:numId w:val="2"/>
        </w:numPr>
        <w:bidi w:val="0"/>
        <w:rPr>
          <w:rFonts w:hint="eastAsia"/>
          <w:lang w:val="en-US" w:eastAsia="zh-CN"/>
        </w:rPr>
      </w:pPr>
      <w:bookmarkStart w:id="24" w:name="_Toc1028"/>
      <w:r>
        <w:rPr>
          <w:rFonts w:hint="eastAsia"/>
          <w:lang w:val="en-US" w:eastAsia="zh-CN"/>
        </w:rPr>
        <w:t>PART1 Portal Fabrication PLC</w:t>
      </w:r>
      <w:bookmarkEnd w:id="24"/>
    </w:p>
    <w:p>
      <w:pPr>
        <w:numPr>
          <w:numId w:val="0"/>
        </w:numPr>
        <w:ind w:leftChars="0"/>
        <w:rPr>
          <w:rFonts w:hint="default"/>
          <w:lang w:val="en-US" w:eastAsia="zh-CN"/>
        </w:rPr>
      </w:pPr>
    </w:p>
    <w:p>
      <w:pPr>
        <w:rPr>
          <w:rFonts w:hint="eastAsia"/>
        </w:rPr>
      </w:pPr>
      <w:r>
        <w:rPr>
          <w:rFonts w:hint="eastAsia"/>
        </w:rPr>
        <w:t>Portal Fabrication plc is a company that manufactures automotive grinding machines and provides warranty and non-warranty repair services, divided into a manufacturing/sales (M/S) division and a service division. The company has achieved significant success over the last five years and is currently exploring strategies to improve coordination between the two divisions. The aim of this report is to evaluate and improve Portal Fabrication plc's performance management strategy by assessing the performance of both divisions using techniques such as return on investment (ROI), residual income (RI), economic value added (EVA) and making recommendations for using the balanced scorecard (BSC) as a comprehensive performance management tool. It will also analyse the principles and methods of designing an internal transfer pricing system and compare the advantages and disadvantages of the market price approach and the cost-plus approach. Finally, it will assess the potential impact of the introduction of a new Executive Information System (EIS) on performance management and make recommendations accordingly.</w:t>
      </w:r>
    </w:p>
    <w:p>
      <w:pPr>
        <w:rPr>
          <w:rFonts w:hint="eastAsia"/>
        </w:rPr>
      </w:pPr>
    </w:p>
    <w:p>
      <w:pPr>
        <w:pStyle w:val="3"/>
        <w:bidi w:val="0"/>
        <w:rPr>
          <w:rFonts w:hint="default"/>
          <w:lang w:val="en-US" w:eastAsia="zh-CN"/>
        </w:rPr>
      </w:pPr>
      <w:bookmarkStart w:id="25" w:name="_Toc5959"/>
      <w:r>
        <w:rPr>
          <w:rFonts w:hint="eastAsia"/>
          <w:lang w:val="en-US" w:eastAsia="zh-CN"/>
        </w:rPr>
        <w:t>1.2 PART2 Troy Brands</w:t>
      </w:r>
      <w:bookmarkEnd w:id="25"/>
    </w:p>
    <w:p>
      <w:pPr>
        <w:rPr>
          <w:rFonts w:hint="eastAsia"/>
        </w:rPr>
      </w:pPr>
    </w:p>
    <w:p>
      <w:pPr>
        <w:rPr>
          <w:rFonts w:hint="eastAsia"/>
        </w:rPr>
      </w:pPr>
      <w:r>
        <w:rPr>
          <w:rFonts w:hint="eastAsia"/>
        </w:rPr>
        <w:t>Troyland Footwear Limited is a private limited company founded in 2008 by Ms Evelyn Plummer in the London Borough of Tower Hamlets. The company is a medium sized footwear design and retail company that supplies footwear, sandals, boots and accessories to a mid to high end clientele. The company has grown from a small sole trader to a limited liability company with 16 employees and in 2018 opened a retail division selling retail products such as socks and tights. The company was faced with a growth crisis and expansion options that required an analysis of its performance strategy and recommendations for improvement. The purpose of this report is to assess the company's performance over the period 2018-2021 and identify its strengths and weaknesses based on the data and information provided in the case, using the balanced scorecard model (Kaplan &amp; Norton, 1992), in four areas: financial, customer, internal processes and learning and growth. It will also present recommendations for the company's growth crisis and expansion options based on the results of the analysis, as well as an indication of the risks and challenges it may face. The report is structured as follows: the first section is a summary, which briefly outlines the purpose, methodology, key findings and recommendations of the report; the second section is an introduction, which presents the background, issues and objectives of the case, as well as the structure and scope of the report; the third section contains the key findings, which uses the balanced scorecard model to assess the company's performance in four areas: financial, customer, internal processes and learning and growth, over the period 2018-2021 performance over the period 2018-2021 and identifies its strengths and weaknesses; and the fourth section concludes, summarising the report's key findings, making recommendations to address the company's growth crisis and expansion options, and describing the risks and challenges it may face. This report is applicable to Troyland Footwear Limited and its relevant stakeholders.</w:t>
      </w:r>
    </w:p>
    <w:p>
      <w:pPr>
        <w:rPr>
          <w:rFonts w:hint="eastAsia"/>
        </w:rPr>
      </w:pPr>
    </w:p>
    <w:p>
      <w:pPr>
        <w:pStyle w:val="2"/>
        <w:numPr>
          <w:ilvl w:val="0"/>
          <w:numId w:val="1"/>
        </w:numPr>
        <w:bidi w:val="0"/>
        <w:ind w:left="0" w:leftChars="0" w:firstLine="0" w:firstLineChars="0"/>
        <w:rPr>
          <w:rFonts w:hint="eastAsia"/>
        </w:rPr>
      </w:pPr>
      <w:bookmarkStart w:id="26" w:name="_Toc23418"/>
      <w:r>
        <w:rPr>
          <w:rFonts w:hint="eastAsia"/>
        </w:rPr>
        <w:t>Key findings</w:t>
      </w:r>
      <w:bookmarkEnd w:id="26"/>
    </w:p>
    <w:p>
      <w:pPr>
        <w:pStyle w:val="3"/>
        <w:numPr>
          <w:numId w:val="0"/>
        </w:numPr>
        <w:bidi w:val="0"/>
        <w:ind w:leftChars="0"/>
        <w:rPr>
          <w:rFonts w:hint="eastAsia"/>
          <w:lang w:val="en-US" w:eastAsia="zh-CN"/>
        </w:rPr>
      </w:pPr>
      <w:bookmarkStart w:id="27" w:name="_Toc19997"/>
      <w:r>
        <w:rPr>
          <w:rFonts w:hint="eastAsia"/>
          <w:lang w:val="en-US" w:eastAsia="zh-CN"/>
        </w:rPr>
        <w:t>2.1. PART1 Portal Fabrication PLC</w:t>
      </w:r>
      <w:bookmarkEnd w:id="27"/>
    </w:p>
    <w:p>
      <w:pPr>
        <w:rPr>
          <w:rFonts w:hint="eastAsia"/>
        </w:rPr>
      </w:pPr>
      <w:bookmarkStart w:id="40" w:name="_GoBack"/>
      <w:bookmarkEnd w:id="40"/>
    </w:p>
    <w:p>
      <w:pPr>
        <w:rPr>
          <w:rFonts w:hint="eastAsia"/>
        </w:rPr>
      </w:pPr>
      <w:r>
        <w:rPr>
          <w:rFonts w:hint="eastAsia"/>
        </w:rPr>
        <w:t>In this section, we will assess the departmental performance of Portal Fabrication plc and discuss the proposed departmental performance indicators. We will also outline the criteria for designing a transfer pricing system and evaluate two methods for calculating transfer prices between the service and M/S departments. Finally, we will assess the potential impact of the introduction of a new executive information system on the performance management of Portal Fabrication plc.</w:t>
      </w:r>
    </w:p>
    <w:p>
      <w:pPr>
        <w:rPr>
          <w:rFonts w:hint="eastAsia"/>
        </w:rPr>
      </w:pPr>
    </w:p>
    <w:p>
      <w:pPr>
        <w:pStyle w:val="4"/>
        <w:bidi w:val="0"/>
        <w:rPr>
          <w:rFonts w:hint="eastAsia"/>
        </w:rPr>
      </w:pPr>
      <w:bookmarkStart w:id="28" w:name="_Toc19701"/>
      <w:r>
        <w:rPr>
          <w:rFonts w:hint="eastAsia"/>
        </w:rPr>
        <w:t>2.1</w:t>
      </w:r>
      <w:r>
        <w:rPr>
          <w:rFonts w:hint="eastAsia"/>
          <w:lang w:val="en-US" w:eastAsia="zh-CN"/>
        </w:rPr>
        <w:t>.1</w:t>
      </w:r>
      <w:r>
        <w:rPr>
          <w:rFonts w:hint="eastAsia"/>
        </w:rPr>
        <w:t xml:space="preserve"> Departmental performance assessment and metrics</w:t>
      </w:r>
      <w:bookmarkEnd w:id="28"/>
    </w:p>
    <w:p>
      <w:pPr>
        <w:rPr>
          <w:rFonts w:hint="eastAsia"/>
        </w:rPr>
      </w:pPr>
    </w:p>
    <w:p>
      <w:pPr>
        <w:rPr>
          <w:rFonts w:hint="eastAsia"/>
        </w:rPr>
      </w:pPr>
      <w:r>
        <w:rPr>
          <w:rFonts w:hint="eastAsia"/>
        </w:rPr>
        <w:t>Portal Fabrication plc is divided into two divisions: the Manufacturing/Sales (M/S) division and the Services division. The Board uses Total Shareholder Return (TSR) as an overall corporate performance indicator and Return on Investment (ROI) as a relative performance indicator between the two divisions. However, the Board is concerned that these indicators do not properly assess the performance of divisional managers and would like to consider other indicators such as residual income (RI) and economic value added (EVA).</w:t>
      </w:r>
    </w:p>
    <w:p>
      <w:pPr>
        <w:rPr>
          <w:rFonts w:hint="eastAsia"/>
        </w:rPr>
      </w:pPr>
    </w:p>
    <w:p>
      <w:pPr>
        <w:numPr>
          <w:ilvl w:val="0"/>
          <w:numId w:val="3"/>
        </w:numPr>
        <w:ind w:left="420" w:leftChars="0" w:hanging="420" w:firstLineChars="0"/>
        <w:rPr>
          <w:rFonts w:hint="eastAsia"/>
        </w:rPr>
      </w:pPr>
      <w:r>
        <w:rPr>
          <w:rFonts w:hint="eastAsia"/>
        </w:rPr>
        <w:t>Return is a widely used departmental performance indicator that compares operating profit with capital investment. It shows how efficiently a sector uses capital to generate profits. However, return as a sectoral performance indicator has a number of limitations. Firstly, it may encourage short-term behaviour and under-investment, as department managers may want to maintain or improve their returns by avoiding projects that return less than the current rate of return but are still beneficial to the company. Secondly, it may not reflect the risk-adjusted cost of capital for the different activities and markets faced by each sector. Thirdly, it may not take into account differences in depreciation methods or asset valuation policies between sectors, which may affect their capital investment and returns.</w:t>
      </w:r>
    </w:p>
    <w:p>
      <w:pPr>
        <w:rPr>
          <w:rFonts w:hint="eastAsia"/>
        </w:rPr>
      </w:pPr>
    </w:p>
    <w:p>
      <w:pPr>
        <w:numPr>
          <w:ilvl w:val="0"/>
          <w:numId w:val="3"/>
        </w:numPr>
        <w:ind w:left="420" w:leftChars="0" w:hanging="420" w:firstLineChars="0"/>
        <w:rPr>
          <w:rFonts w:hint="eastAsia"/>
        </w:rPr>
      </w:pPr>
      <w:r>
        <w:rPr>
          <w:rFonts w:hint="eastAsia"/>
        </w:rPr>
        <w:t>Residual income is another divisional performance indicator that deducts an assumed cost of capital from operating profit to show how much value a division adds or destroys for the company. It overcomes some of the limitations of the rate of return by encouraging long-term investment decisions consistent with maximising shareholder wealth and reflecting the different costs of capital in different sectors. However, residual income as a sectoral performance indicator also has some disadvantages. Firstly, it may not be suitable for comparing sectors of different sizes or scopes of operation, as larger sectors may have higher residual income simply because of higher capital investment. Secondly, it may not take into account differences between sectors in terms of inflation or tax rates, which may affect their operating profit and residual income.</w:t>
      </w:r>
    </w:p>
    <w:p>
      <w:pPr>
        <w:rPr>
          <w:rFonts w:hint="eastAsia"/>
        </w:rPr>
      </w:pPr>
    </w:p>
    <w:p>
      <w:pPr>
        <w:numPr>
          <w:ilvl w:val="0"/>
          <w:numId w:val="3"/>
        </w:numPr>
        <w:ind w:left="420" w:leftChars="0" w:hanging="420" w:firstLineChars="0"/>
      </w:pPr>
      <w:r>
        <w:rPr>
          <w:rFonts w:hint="eastAsia"/>
        </w:rPr>
        <w:t>Economic value added is a modified version of residual income that adjusts operating profit and capital input for various accounting distortions (such as depreciation methods, asset valuation policies, inflation rates and tax rates). It is designed to measure the true economic value added by a sector after deducting its true economic cost of capital. Economic value added has a number of advantages over residual income as an indicator of sector performance. Firstly, it is more appropriate for comparing sectors of different sizes or operating scopes because it eliminates the accounting differences that affect residual income. Secondly, it is more consistent with the objective of maximising shareholder wealth as it reflects the opportunity cost of investing in alternative projects with similar risks.</w:t>
      </w:r>
    </w:p>
    <w:p>
      <w:pPr>
        <w:numPr>
          <w:numId w:val="0"/>
        </w:numPr>
        <w:jc w:val="both"/>
        <w:rPr>
          <w:rFonts w:hint="eastAsia"/>
        </w:rPr>
      </w:pPr>
    </w:p>
    <w:p>
      <w:pPr>
        <w:numPr>
          <w:numId w:val="0"/>
        </w:numPr>
        <w:jc w:val="both"/>
        <w:rPr>
          <w:rFonts w:hint="eastAsia"/>
        </w:rPr>
      </w:pPr>
      <w:r>
        <w:rPr>
          <w:rFonts w:hint="eastAsia"/>
        </w:rPr>
        <w:t>Based on these considerations, we have calculated the rate of return, residual income and economic value added for each sector using the data provided in the case study and have summarised the results in the following table:</w:t>
      </w:r>
    </w:p>
    <w:p>
      <w:pPr>
        <w:numPr>
          <w:numId w:val="0"/>
        </w:numPr>
        <w:jc w:val="both"/>
        <w:rPr>
          <w:rFonts w:hint="eastAsia"/>
        </w:rPr>
      </w:pPr>
    </w:p>
    <w:tbl>
      <w:tblPr>
        <w:tblW w:w="4998" w:type="pct"/>
        <w:jc w:val="center"/>
        <w:tblDescription w:val="{&quot;styleId&quot;:2}"/>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48" w:type="dxa"/>
          <w:bottom w:w="0" w:type="dxa"/>
          <w:right w:w="48" w:type="dxa"/>
        </w:tblCellMar>
      </w:tblPr>
      <w:tblGrid>
        <w:gridCol w:w="4371"/>
        <w:gridCol w:w="1254"/>
        <w:gridCol w:w="1545"/>
        <w:gridCol w:w="12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Header/>
          <w:tblCellSpacing w:w="15" w:type="dxa"/>
          <w:jc w:val="center"/>
        </w:trPr>
        <w:tc>
          <w:tcPr>
            <w:tcW w:w="2559" w:type="pct"/>
            <w:tcBorders>
              <w:top w:val="single" w:color="4684D3" w:sz="8" w:space="0"/>
              <w:left w:val="single" w:color="4684D3" w:sz="8" w:space="0"/>
              <w:bottom w:val="single" w:color="DDDDDD" w:sz="18" w:space="0"/>
              <w:right w:val="single" w:color="DDDDDD" w:sz="8" w:space="0"/>
            </w:tcBorders>
            <w:shd w:val="clear" w:color="auto" w:fill="4684D3"/>
            <w:tcMar>
              <w:top w:w="96" w:type="dxa"/>
              <w:left w:w="0" w:type="dxa"/>
              <w:bottom w:w="96" w:type="dxa"/>
              <w:right w:w="48" w:type="dxa"/>
            </w:tcMar>
            <w:vAlign w:val="top"/>
          </w:tcPr>
          <w:p>
            <w:pPr>
              <w:keepNext w:val="0"/>
              <w:keepLines w:val="0"/>
              <w:widowControl/>
              <w:suppressLineNumbers w:val="0"/>
              <w:jc w:val="left"/>
              <w:textAlignment w:val="baseline"/>
              <w:rPr>
                <w:rFonts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Sector</w:t>
            </w:r>
          </w:p>
        </w:tc>
        <w:tc>
          <w:tcPr>
            <w:tcW w:w="724" w:type="pct"/>
            <w:tcBorders>
              <w:top w:val="single" w:color="4684D3" w:sz="8" w:space="0"/>
              <w:left w:val="single" w:color="DDDDDD" w:sz="8" w:space="0"/>
              <w:bottom w:val="single" w:color="DDDDDD" w:sz="18" w:space="0"/>
              <w:right w:val="single" w:color="DDDDDD" w:sz="8"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M/S</w:t>
            </w:r>
          </w:p>
        </w:tc>
        <w:tc>
          <w:tcPr>
            <w:tcW w:w="896" w:type="pct"/>
            <w:tcBorders>
              <w:top w:val="single" w:color="4684D3" w:sz="8" w:space="0"/>
              <w:left w:val="single" w:color="DDDDDD" w:sz="8" w:space="0"/>
              <w:bottom w:val="single" w:color="DDDDDD" w:sz="18" w:space="0"/>
              <w:right w:val="single" w:color="DDDDDD" w:sz="8"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Services</w:t>
            </w:r>
          </w:p>
        </w:tc>
        <w:tc>
          <w:tcPr>
            <w:tcW w:w="731" w:type="pct"/>
            <w:tcBorders>
              <w:top w:val="single" w:color="4684D3" w:sz="8" w:space="0"/>
              <w:left w:val="single" w:color="DDDDDD" w:sz="8" w:space="0"/>
              <w:bottom w:val="single" w:color="DDDDDD" w:sz="18" w:space="0"/>
              <w:right w:val="single" w:color="4684D3" w:sz="8"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CellSpacing w:w="15" w:type="dxa"/>
          <w:jc w:val="center"/>
        </w:trPr>
        <w:tc>
          <w:tcPr>
            <w:tcW w:w="2559" w:type="pct"/>
            <w:tcBorders>
              <w:top w:val="single" w:color="DDDDDD" w:sz="18" w:space="0"/>
              <w:left w:val="single" w:color="4684D3" w:sz="8" w:space="0"/>
              <w:bottom w:val="single" w:color="DDDDDD" w:sz="8" w:space="0"/>
              <w:right w:val="single" w:color="DDDDDD" w:sz="8"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Revenue (£m)</w:t>
            </w:r>
          </w:p>
        </w:tc>
        <w:tc>
          <w:tcPr>
            <w:tcW w:w="724" w:type="pct"/>
            <w:tcBorders>
              <w:top w:val="single" w:color="DDDDDD" w:sz="1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880</w:t>
            </w:r>
          </w:p>
        </w:tc>
        <w:tc>
          <w:tcPr>
            <w:tcW w:w="896" w:type="pct"/>
            <w:tcBorders>
              <w:top w:val="single" w:color="DDDDDD" w:sz="1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17</w:t>
            </w:r>
          </w:p>
        </w:tc>
        <w:tc>
          <w:tcPr>
            <w:tcW w:w="731" w:type="pct"/>
            <w:tcBorders>
              <w:top w:val="single" w:color="DDDDDD" w:sz="18" w:space="0"/>
              <w:left w:val="single" w:color="DDDDDD" w:sz="8" w:space="0"/>
              <w:bottom w:val="single" w:color="DDDDDD" w:sz="8" w:space="0"/>
              <w:right w:val="single" w:color="4684D3"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897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CellSpacing w:w="15" w:type="dxa"/>
          <w:jc w:val="center"/>
        </w:trPr>
        <w:tc>
          <w:tcPr>
            <w:tcW w:w="2559" w:type="pct"/>
            <w:tcBorders>
              <w:top w:val="single" w:color="DDDDDD" w:sz="8" w:space="0"/>
              <w:left w:val="single" w:color="4684D3" w:sz="8" w:space="0"/>
              <w:bottom w:val="single" w:color="DDDDDD" w:sz="8" w:space="0"/>
              <w:right w:val="single" w:color="DDDDDD" w:sz="8"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Costs (£m)</w:t>
            </w:r>
          </w:p>
        </w:tc>
        <w:tc>
          <w:tcPr>
            <w:tcW w:w="724" w:type="pct"/>
            <w:tcBorders>
              <w:top w:val="single" w:color="DDDDDD" w:sz="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494</w:t>
            </w:r>
          </w:p>
        </w:tc>
        <w:tc>
          <w:tcPr>
            <w:tcW w:w="896" w:type="pct"/>
            <w:tcBorders>
              <w:top w:val="single" w:color="DDDDDD" w:sz="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11</w:t>
            </w:r>
          </w:p>
        </w:tc>
        <w:tc>
          <w:tcPr>
            <w:tcW w:w="731" w:type="pct"/>
            <w:tcBorders>
              <w:top w:val="single" w:color="DDDDDD" w:sz="8" w:space="0"/>
              <w:left w:val="single" w:color="DDDDDD" w:sz="8" w:space="0"/>
              <w:bottom w:val="single" w:color="DDDDDD" w:sz="8" w:space="0"/>
              <w:right w:val="single" w:color="4684D3"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505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CellSpacing w:w="15" w:type="dxa"/>
          <w:jc w:val="center"/>
        </w:trPr>
        <w:tc>
          <w:tcPr>
            <w:tcW w:w="2559" w:type="pct"/>
            <w:tcBorders>
              <w:top w:val="single" w:color="DDDDDD" w:sz="8" w:space="0"/>
              <w:left w:val="single" w:color="4684D3" w:sz="8" w:space="0"/>
              <w:bottom w:val="single" w:color="DDDDDD" w:sz="8" w:space="0"/>
              <w:right w:val="single" w:color="DDDDDD" w:sz="8"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Profit (£m)</w:t>
            </w:r>
          </w:p>
        </w:tc>
        <w:tc>
          <w:tcPr>
            <w:tcW w:w="724" w:type="pct"/>
            <w:tcBorders>
              <w:top w:val="single" w:color="DDDDDD" w:sz="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386</w:t>
            </w:r>
          </w:p>
        </w:tc>
        <w:tc>
          <w:tcPr>
            <w:tcW w:w="896" w:type="pct"/>
            <w:tcBorders>
              <w:top w:val="single" w:color="DDDDDD" w:sz="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6</w:t>
            </w:r>
          </w:p>
        </w:tc>
        <w:tc>
          <w:tcPr>
            <w:tcW w:w="731" w:type="pct"/>
            <w:tcBorders>
              <w:top w:val="single" w:color="DDDDDD" w:sz="8" w:space="0"/>
              <w:left w:val="single" w:color="DDDDDD" w:sz="8" w:space="0"/>
              <w:bottom w:val="single" w:color="DDDDDD" w:sz="8" w:space="0"/>
              <w:right w:val="single" w:color="4684D3"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392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CellSpacing w:w="15" w:type="dxa"/>
          <w:jc w:val="center"/>
        </w:trPr>
        <w:tc>
          <w:tcPr>
            <w:tcW w:w="2559" w:type="pct"/>
            <w:tcBorders>
              <w:top w:val="single" w:color="DDDDDD" w:sz="8" w:space="0"/>
              <w:left w:val="single" w:color="4684D3" w:sz="8" w:space="0"/>
              <w:bottom w:val="single" w:color="DDDDDD" w:sz="8" w:space="0"/>
              <w:right w:val="single" w:color="DDDDDD" w:sz="8"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Capital (£m)</w:t>
            </w:r>
          </w:p>
        </w:tc>
        <w:tc>
          <w:tcPr>
            <w:tcW w:w="724" w:type="pct"/>
            <w:tcBorders>
              <w:top w:val="single" w:color="DDDDDD" w:sz="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1294</w:t>
            </w:r>
          </w:p>
        </w:tc>
        <w:tc>
          <w:tcPr>
            <w:tcW w:w="896" w:type="pct"/>
            <w:tcBorders>
              <w:top w:val="single" w:color="DDDDDD" w:sz="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38</w:t>
            </w:r>
          </w:p>
        </w:tc>
        <w:tc>
          <w:tcPr>
            <w:tcW w:w="731" w:type="pct"/>
            <w:tcBorders>
              <w:top w:val="single" w:color="DDDDDD" w:sz="8" w:space="0"/>
              <w:left w:val="single" w:color="DDDDDD" w:sz="8" w:space="0"/>
              <w:bottom w:val="single" w:color="DDDDDD" w:sz="8" w:space="0"/>
              <w:right w:val="single" w:color="4684D3"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1332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CellSpacing w:w="15" w:type="dxa"/>
          <w:jc w:val="center"/>
        </w:trPr>
        <w:tc>
          <w:tcPr>
            <w:tcW w:w="2559" w:type="pct"/>
            <w:tcBorders>
              <w:top w:val="single" w:color="DDDDDD" w:sz="8" w:space="0"/>
              <w:left w:val="single" w:color="4684D3" w:sz="8" w:space="0"/>
              <w:bottom w:val="single" w:color="DDDDDD" w:sz="8" w:space="0"/>
              <w:right w:val="single" w:color="DDDDDD" w:sz="8"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Return (%)</w:t>
            </w:r>
          </w:p>
        </w:tc>
        <w:tc>
          <w:tcPr>
            <w:tcW w:w="724" w:type="pct"/>
            <w:tcBorders>
              <w:top w:val="single" w:color="DDDDDD" w:sz="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29.83</w:t>
            </w:r>
          </w:p>
        </w:tc>
        <w:tc>
          <w:tcPr>
            <w:tcW w:w="896" w:type="pct"/>
            <w:tcBorders>
              <w:top w:val="single" w:color="DDDDDD" w:sz="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15.79</w:t>
            </w:r>
          </w:p>
        </w:tc>
        <w:tc>
          <w:tcPr>
            <w:tcW w:w="731" w:type="pct"/>
            <w:tcBorders>
              <w:top w:val="single" w:color="DDDDDD" w:sz="8" w:space="0"/>
              <w:left w:val="single" w:color="DDDDDD" w:sz="8" w:space="0"/>
              <w:bottom w:val="single" w:color="DDDDDD" w:sz="8" w:space="0"/>
              <w:right w:val="single" w:color="4684D3"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29.44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CellSpacing w:w="15" w:type="dxa"/>
          <w:jc w:val="center"/>
        </w:trPr>
        <w:tc>
          <w:tcPr>
            <w:tcW w:w="2559" w:type="pct"/>
            <w:tcBorders>
              <w:top w:val="single" w:color="DDDDDD" w:sz="8" w:space="0"/>
              <w:left w:val="single" w:color="4684D3" w:sz="8" w:space="0"/>
              <w:bottom w:val="single" w:color="DDDDDD" w:sz="8" w:space="0"/>
              <w:right w:val="single" w:color="DDDDDD" w:sz="8"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Residual Income (£m)</w:t>
            </w:r>
          </w:p>
        </w:tc>
        <w:tc>
          <w:tcPr>
            <w:tcW w:w="724" w:type="pct"/>
            <w:tcBorders>
              <w:top w:val="single" w:color="DDDDDD" w:sz="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262.54</w:t>
            </w:r>
          </w:p>
        </w:tc>
        <w:tc>
          <w:tcPr>
            <w:tcW w:w="896" w:type="pct"/>
            <w:tcBorders>
              <w:top w:val="single" w:color="DDDDDD" w:sz="8" w:space="0"/>
              <w:left w:val="single" w:color="DDDDDD" w:sz="8" w:space="0"/>
              <w:bottom w:val="single" w:color="DDDDDD"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2.58</w:t>
            </w:r>
          </w:p>
        </w:tc>
        <w:tc>
          <w:tcPr>
            <w:tcW w:w="731" w:type="pct"/>
            <w:tcBorders>
              <w:top w:val="single" w:color="DDDDDD" w:sz="8" w:space="0"/>
              <w:left w:val="single" w:color="DDDDDD" w:sz="8" w:space="0"/>
              <w:bottom w:val="single" w:color="DDDDDD" w:sz="8" w:space="0"/>
              <w:right w:val="single" w:color="4684D3"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265.12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CellSpacing w:w="15" w:type="dxa"/>
          <w:jc w:val="center"/>
        </w:trPr>
        <w:tc>
          <w:tcPr>
            <w:tcW w:w="2559" w:type="pct"/>
            <w:tcBorders>
              <w:top w:val="single" w:color="DDDDDD" w:sz="8" w:space="0"/>
              <w:left w:val="single" w:color="4684D3" w:sz="8" w:space="0"/>
              <w:bottom w:val="single" w:color="4684D3" w:sz="8" w:space="0"/>
              <w:right w:val="single" w:color="DDDDDD" w:sz="8"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Economic Value Added (£m)</w:t>
            </w:r>
          </w:p>
        </w:tc>
        <w:tc>
          <w:tcPr>
            <w:tcW w:w="724" w:type="pct"/>
            <w:tcBorders>
              <w:top w:val="single" w:color="DDDDDD" w:sz="8" w:space="0"/>
              <w:left w:val="single" w:color="DDDDDD" w:sz="8" w:space="0"/>
              <w:bottom w:val="single" w:color="4684D3"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270.2</w:t>
            </w:r>
          </w:p>
        </w:tc>
        <w:tc>
          <w:tcPr>
            <w:tcW w:w="896" w:type="pct"/>
            <w:tcBorders>
              <w:top w:val="single" w:color="DDDDDD" w:sz="8" w:space="0"/>
              <w:left w:val="single" w:color="DDDDDD" w:sz="8" w:space="0"/>
              <w:bottom w:val="single" w:color="4684D3" w:sz="8" w:space="0"/>
              <w:right w:val="single" w:color="DDDDDD"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4.2</w:t>
            </w:r>
          </w:p>
        </w:tc>
        <w:tc>
          <w:tcPr>
            <w:tcW w:w="731" w:type="pct"/>
            <w:tcBorders>
              <w:top w:val="single" w:color="DDDDDD" w:sz="8" w:space="0"/>
              <w:left w:val="single" w:color="DDDDDD" w:sz="8" w:space="0"/>
              <w:bottom w:val="single" w:color="4684D3" w:sz="8" w:space="0"/>
              <w:right w:val="single" w:color="4684D3" w:sz="8"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274.4</w:t>
            </w:r>
          </w:p>
        </w:tc>
      </w:tr>
    </w:tbl>
    <w:p>
      <w:pPr>
        <w:numPr>
          <w:numId w:val="0"/>
        </w:numPr>
        <w:jc w:val="both"/>
        <w:rPr>
          <w:rFonts w:hint="eastAsia"/>
        </w:rPr>
      </w:pPr>
    </w:p>
    <w:p>
      <w:pPr>
        <w:numPr>
          <w:numId w:val="0"/>
        </w:numPr>
        <w:jc w:val="both"/>
        <w:rPr>
          <w:rFonts w:hint="eastAsia"/>
        </w:rPr>
      </w:pPr>
      <w:r>
        <w:rPr>
          <w:rFonts w:hint="eastAsia"/>
        </w:rPr>
        <w:t>As can be seen from the table, the M/S sector outperforms the services sector in terms of returns, residual income and economic value added, indicating that the M/S sector is more efficient and profitable. However, these indicators may not reflect the full range of aspects of sector performance, such as customer satisfaction, quality, innovation and sustainability. We therefore recommend that Portal Fabrication plc adopt the Balanced Scorecard (BSC) as a comprehensive performance management tool. The Balanced Scorecard is a strategic management tool that links the company's vision and mission to four perspectives: finance, customers, internal business processes and learning and growth. It helps to align departmental objectives and activities with the company's strategy and uses financial and non-financial indicators to monitor and improve its performance (Kaplan &amp; Norton 1996). The balanced scorecard can help Portal Fabrication plc to gain a comprehensive understanding of the strengths and weaknesses of its departmental performance and to develop improvements accordingly.</w:t>
      </w:r>
    </w:p>
    <w:p>
      <w:pPr>
        <w:numPr>
          <w:numId w:val="0"/>
        </w:numPr>
        <w:jc w:val="both"/>
        <w:rPr>
          <w:rFonts w:hint="eastAsia"/>
        </w:rPr>
      </w:pPr>
    </w:p>
    <w:p>
      <w:pPr>
        <w:pStyle w:val="4"/>
        <w:bidi w:val="0"/>
        <w:rPr>
          <w:rFonts w:hint="eastAsia"/>
        </w:rPr>
      </w:pPr>
      <w:bookmarkStart w:id="29" w:name="_Toc20186"/>
      <w:r>
        <w:rPr>
          <w:rFonts w:hint="eastAsia"/>
        </w:rPr>
        <w:t>2.1.2 Design and evaluation of transfer pricing systems</w:t>
      </w:r>
      <w:bookmarkEnd w:id="29"/>
    </w:p>
    <w:p>
      <w:pPr>
        <w:numPr>
          <w:numId w:val="0"/>
        </w:numPr>
        <w:jc w:val="both"/>
        <w:rPr>
          <w:rFonts w:hint="eastAsia"/>
        </w:rPr>
      </w:pPr>
    </w:p>
    <w:p>
      <w:pPr>
        <w:numPr>
          <w:numId w:val="0"/>
        </w:numPr>
        <w:jc w:val="both"/>
        <w:rPr>
          <w:rFonts w:hint="eastAsia"/>
        </w:rPr>
      </w:pPr>
      <w:r>
        <w:rPr>
          <w:rFonts w:hint="eastAsia"/>
        </w:rPr>
        <w:t>Transfer pricing is the price determined when goods or services are traded between divisions within an enterprise group (Horngren et al., 2018). A transfer pricing system is the set of rules and procedures by which an enterprise group sets and enforces transfer pricing (Eccles, 1985). The design and evaluation of transfer pricing systems should be guided by the following principles:</w:t>
      </w:r>
    </w:p>
    <w:p>
      <w:pPr>
        <w:numPr>
          <w:numId w:val="0"/>
        </w:numPr>
        <w:jc w:val="both"/>
        <w:rPr>
          <w:rFonts w:hint="eastAsia"/>
        </w:rPr>
      </w:pPr>
      <w:r>
        <w:rPr>
          <w:rFonts w:hint="eastAsia"/>
        </w:rPr>
        <w:t>Goal congruence: transfer pricing systems should motivate line managers to make decisions that are consistent with the corporate group's overall goals and strategies (Anthony and Govindarajan, 2007).</w:t>
      </w:r>
    </w:p>
    <w:p>
      <w:pPr>
        <w:numPr>
          <w:numId w:val="0"/>
        </w:numPr>
        <w:jc w:val="both"/>
        <w:rPr>
          <w:rFonts w:hint="eastAsia"/>
        </w:rPr>
      </w:pPr>
      <w:r>
        <w:rPr>
          <w:rFonts w:hint="eastAsia"/>
        </w:rPr>
        <w:t>Performance evaluation: Transfer pricing systems should provide accurate and fair information for evaluating departmental performance (Lambert, 2009).</w:t>
      </w:r>
    </w:p>
    <w:p>
      <w:pPr>
        <w:numPr>
          <w:numId w:val="0"/>
        </w:numPr>
        <w:jc w:val="both"/>
        <w:rPr>
          <w:rFonts w:hint="eastAsia"/>
        </w:rPr>
      </w:pPr>
      <w:r>
        <w:rPr>
          <w:rFonts w:hint="eastAsia"/>
        </w:rPr>
        <w:t>Autonomy: Transfer pricing systems should respect the decision-making authority and responsibility of line managers (Otley, 1999).</w:t>
      </w:r>
    </w:p>
    <w:p>
      <w:pPr>
        <w:numPr>
          <w:numId w:val="0"/>
        </w:numPr>
        <w:jc w:val="both"/>
        <w:rPr>
          <w:rFonts w:hint="eastAsia"/>
        </w:rPr>
      </w:pPr>
      <w:r>
        <w:rPr>
          <w:rFonts w:hint="eastAsia"/>
        </w:rPr>
        <w:t>Simplicity: Transfer pricing systems should be easy to understand and implement (Drury, 2012).</w:t>
      </w:r>
    </w:p>
    <w:p>
      <w:pPr>
        <w:numPr>
          <w:numId w:val="0"/>
        </w:numPr>
        <w:jc w:val="both"/>
        <w:rPr>
          <w:rFonts w:hint="eastAsia"/>
        </w:rPr>
      </w:pPr>
      <w:r>
        <w:rPr>
          <w:rFonts w:hint="eastAsia"/>
        </w:rPr>
        <w:t>Compliance: transfer pricing systems should comply with applicable tax and regulatory requirements (Bhimani et al., 2012).</w:t>
      </w:r>
    </w:p>
    <w:p>
      <w:pPr>
        <w:numPr>
          <w:numId w:val="0"/>
        </w:numPr>
        <w:jc w:val="both"/>
        <w:rPr>
          <w:rFonts w:hint="eastAsia"/>
        </w:rPr>
      </w:pPr>
    </w:p>
    <w:p>
      <w:pPr>
        <w:numPr>
          <w:numId w:val="0"/>
        </w:numPr>
        <w:jc w:val="both"/>
        <w:rPr>
          <w:rFonts w:hint="eastAsia"/>
        </w:rPr>
      </w:pPr>
      <w:r>
        <w:rPr>
          <w:rFonts w:hint="eastAsia"/>
        </w:rPr>
        <w:t>Based on these principles, we can evaluate the two transfer pricing methods discussed in the case: the market price method and the cost-plus method (Horngren et al., 2018).</w:t>
      </w:r>
    </w:p>
    <w:p>
      <w:pPr>
        <w:numPr>
          <w:numId w:val="0"/>
        </w:numPr>
        <w:jc w:val="both"/>
        <w:rPr>
          <w:rFonts w:hint="eastAsia"/>
        </w:rPr>
      </w:pPr>
    </w:p>
    <w:p>
      <w:pPr>
        <w:numPr>
          <w:ilvl w:val="0"/>
          <w:numId w:val="3"/>
        </w:numPr>
        <w:ind w:left="420" w:leftChars="0" w:hanging="420" w:firstLineChars="0"/>
        <w:jc w:val="both"/>
        <w:rPr>
          <w:rFonts w:hint="eastAsia"/>
        </w:rPr>
      </w:pPr>
      <w:r>
        <w:rPr>
          <w:rFonts w:hint="eastAsia"/>
        </w:rPr>
        <w:t>Market price approach: The market price approach refers to using the competitive price of a good or service in the external market as the transfer price (Garrison et al., 2010). The advantage of this approach is that it reflects the opportunity cost of internal transactions, promotes efficient allocation of resources and facilitates comparison of internal and external performance. The disadvantage of this approach is that comparable external market prices may not exist or that external market prices are affected by factors such as taxes, tariffs, subsidies or regulation, leading to inequity or instability. In addition, this approach may give rise to conflicts between sectors, particularly where there is a surplus or deficit in the internal or external market (Ehrbar, 1998).</w:t>
      </w:r>
    </w:p>
    <w:p>
      <w:pPr>
        <w:numPr>
          <w:ilvl w:val="0"/>
          <w:numId w:val="3"/>
        </w:numPr>
        <w:ind w:left="420" w:leftChars="0" w:hanging="420" w:firstLineChars="0"/>
        <w:jc w:val="both"/>
        <w:rPr>
          <w:rFonts w:hint="eastAsia"/>
        </w:rPr>
      </w:pPr>
      <w:r>
        <w:rPr>
          <w:rFonts w:hint="eastAsia"/>
        </w:rPr>
        <w:t>Cost-plus method: The cost-plus method involves taking the cost of production of a good or service plus a percentage of profit as the transfer price (Lucey, 2003). The advantage of this method is that it ensures cost recovery and profit margins for the sales sector, provides a stable and predictable transfer price and avoids the effects of market fluctuations. The disadvantage of this approach is that it ignores opportunity costs or alternative uses, which may lead to inefficient use of resources to the detriment of innovation and competitiveness. In addition, this approach may reduce the autonomy of line managers by imposing unreasonable or unconsensual prices (Stewart, 1991).</w:t>
      </w:r>
    </w:p>
    <w:p>
      <w:pPr>
        <w:numPr>
          <w:numId w:val="0"/>
        </w:numPr>
        <w:jc w:val="both"/>
        <w:rPr>
          <w:rFonts w:hint="eastAsia"/>
        </w:rPr>
      </w:pPr>
    </w:p>
    <w:p>
      <w:pPr>
        <w:numPr>
          <w:numId w:val="0"/>
        </w:numPr>
        <w:jc w:val="both"/>
        <w:rPr>
          <w:rFonts w:hint="eastAsia"/>
        </w:rPr>
      </w:pPr>
      <w:r>
        <w:rPr>
          <w:rFonts w:hint="eastAsia"/>
        </w:rPr>
        <w:t>Based on these considerations, we can use the data provided in the case study to calculate transfer prices under the two methods and compare their effects on departmental profits and incentive effects. Assuming a profit margin of 10% under the cost-plus method, the results are shown in the table below:</w:t>
      </w:r>
    </w:p>
    <w:p>
      <w:pPr>
        <w:numPr>
          <w:numId w:val="0"/>
        </w:numPr>
        <w:jc w:val="both"/>
        <w:rPr>
          <w:rFonts w:hint="eastAsia"/>
        </w:rPr>
      </w:pPr>
    </w:p>
    <w:tbl>
      <w:tblPr>
        <w:tblW w:w="5000" w:type="pct"/>
        <w:jc w:val="center"/>
        <w:tblDescription w:val="{&quot;styleId&quot;:2}"/>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48" w:type="dxa"/>
          <w:bottom w:w="0" w:type="dxa"/>
          <w:right w:w="48" w:type="dxa"/>
        </w:tblCellMar>
      </w:tblPr>
      <w:tblGrid>
        <w:gridCol w:w="1703"/>
        <w:gridCol w:w="1286"/>
        <w:gridCol w:w="2090"/>
        <w:gridCol w:w="2248"/>
        <w:gridCol w:w="10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Header/>
          <w:tblCellSpacing w:w="15" w:type="dxa"/>
          <w:jc w:val="center"/>
        </w:trPr>
        <w:tc>
          <w:tcPr>
            <w:tcW w:w="985" w:type="pct"/>
            <w:tcBorders>
              <w:top w:val="single" w:color="4684D3" w:sz="0" w:space="0"/>
              <w:left w:val="single" w:color="4684D3" w:sz="0" w:space="0"/>
              <w:bottom w:val="single" w:color="DDDDDD" w:sz="0" w:space="0"/>
              <w:right w:val="single" w:color="DDDDDD" w:sz="0" w:space="0"/>
            </w:tcBorders>
            <w:shd w:val="clear" w:color="auto" w:fill="4684D3"/>
            <w:tcMar>
              <w:top w:w="96" w:type="dxa"/>
              <w:left w:w="0" w:type="dxa"/>
              <w:bottom w:w="96" w:type="dxa"/>
              <w:right w:w="48" w:type="dxa"/>
            </w:tcMar>
            <w:vAlign w:val="top"/>
          </w:tcPr>
          <w:p>
            <w:pPr>
              <w:keepNext w:val="0"/>
              <w:keepLines w:val="0"/>
              <w:widowControl/>
              <w:suppressLineNumbers w:val="0"/>
              <w:jc w:val="left"/>
              <w:textAlignment w:val="baseline"/>
              <w:rPr>
                <w:rFonts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Method</w:t>
            </w:r>
          </w:p>
        </w:tc>
        <w:tc>
          <w:tcPr>
            <w:tcW w:w="746" w:type="pct"/>
            <w:tcBorders>
              <w:top w:val="single" w:color="4684D3" w:sz="0" w:space="0"/>
              <w:left w:val="single" w:color="DDDDDD" w:sz="0" w:space="0"/>
              <w:bottom w:val="single" w:color="DDDDDD" w:sz="0" w:space="0"/>
              <w:right w:val="single" w:color="DDDDDD"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Transfer price</w:t>
            </w:r>
          </w:p>
        </w:tc>
        <w:tc>
          <w:tcPr>
            <w:tcW w:w="1224" w:type="pct"/>
            <w:tcBorders>
              <w:top w:val="single" w:color="4684D3" w:sz="0" w:space="0"/>
              <w:left w:val="single" w:color="DDDDDD" w:sz="0" w:space="0"/>
              <w:bottom w:val="single" w:color="DDDDDD" w:sz="0" w:space="0"/>
              <w:right w:val="single" w:color="DDDDDD"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Sales department profit</w:t>
            </w:r>
          </w:p>
        </w:tc>
        <w:tc>
          <w:tcPr>
            <w:tcW w:w="1318" w:type="pct"/>
            <w:tcBorders>
              <w:top w:val="single" w:color="4684D3" w:sz="0" w:space="0"/>
              <w:left w:val="single" w:color="DDDDDD" w:sz="0" w:space="0"/>
              <w:bottom w:val="single" w:color="DDDDDD" w:sz="0" w:space="0"/>
              <w:right w:val="single" w:color="DDDDDD"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Service department profit</w:t>
            </w:r>
          </w:p>
        </w:tc>
        <w:tc>
          <w:tcPr>
            <w:tcW w:w="619" w:type="pct"/>
            <w:tcBorders>
              <w:top w:val="single" w:color="4684D3" w:sz="0" w:space="0"/>
              <w:left w:val="single" w:color="DDDDDD" w:sz="0" w:space="0"/>
              <w:bottom w:val="single" w:color="DDDDDD" w:sz="0" w:space="0"/>
              <w:right w:val="single" w:color="4684D3"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Total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CellSpacing w:w="15" w:type="dxa"/>
          <w:jc w:val="center"/>
        </w:trPr>
        <w:tc>
          <w:tcPr>
            <w:tcW w:w="985" w:type="pct"/>
            <w:tcBorders>
              <w:top w:val="single" w:color="DDDDDD" w:sz="0" w:space="0"/>
              <w:left w:val="single" w:color="4684D3" w:sz="0" w:space="0"/>
              <w:bottom w:val="single" w:color="DDDDDD" w:sz="0" w:space="0"/>
              <w:right w:val="single" w:color="DDDDDD" w:sz="0"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Market Price Method</w:t>
            </w:r>
          </w:p>
        </w:tc>
        <w:tc>
          <w:tcPr>
            <w:tcW w:w="746"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£200</w:t>
            </w:r>
          </w:p>
        </w:tc>
        <w:tc>
          <w:tcPr>
            <w:tcW w:w="1224"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£290</w:t>
            </w:r>
          </w:p>
        </w:tc>
        <w:tc>
          <w:tcPr>
            <w:tcW w:w="1318"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£0</w:t>
            </w:r>
          </w:p>
        </w:tc>
        <w:tc>
          <w:tcPr>
            <w:tcW w:w="619" w:type="pct"/>
            <w:tcBorders>
              <w:top w:val="single" w:color="DDDDDD" w:sz="0" w:space="0"/>
              <w:left w:val="single" w:color="DDDDDD" w:sz="0" w:space="0"/>
              <w:bottom w:val="single" w:color="DDDDDD" w:sz="0" w:space="0"/>
              <w:right w:val="single" w:color="4684D3"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48" w:type="dxa"/>
            <w:bottom w:w="0" w:type="dxa"/>
            <w:right w:w="48" w:type="dxa"/>
          </w:tblCellMar>
        </w:tblPrEx>
        <w:trPr>
          <w:trHeight w:val="0" w:hRule="atLeast"/>
          <w:tblCellSpacing w:w="15" w:type="dxa"/>
          <w:jc w:val="center"/>
        </w:trPr>
        <w:tc>
          <w:tcPr>
            <w:tcW w:w="985" w:type="pct"/>
            <w:tcBorders>
              <w:top w:val="single" w:color="DDDDDD" w:sz="0" w:space="0"/>
              <w:left w:val="single" w:color="4684D3" w:sz="0" w:space="0"/>
              <w:bottom w:val="single" w:color="4684D3" w:sz="0" w:space="0"/>
              <w:right w:val="single" w:color="DDDDDD" w:sz="0"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cost plus method</w:t>
            </w:r>
          </w:p>
        </w:tc>
        <w:tc>
          <w:tcPr>
            <w:tcW w:w="746" w:type="pct"/>
            <w:tcBorders>
              <w:top w:val="single" w:color="DDDDDD" w:sz="0" w:space="0"/>
              <w:left w:val="single" w:color="DDDDDD" w:sz="0" w:space="0"/>
              <w:bottom w:val="single" w:color="4684D3"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£334</w:t>
            </w:r>
          </w:p>
        </w:tc>
        <w:tc>
          <w:tcPr>
            <w:tcW w:w="1224" w:type="pct"/>
            <w:tcBorders>
              <w:top w:val="single" w:color="DDDDDD" w:sz="0" w:space="0"/>
              <w:left w:val="single" w:color="DDDDDD" w:sz="0" w:space="0"/>
              <w:bottom w:val="single" w:color="4684D3"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£190</w:t>
            </w:r>
          </w:p>
        </w:tc>
        <w:tc>
          <w:tcPr>
            <w:tcW w:w="1318" w:type="pct"/>
            <w:tcBorders>
              <w:top w:val="single" w:color="DDDDDD" w:sz="0" w:space="0"/>
              <w:left w:val="single" w:color="DDDDDD" w:sz="0" w:space="0"/>
              <w:bottom w:val="single" w:color="4684D3"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£100</w:t>
            </w:r>
          </w:p>
        </w:tc>
        <w:tc>
          <w:tcPr>
            <w:tcW w:w="619" w:type="pct"/>
            <w:tcBorders>
              <w:top w:val="single" w:color="DDDDDD" w:sz="0" w:space="0"/>
              <w:left w:val="single" w:color="DDDDDD" w:sz="0" w:space="0"/>
              <w:bottom w:val="single" w:color="4684D3" w:sz="0" w:space="0"/>
              <w:right w:val="single" w:color="4684D3"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£290</w:t>
            </w:r>
          </w:p>
        </w:tc>
      </w:tr>
    </w:tbl>
    <w:p>
      <w:pPr>
        <w:numPr>
          <w:numId w:val="0"/>
        </w:numPr>
        <w:jc w:val="both"/>
        <w:rPr>
          <w:rFonts w:hint="eastAsia"/>
        </w:rPr>
      </w:pPr>
    </w:p>
    <w:p>
      <w:pPr>
        <w:numPr>
          <w:numId w:val="0"/>
        </w:numPr>
        <w:jc w:val="both"/>
        <w:rPr>
          <w:rFonts w:hint="eastAsia"/>
        </w:rPr>
      </w:pPr>
      <w:r>
        <w:rPr>
          <w:rFonts w:hint="eastAsia"/>
        </w:rPr>
        <w:t>As can be seen from the table, the two methods have no effect on the total profit of the business group, both being £290. However, they have different effects on divisional profit and incentive effects. The market price method gives the sales department all of the profit, while the service department does not make any profit. This may discourage the service department from providing a quality service and may lead to resentment and confrontation between departments. The cost-plus method gives both departments a certain amount of profit, ensuring that the service department has a cost and a reasonable profit margin. This may provide an incentive for the service department to improve its performance and may also promote cooperation and coordination between departments.</w:t>
      </w:r>
    </w:p>
    <w:p>
      <w:pPr>
        <w:numPr>
          <w:numId w:val="0"/>
        </w:numPr>
        <w:jc w:val="both"/>
        <w:rPr>
          <w:rFonts w:hint="eastAsia"/>
        </w:rPr>
      </w:pPr>
    </w:p>
    <w:p>
      <w:pPr>
        <w:numPr>
          <w:numId w:val="0"/>
        </w:numPr>
        <w:jc w:val="both"/>
        <w:rPr>
          <w:rFonts w:hint="eastAsia"/>
        </w:rPr>
      </w:pPr>
      <w:r>
        <w:rPr>
          <w:rFonts w:hint="eastAsia"/>
        </w:rPr>
        <w:t>We therefore recommend that Portal Fabrication plc use the cost-plus method as a transfer pricing method for warranty repairs. This method is in line with the corporate group's mission to maximise shareholder wealth and maintain a loyal customer base by providing high quality machines and warranty services. It also facilitates greater coordination of activities between departments and maximises the overall effectiveness of the conglomerate.</w:t>
      </w:r>
    </w:p>
    <w:p>
      <w:pPr>
        <w:numPr>
          <w:numId w:val="0"/>
        </w:numPr>
        <w:jc w:val="both"/>
        <w:rPr>
          <w:rFonts w:hint="eastAsia"/>
        </w:rPr>
      </w:pPr>
    </w:p>
    <w:p>
      <w:pPr>
        <w:pStyle w:val="4"/>
        <w:bidi w:val="0"/>
        <w:rPr>
          <w:rFonts w:hint="eastAsia"/>
        </w:rPr>
      </w:pPr>
      <w:bookmarkStart w:id="30" w:name="_Toc1490"/>
      <w:r>
        <w:rPr>
          <w:rFonts w:hint="eastAsia"/>
        </w:rPr>
        <w:t>2.1.3 Impact of the Executive Information System on performance management</w:t>
      </w:r>
      <w:bookmarkEnd w:id="30"/>
    </w:p>
    <w:p>
      <w:pPr>
        <w:numPr>
          <w:numId w:val="0"/>
        </w:numPr>
        <w:jc w:val="both"/>
        <w:rPr>
          <w:rFonts w:hint="eastAsia"/>
        </w:rPr>
      </w:pPr>
    </w:p>
    <w:p>
      <w:pPr>
        <w:numPr>
          <w:numId w:val="0"/>
        </w:numPr>
        <w:jc w:val="both"/>
        <w:rPr>
          <w:rFonts w:hint="eastAsia"/>
        </w:rPr>
      </w:pPr>
      <w:r>
        <w:rPr>
          <w:rFonts w:hint="eastAsia"/>
        </w:rPr>
        <w:t>Portal Fabrication plc is considering the introduction of a new Executive Information System (EIS) based on an integrated single database that can be accessed from any of its five sites.The EIS will support a detailed Management Information System (MIS) and a high-level Executive Information System (EIS).The EIS will provide senior management with timely, relevant and The MIS will provide middle management with detailed, accurate and comprehensive information for operational control.</w:t>
      </w:r>
    </w:p>
    <w:p>
      <w:pPr>
        <w:numPr>
          <w:numId w:val="0"/>
        </w:numPr>
        <w:jc w:val="both"/>
        <w:rPr>
          <w:rFonts w:hint="eastAsia"/>
        </w:rPr>
      </w:pPr>
    </w:p>
    <w:p>
      <w:pPr>
        <w:numPr>
          <w:numId w:val="0"/>
        </w:numPr>
        <w:jc w:val="both"/>
        <w:rPr>
          <w:rFonts w:hint="eastAsia"/>
        </w:rPr>
      </w:pPr>
      <w:r>
        <w:rPr>
          <w:rFonts w:hint="eastAsia"/>
        </w:rPr>
        <w:t>The introduction of a new EIS at Portal Fabrication plc may have the following potential impacts on performance management (Davenport, 1993):</w:t>
      </w:r>
    </w:p>
    <w:p>
      <w:pPr>
        <w:numPr>
          <w:numId w:val="0"/>
        </w:numPr>
        <w:jc w:val="both"/>
        <w:rPr>
          <w:rFonts w:hint="eastAsia"/>
        </w:rPr>
      </w:pPr>
    </w:p>
    <w:p>
      <w:pPr>
        <w:numPr>
          <w:ilvl w:val="0"/>
          <w:numId w:val="3"/>
        </w:numPr>
        <w:ind w:left="420" w:leftChars="0" w:hanging="420" w:firstLineChars="0"/>
        <w:jc w:val="both"/>
        <w:rPr>
          <w:rFonts w:hint="eastAsia"/>
        </w:rPr>
      </w:pPr>
      <w:r>
        <w:rPr>
          <w:rFonts w:hint="eastAsia"/>
        </w:rPr>
        <w:t>Improved data quality and consistency: by eliminating data duplication and errors across functions and sites.</w:t>
      </w:r>
    </w:p>
    <w:p>
      <w:pPr>
        <w:numPr>
          <w:ilvl w:val="0"/>
          <w:numId w:val="3"/>
        </w:numPr>
        <w:ind w:left="420" w:leftChars="0" w:hanging="420" w:firstLineChars="0"/>
        <w:jc w:val="both"/>
        <w:rPr>
          <w:rFonts w:hint="eastAsia"/>
        </w:rPr>
      </w:pPr>
      <w:r>
        <w:rPr>
          <w:rFonts w:hint="eastAsia"/>
        </w:rPr>
        <w:t>Improved data availability and accessibility: by enabling real-time data entry and updating, allowing managers to access data from any location.</w:t>
      </w:r>
    </w:p>
    <w:p>
      <w:pPr>
        <w:numPr>
          <w:ilvl w:val="0"/>
          <w:numId w:val="3"/>
        </w:numPr>
        <w:ind w:left="420" w:leftChars="0" w:hanging="420" w:firstLineChars="0"/>
        <w:jc w:val="both"/>
        <w:rPr>
          <w:rFonts w:hint="eastAsia"/>
        </w:rPr>
      </w:pPr>
      <w:r>
        <w:rPr>
          <w:rFonts w:hint="eastAsia"/>
        </w:rPr>
        <w:t>Enhances data analysis and reporting: by allowing customisation, visualisation and integration of data from different sources.</w:t>
      </w:r>
    </w:p>
    <w:p>
      <w:pPr>
        <w:numPr>
          <w:ilvl w:val="0"/>
          <w:numId w:val="3"/>
        </w:numPr>
        <w:ind w:left="420" w:leftChars="0" w:hanging="420" w:firstLineChars="0"/>
        <w:jc w:val="both"/>
        <w:rPr>
          <w:rFonts w:hint="eastAsia"/>
        </w:rPr>
      </w:pPr>
      <w:r>
        <w:rPr>
          <w:rFonts w:hint="eastAsia"/>
        </w:rPr>
        <w:t>Facilitates communication and collaboration between managers: by allowing data and reports to be shared, fed back and discussed.</w:t>
      </w:r>
    </w:p>
    <w:p>
      <w:pPr>
        <w:numPr>
          <w:ilvl w:val="0"/>
          <w:numId w:val="3"/>
        </w:numPr>
        <w:ind w:left="420" w:leftChars="0" w:hanging="420" w:firstLineChars="0"/>
        <w:jc w:val="both"/>
        <w:rPr>
          <w:rFonts w:hint="eastAsia"/>
        </w:rPr>
      </w:pPr>
      <w:r>
        <w:rPr>
          <w:rFonts w:hint="eastAsia"/>
        </w:rPr>
        <w:t>Support performance measurement and evaluation: by providing relevant metrics, benchmarks and feedback, specific to each department and function.</w:t>
      </w:r>
    </w:p>
    <w:p>
      <w:pPr>
        <w:numPr>
          <w:ilvl w:val="0"/>
          <w:numId w:val="3"/>
        </w:numPr>
        <w:ind w:left="420" w:leftChars="0" w:hanging="420" w:firstLineChars="0"/>
        <w:jc w:val="both"/>
        <w:rPr>
          <w:rFonts w:hint="eastAsia"/>
        </w:rPr>
      </w:pPr>
      <w:r>
        <w:rPr>
          <w:rFonts w:hint="eastAsia"/>
        </w:rPr>
        <w:t>Facilitates performance improvement: by identifying issues, opportunities and best practices, specific to each department and function.</w:t>
      </w:r>
    </w:p>
    <w:p>
      <w:pPr>
        <w:numPr>
          <w:numId w:val="0"/>
        </w:numPr>
        <w:jc w:val="both"/>
        <w:rPr>
          <w:rFonts w:hint="eastAsia"/>
        </w:rPr>
      </w:pPr>
    </w:p>
    <w:p>
      <w:pPr>
        <w:numPr>
          <w:numId w:val="0"/>
        </w:numPr>
        <w:jc w:val="both"/>
        <w:rPr>
          <w:rFonts w:hint="eastAsia"/>
        </w:rPr>
      </w:pPr>
      <w:r>
        <w:rPr>
          <w:rFonts w:hint="eastAsia"/>
        </w:rPr>
        <w:t>However, the introduction of a new EIS can also present a number of challenges and risks to performance management, such as</w:t>
      </w:r>
    </w:p>
    <w:p>
      <w:pPr>
        <w:numPr>
          <w:numId w:val="0"/>
        </w:numPr>
        <w:jc w:val="both"/>
        <w:rPr>
          <w:rFonts w:hint="eastAsia"/>
        </w:rPr>
      </w:pPr>
    </w:p>
    <w:p>
      <w:pPr>
        <w:numPr>
          <w:ilvl w:val="0"/>
          <w:numId w:val="3"/>
        </w:numPr>
        <w:ind w:left="420" w:leftChars="0" w:hanging="420" w:firstLineChars="0"/>
        <w:jc w:val="both"/>
        <w:rPr>
          <w:rFonts w:hint="eastAsia"/>
        </w:rPr>
      </w:pPr>
      <w:r>
        <w:rPr>
          <w:rFonts w:hint="eastAsia"/>
        </w:rPr>
        <w:t>Significant investment in hardware, software, networks and training is required to implement and maintain the new EIS.</w:t>
      </w:r>
    </w:p>
    <w:p>
      <w:pPr>
        <w:numPr>
          <w:ilvl w:val="0"/>
          <w:numId w:val="3"/>
        </w:numPr>
        <w:ind w:left="420" w:leftChars="0" w:hanging="420" w:firstLineChars="0"/>
        <w:jc w:val="both"/>
        <w:rPr>
          <w:rFonts w:hint="eastAsia"/>
        </w:rPr>
      </w:pPr>
      <w:r>
        <w:rPr>
          <w:rFonts w:hint="eastAsia"/>
        </w:rPr>
        <w:t>Significant organisational changes are required, involving culture, structure, processes and roles, to effectively adopt and use the new EIS.</w:t>
      </w:r>
    </w:p>
    <w:p>
      <w:pPr>
        <w:numPr>
          <w:ilvl w:val="0"/>
          <w:numId w:val="3"/>
        </w:numPr>
        <w:ind w:left="420" w:leftChars="0" w:hanging="420" w:firstLineChars="0"/>
        <w:jc w:val="both"/>
        <w:rPr>
          <w:rFonts w:hint="eastAsia"/>
        </w:rPr>
      </w:pPr>
      <w:r>
        <w:rPr>
          <w:rFonts w:hint="eastAsia"/>
        </w:rPr>
        <w:t>A number of ethical and legal issues need to be addressed, relating to data security, privacy, ownership and liability, to ensure the proper protection and use of sensitive data.</w:t>
      </w:r>
    </w:p>
    <w:p>
      <w:pPr>
        <w:numPr>
          <w:numId w:val="0"/>
        </w:numPr>
        <w:jc w:val="both"/>
        <w:rPr>
          <w:rFonts w:hint="eastAsia"/>
        </w:rPr>
      </w:pPr>
    </w:p>
    <w:p>
      <w:pPr>
        <w:numPr>
          <w:numId w:val="0"/>
        </w:numPr>
        <w:jc w:val="both"/>
        <w:rPr>
          <w:rFonts w:hint="eastAsia"/>
        </w:rPr>
      </w:pPr>
      <w:r>
        <w:rPr>
          <w:rFonts w:hint="eastAsia"/>
        </w:rPr>
        <w:t>We therefore recommend that Portal Fabrication plc carefully plan and manage the implementation process of the new EIS in consultation with all stakeholders. The consortium should also monitor and evaluate the impact of the new EIS on performance management using appropriate criteria, such as efficiency, effectiveness, satisfaction and innovation.</w:t>
      </w:r>
    </w:p>
    <w:p>
      <w:pPr>
        <w:numPr>
          <w:numId w:val="0"/>
        </w:numPr>
        <w:jc w:val="both"/>
        <w:rPr>
          <w:rFonts w:hint="eastAsia"/>
        </w:rPr>
      </w:pPr>
    </w:p>
    <w:p>
      <w:pPr>
        <w:pStyle w:val="3"/>
        <w:numPr>
          <w:numId w:val="0"/>
        </w:numPr>
        <w:bidi w:val="0"/>
        <w:ind w:left="-13" w:leftChars="0"/>
        <w:rPr>
          <w:rFonts w:hint="eastAsia"/>
          <w:lang w:val="en-US" w:eastAsia="zh-CN"/>
        </w:rPr>
      </w:pPr>
      <w:bookmarkStart w:id="31" w:name="_Toc17186"/>
      <w:r>
        <w:rPr>
          <w:rFonts w:hint="eastAsia"/>
          <w:lang w:val="en-US" w:eastAsia="zh-CN"/>
        </w:rPr>
        <w:t>2.2 Part2 Troy Brands</w:t>
      </w:r>
      <w:bookmarkEnd w:id="31"/>
    </w:p>
    <w:p>
      <w:pPr>
        <w:rPr>
          <w:rFonts w:hint="eastAsia"/>
          <w:lang w:val="en-US" w:eastAsia="zh-CN"/>
        </w:rPr>
      </w:pPr>
    </w:p>
    <w:p>
      <w:pPr>
        <w:rPr>
          <w:rFonts w:hint="eastAsia"/>
        </w:rPr>
      </w:pPr>
      <w:r>
        <w:rPr>
          <w:rFonts w:hint="eastAsia"/>
        </w:rPr>
        <w:t>Using the Balanced Scorecard model, this section analyses Troyland Footwear Limited's performance over the period 2018-2021 and identifies its strengths and weaknesses in four areas: financial, customer, internal processes and learning and growth.</w:t>
      </w:r>
    </w:p>
    <w:p>
      <w:pPr>
        <w:ind w:left="0" w:leftChars="0" w:firstLine="0" w:firstLineChars="0"/>
        <w:rPr>
          <w:rFonts w:hint="eastAsia"/>
        </w:rPr>
      </w:pPr>
    </w:p>
    <w:p>
      <w:pPr>
        <w:pStyle w:val="4"/>
        <w:bidi w:val="0"/>
        <w:rPr>
          <w:rFonts w:hint="eastAsia"/>
        </w:rPr>
      </w:pPr>
      <w:bookmarkStart w:id="32" w:name="_Toc23547"/>
      <w:r>
        <w:rPr>
          <w:rFonts w:hint="eastAsia"/>
          <w:lang w:val="en-US" w:eastAsia="zh-CN"/>
        </w:rPr>
        <w:t xml:space="preserve">2.2.1 </w:t>
      </w:r>
      <w:r>
        <w:rPr>
          <w:rFonts w:hint="eastAsia"/>
        </w:rPr>
        <w:t>Financial Performance</w:t>
      </w:r>
      <w:bookmarkEnd w:id="32"/>
    </w:p>
    <w:p>
      <w:pPr>
        <w:ind w:left="0" w:leftChars="0" w:firstLine="0" w:firstLineChars="0"/>
        <w:rPr>
          <w:rFonts w:hint="eastAsia"/>
        </w:rPr>
      </w:pPr>
    </w:p>
    <w:p>
      <w:pPr>
        <w:ind w:left="0" w:leftChars="0" w:firstLine="0" w:firstLineChars="0"/>
        <w:rPr>
          <w:rFonts w:hint="eastAsia"/>
        </w:rPr>
      </w:pPr>
      <w:r>
        <w:rPr>
          <w:rFonts w:hint="eastAsia"/>
        </w:rPr>
        <w:t>Financial performance is an important indicator of a company's operating results and profitability (Anthony &amp; Govindarajan, 2007). Based on the data provided in the case study, several financial ratios can be calculated as follows:</w:t>
      </w:r>
    </w:p>
    <w:p>
      <w:pPr>
        <w:ind w:left="0" w:leftChars="0" w:firstLine="0" w:firstLineChars="0"/>
        <w:rPr>
          <w:rFonts w:hint="eastAsia"/>
        </w:rPr>
      </w:pPr>
    </w:p>
    <w:p>
      <w:pPr>
        <w:numPr>
          <w:ilvl w:val="0"/>
          <w:numId w:val="3"/>
        </w:numPr>
        <w:ind w:left="420" w:leftChars="0" w:hanging="420" w:firstLineChars="0"/>
        <w:rPr>
          <w:rFonts w:hint="eastAsia"/>
        </w:rPr>
      </w:pPr>
      <w:r>
        <w:rPr>
          <w:rFonts w:hint="eastAsia"/>
        </w:rPr>
        <w:t>Operating income growth rate: This represents the change in the company's sales over time. The formula is: (current period operating revenue - previous period operating revenue) / previous period operating revenue x 100%.</w:t>
      </w:r>
    </w:p>
    <w:p>
      <w:pPr>
        <w:numPr>
          <w:ilvl w:val="0"/>
          <w:numId w:val="3"/>
        </w:numPr>
        <w:ind w:left="420" w:leftChars="0" w:hanging="420" w:firstLineChars="0"/>
        <w:rPr>
          <w:rFonts w:hint="eastAsia"/>
        </w:rPr>
      </w:pPr>
      <w:r>
        <w:rPr>
          <w:rFonts w:hint="eastAsia"/>
        </w:rPr>
        <w:t>Gross profit margin: represents the percentage of profit remaining after excluding costs from the company's sales revenue. The formula is: (operating revenue - operating costs) / operating revenue x 100%.</w:t>
      </w:r>
    </w:p>
    <w:p>
      <w:pPr>
        <w:numPr>
          <w:ilvl w:val="0"/>
          <w:numId w:val="3"/>
        </w:numPr>
        <w:ind w:left="420" w:leftChars="0" w:hanging="420" w:firstLineChars="0"/>
        <w:rPr>
          <w:rFonts w:hint="eastAsia"/>
        </w:rPr>
      </w:pPr>
      <w:r>
        <w:rPr>
          <w:rFonts w:hint="eastAsia"/>
        </w:rPr>
        <w:t>Net profit margin: represents the percentage of profit remaining after deducting all costs from the company's sales revenue. The formula is: net profit / operating revenue x 100%.</w:t>
      </w:r>
    </w:p>
    <w:p>
      <w:pPr>
        <w:numPr>
          <w:ilvl w:val="0"/>
          <w:numId w:val="3"/>
        </w:numPr>
        <w:ind w:left="420" w:leftChars="0" w:hanging="420" w:firstLineChars="0"/>
        <w:rPr>
          <w:rFonts w:hint="eastAsia"/>
        </w:rPr>
      </w:pPr>
      <w:r>
        <w:rPr>
          <w:rFonts w:hint="eastAsia"/>
        </w:rPr>
        <w:t>Asset turnover ratio: indicates the efficiency with which the company uses its assets to generate sales. The formula is: Operating Income / Total Assets.</w:t>
      </w:r>
    </w:p>
    <w:p>
      <w:pPr>
        <w:numPr>
          <w:ilvl w:val="0"/>
          <w:numId w:val="3"/>
        </w:numPr>
        <w:ind w:left="420" w:leftChars="0" w:hanging="420" w:firstLineChars="0"/>
        <w:rPr>
          <w:rFonts w:hint="eastAsia"/>
        </w:rPr>
      </w:pPr>
      <w:r>
        <w:rPr>
          <w:rFonts w:hint="eastAsia"/>
        </w:rPr>
        <w:t>Equity multiplier: indicates the proportion of a company's assets that are provided by debt. The formula is: total assets/owner's equity.</w:t>
      </w:r>
    </w:p>
    <w:p>
      <w:pPr>
        <w:numPr>
          <w:ilvl w:val="0"/>
          <w:numId w:val="3"/>
        </w:numPr>
        <w:ind w:left="420" w:leftChars="0" w:hanging="420" w:firstLineChars="0"/>
        <w:rPr>
          <w:rFonts w:hint="eastAsia"/>
        </w:rPr>
      </w:pPr>
      <w:r>
        <w:rPr>
          <w:rFonts w:hint="eastAsia"/>
        </w:rPr>
        <w:t>Return on Assets (ROA): indicates a company's ability to generate net profit from its assets. The formula is: net profit / total assets x 100%.</w:t>
      </w:r>
    </w:p>
    <w:p>
      <w:pPr>
        <w:numPr>
          <w:ilvl w:val="0"/>
          <w:numId w:val="3"/>
        </w:numPr>
        <w:ind w:left="420" w:leftChars="0" w:hanging="420" w:firstLineChars="0"/>
        <w:rPr>
          <w:rFonts w:hint="eastAsia"/>
        </w:rPr>
      </w:pPr>
      <w:r>
        <w:rPr>
          <w:rFonts w:hint="eastAsia"/>
        </w:rPr>
        <w:t>Return on Equity (ROE): represents a company's ability to generate net profit from owner's equity. The formula is: net profit/owner's equity x 100%.</w:t>
      </w:r>
    </w:p>
    <w:p>
      <w:pPr>
        <w:ind w:left="0" w:leftChars="0" w:firstLine="0" w:firstLineChars="0"/>
        <w:rPr>
          <w:rFonts w:hint="eastAsia"/>
        </w:rPr>
      </w:pPr>
    </w:p>
    <w:p>
      <w:pPr>
        <w:ind w:left="0" w:leftChars="0" w:firstLine="0" w:firstLineChars="0"/>
        <w:rPr>
          <w:rFonts w:hint="eastAsia"/>
        </w:rPr>
      </w:pPr>
      <w:r>
        <w:rPr>
          <w:rFonts w:hint="eastAsia"/>
        </w:rPr>
        <w:t>Based on the above formula, the following table can be derived:</w:t>
      </w:r>
    </w:p>
    <w:p>
      <w:pPr>
        <w:ind w:left="0" w:leftChars="0" w:firstLine="0" w:firstLineChars="0"/>
        <w:rPr>
          <w:rFonts w:hint="eastAsia"/>
        </w:rPr>
      </w:pPr>
    </w:p>
    <w:tbl>
      <w:tblPr>
        <w:tblW w:w="5000" w:type="pct"/>
        <w:jc w:val="center"/>
        <w:tblDescription w:val="{&quot;styleId&quot;:2}"/>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48" w:type="dxa"/>
          <w:bottom w:w="0" w:type="dxa"/>
          <w:right w:w="48" w:type="dxa"/>
        </w:tblCellMar>
      </w:tblPr>
      <w:tblGrid>
        <w:gridCol w:w="579"/>
        <w:gridCol w:w="1487"/>
        <w:gridCol w:w="1186"/>
        <w:gridCol w:w="1147"/>
        <w:gridCol w:w="1140"/>
        <w:gridCol w:w="1068"/>
        <w:gridCol w:w="837"/>
        <w:gridCol w:w="9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Header/>
          <w:tblCellSpacing w:w="15" w:type="dxa"/>
          <w:jc w:val="center"/>
        </w:trPr>
        <w:tc>
          <w:tcPr>
            <w:tcW w:w="317" w:type="pct"/>
            <w:tcBorders>
              <w:top w:val="single" w:color="4684D3" w:sz="0" w:space="0"/>
              <w:left w:val="single" w:color="4684D3" w:sz="0" w:space="0"/>
              <w:bottom w:val="single" w:color="DDDDDD" w:sz="0" w:space="0"/>
              <w:right w:val="single" w:color="DDDDDD" w:sz="0" w:space="0"/>
            </w:tcBorders>
            <w:shd w:val="clear" w:color="auto" w:fill="4684D3"/>
            <w:tcMar>
              <w:top w:w="96" w:type="dxa"/>
              <w:left w:w="0" w:type="dxa"/>
              <w:bottom w:w="96" w:type="dxa"/>
              <w:right w:w="48" w:type="dxa"/>
            </w:tcMar>
            <w:vAlign w:val="top"/>
          </w:tcPr>
          <w:p>
            <w:pPr>
              <w:keepNext w:val="0"/>
              <w:keepLines w:val="0"/>
              <w:widowControl/>
              <w:suppressLineNumbers w:val="0"/>
              <w:jc w:val="left"/>
              <w:textAlignment w:val="baseline"/>
              <w:rPr>
                <w:rFonts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Year</w:t>
            </w:r>
          </w:p>
        </w:tc>
        <w:tc>
          <w:tcPr>
            <w:tcW w:w="865" w:type="pct"/>
            <w:tcBorders>
              <w:top w:val="single" w:color="4684D3" w:sz="0" w:space="0"/>
              <w:left w:val="single" w:color="DDDDDD" w:sz="0" w:space="0"/>
              <w:bottom w:val="single" w:color="DDDDDD" w:sz="0" w:space="0"/>
              <w:right w:val="single" w:color="DDDDDD"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Operating Income Growth</w:t>
            </w:r>
          </w:p>
        </w:tc>
        <w:tc>
          <w:tcPr>
            <w:tcW w:w="686" w:type="pct"/>
            <w:tcBorders>
              <w:top w:val="single" w:color="4684D3" w:sz="0" w:space="0"/>
              <w:left w:val="single" w:color="DDDDDD" w:sz="0" w:space="0"/>
              <w:bottom w:val="single" w:color="DDDDDD" w:sz="0" w:space="0"/>
              <w:right w:val="single" w:color="DDDDDD"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Gross Profit Margin</w:t>
            </w:r>
          </w:p>
        </w:tc>
        <w:tc>
          <w:tcPr>
            <w:tcW w:w="663" w:type="pct"/>
            <w:tcBorders>
              <w:top w:val="single" w:color="4684D3" w:sz="0" w:space="0"/>
              <w:left w:val="single" w:color="DDDDDD" w:sz="0" w:space="0"/>
              <w:bottom w:val="single" w:color="DDDDDD" w:sz="0" w:space="0"/>
              <w:right w:val="single" w:color="DDDDDD"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Net Profit Margin</w:t>
            </w:r>
          </w:p>
        </w:tc>
        <w:tc>
          <w:tcPr>
            <w:tcW w:w="659" w:type="pct"/>
            <w:tcBorders>
              <w:top w:val="single" w:color="4684D3" w:sz="0" w:space="0"/>
              <w:left w:val="single" w:color="DDDDDD" w:sz="0" w:space="0"/>
              <w:bottom w:val="single" w:color="DDDDDD" w:sz="0" w:space="0"/>
              <w:right w:val="single" w:color="DDDDDD"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Asset Turnover</w:t>
            </w:r>
          </w:p>
        </w:tc>
        <w:tc>
          <w:tcPr>
            <w:tcW w:w="616" w:type="pct"/>
            <w:tcBorders>
              <w:top w:val="single" w:color="4684D3" w:sz="0" w:space="0"/>
              <w:left w:val="single" w:color="DDDDDD" w:sz="0" w:space="0"/>
              <w:bottom w:val="single" w:color="DDDDDD" w:sz="0" w:space="0"/>
              <w:right w:val="single" w:color="DDDDDD"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Equity Multiplier</w:t>
            </w:r>
          </w:p>
        </w:tc>
        <w:tc>
          <w:tcPr>
            <w:tcW w:w="479" w:type="pct"/>
            <w:tcBorders>
              <w:top w:val="single" w:color="4684D3" w:sz="0" w:space="0"/>
              <w:left w:val="single" w:color="DDDDDD" w:sz="0" w:space="0"/>
              <w:bottom w:val="single" w:color="DDDDDD" w:sz="0" w:space="0"/>
              <w:right w:val="single" w:color="DDDDDD"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ROA</w:t>
            </w:r>
          </w:p>
        </w:tc>
        <w:tc>
          <w:tcPr>
            <w:tcW w:w="549" w:type="pct"/>
            <w:tcBorders>
              <w:top w:val="single" w:color="4684D3" w:sz="0" w:space="0"/>
              <w:left w:val="single" w:color="DDDDDD" w:sz="0" w:space="0"/>
              <w:bottom w:val="single" w:color="DDDDDD" w:sz="0" w:space="0"/>
              <w:right w:val="single" w:color="4684D3" w:sz="0" w:space="0"/>
            </w:tcBorders>
            <w:shd w:val="clear" w:color="auto" w:fill="4684D3"/>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b/>
                <w:bCs/>
                <w:i w:val="0"/>
                <w:iCs w:val="0"/>
                <w:caps w:val="0"/>
                <w:color w:val="000000"/>
                <w:spacing w:val="0"/>
                <w:sz w:val="19"/>
                <w:szCs w:val="19"/>
              </w:rPr>
            </w:pPr>
            <w:r>
              <w:rPr>
                <w:rFonts w:hint="default" w:ascii="Segoe UI" w:hAnsi="Segoe UI" w:eastAsia="Segoe UI" w:cs="Segoe UI"/>
                <w:b/>
                <w:bCs/>
                <w:i w:val="0"/>
                <w:iCs w:val="0"/>
                <w:caps w:val="0"/>
                <w:color w:val="000000"/>
                <w:spacing w:val="0"/>
                <w:kern w:val="0"/>
                <w:sz w:val="19"/>
                <w:szCs w:val="19"/>
                <w:bdr w:val="none" w:color="auto" w:sz="0" w:space="0"/>
                <w:vertAlign w:val="baseline"/>
                <w:lang w:val="en-US" w:eastAsia="zh-CN" w:bidi="ar"/>
              </w:rPr>
              <w:t>ROE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CellSpacing w:w="15" w:type="dxa"/>
          <w:jc w:val="center"/>
        </w:trPr>
        <w:tc>
          <w:tcPr>
            <w:tcW w:w="317" w:type="pct"/>
            <w:tcBorders>
              <w:top w:val="single" w:color="DDDDDD" w:sz="0" w:space="0"/>
              <w:left w:val="single" w:color="4684D3" w:sz="0" w:space="0"/>
              <w:bottom w:val="single" w:color="DDDDDD" w:sz="0" w:space="0"/>
              <w:right w:val="single" w:color="DDDDDD" w:sz="0"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2018</w:t>
            </w:r>
          </w:p>
        </w:tc>
        <w:tc>
          <w:tcPr>
            <w:tcW w:w="865"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w:t>
            </w:r>
          </w:p>
        </w:tc>
        <w:tc>
          <w:tcPr>
            <w:tcW w:w="686"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50.00%</w:t>
            </w:r>
          </w:p>
        </w:tc>
        <w:tc>
          <w:tcPr>
            <w:tcW w:w="663"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17.36%</w:t>
            </w:r>
          </w:p>
        </w:tc>
        <w:tc>
          <w:tcPr>
            <w:tcW w:w="659"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1.65</w:t>
            </w:r>
          </w:p>
        </w:tc>
        <w:tc>
          <w:tcPr>
            <w:tcW w:w="616"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1.00</w:t>
            </w:r>
          </w:p>
        </w:tc>
        <w:tc>
          <w:tcPr>
            <w:tcW w:w="479"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28.75%</w:t>
            </w:r>
          </w:p>
        </w:tc>
        <w:tc>
          <w:tcPr>
            <w:tcW w:w="549" w:type="pct"/>
            <w:tcBorders>
              <w:top w:val="single" w:color="DDDDDD" w:sz="0" w:space="0"/>
              <w:left w:val="single" w:color="DDDDDD" w:sz="0" w:space="0"/>
              <w:bottom w:val="single" w:color="DDDDDD" w:sz="0" w:space="0"/>
              <w:right w:val="single" w:color="4684D3"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28.75%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48" w:type="dxa"/>
            <w:bottom w:w="0" w:type="dxa"/>
            <w:right w:w="48" w:type="dxa"/>
          </w:tblCellMar>
        </w:tblPrEx>
        <w:trPr>
          <w:trHeight w:val="0" w:hRule="atLeast"/>
          <w:tblCellSpacing w:w="15" w:type="dxa"/>
          <w:jc w:val="center"/>
        </w:trPr>
        <w:tc>
          <w:tcPr>
            <w:tcW w:w="317" w:type="pct"/>
            <w:tcBorders>
              <w:top w:val="single" w:color="DDDDDD" w:sz="0" w:space="0"/>
              <w:left w:val="single" w:color="4684D3" w:sz="0" w:space="0"/>
              <w:bottom w:val="single" w:color="DDDDDD" w:sz="0" w:space="0"/>
              <w:right w:val="single" w:color="DDDDDD" w:sz="0"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2019</w:t>
            </w:r>
          </w:p>
        </w:tc>
        <w:tc>
          <w:tcPr>
            <w:tcW w:w="865"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25.00%</w:t>
            </w:r>
          </w:p>
        </w:tc>
        <w:tc>
          <w:tcPr>
            <w:tcW w:w="686"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46.86%</w:t>
            </w:r>
          </w:p>
        </w:tc>
        <w:tc>
          <w:tcPr>
            <w:tcW w:w="663"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17.20%</w:t>
            </w:r>
          </w:p>
        </w:tc>
        <w:tc>
          <w:tcPr>
            <w:tcW w:w="659"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1.79</w:t>
            </w:r>
          </w:p>
        </w:tc>
        <w:tc>
          <w:tcPr>
            <w:tcW w:w="616"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1.00</w:t>
            </w:r>
          </w:p>
        </w:tc>
        <w:tc>
          <w:tcPr>
            <w:tcW w:w="479"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30.77%</w:t>
            </w:r>
          </w:p>
        </w:tc>
        <w:tc>
          <w:tcPr>
            <w:tcW w:w="549" w:type="pct"/>
            <w:tcBorders>
              <w:top w:val="single" w:color="DDDDDD" w:sz="0" w:space="0"/>
              <w:left w:val="single" w:color="DDDDDD" w:sz="0" w:space="0"/>
              <w:bottom w:val="single" w:color="DDDDDD" w:sz="0" w:space="0"/>
              <w:right w:val="single" w:color="4684D3" w:sz="0" w:space="0"/>
            </w:tcBorders>
            <w:shd w:val="clear" w:color="auto" w:fill="FFFFFF"/>
            <w:tcMar>
              <w:top w:w="96" w:type="dxa"/>
              <w:left w:w="48" w:type="dxa"/>
              <w:bottom w:w="96" w:type="dxa"/>
              <w:right w:w="48" w:type="dxa"/>
            </w:tcMar>
            <w:vAlign w:val="top"/>
          </w:tcPr>
          <w:p>
            <w:pPr>
              <w:jc w:val="left"/>
              <w:rPr>
                <w:rFonts w:hint="default" w:ascii="Segoe UI" w:hAnsi="Segoe UI" w:eastAsia="Segoe UI" w:cs="Segoe UI"/>
                <w:i w:val="0"/>
                <w:iCs w:val="0"/>
                <w:caps w:val="0"/>
                <w:color w:val="000000"/>
                <w:spacing w:val="0"/>
                <w:sz w:val="19"/>
                <w:szCs w:val="19"/>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48" w:type="dxa"/>
            <w:bottom w:w="0" w:type="dxa"/>
            <w:right w:w="48" w:type="dxa"/>
          </w:tblCellMar>
        </w:tblPrEx>
        <w:trPr>
          <w:trHeight w:val="0" w:hRule="atLeast"/>
          <w:tblCellSpacing w:w="15" w:type="dxa"/>
          <w:jc w:val="center"/>
        </w:trPr>
        <w:tc>
          <w:tcPr>
            <w:tcW w:w="317" w:type="pct"/>
            <w:tcBorders>
              <w:top w:val="single" w:color="DDDDDD" w:sz="0" w:space="0"/>
              <w:left w:val="single" w:color="4684D3" w:sz="0" w:space="0"/>
              <w:bottom w:val="single" w:color="DDDDDD" w:sz="0" w:space="0"/>
              <w:right w:val="single" w:color="DDDDDD" w:sz="0"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2020</w:t>
            </w:r>
          </w:p>
        </w:tc>
        <w:tc>
          <w:tcPr>
            <w:tcW w:w="865"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-16.86%</w:t>
            </w:r>
          </w:p>
        </w:tc>
        <w:tc>
          <w:tcPr>
            <w:tcW w:w="686"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41.44%</w:t>
            </w:r>
          </w:p>
        </w:tc>
        <w:tc>
          <w:tcPr>
            <w:tcW w:w="663"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5.90%</w:t>
            </w:r>
          </w:p>
        </w:tc>
        <w:tc>
          <w:tcPr>
            <w:tcW w:w="659"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1.85</w:t>
            </w:r>
          </w:p>
        </w:tc>
        <w:tc>
          <w:tcPr>
            <w:tcW w:w="616"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1.00</w:t>
            </w:r>
          </w:p>
        </w:tc>
        <w:tc>
          <w:tcPr>
            <w:tcW w:w="479" w:type="pct"/>
            <w:tcBorders>
              <w:top w:val="single" w:color="DDDDDD" w:sz="0" w:space="0"/>
              <w:left w:val="single" w:color="DDDDDD" w:sz="0" w:space="0"/>
              <w:bottom w:val="single" w:color="DDDDDD"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10.91%</w:t>
            </w:r>
          </w:p>
        </w:tc>
        <w:tc>
          <w:tcPr>
            <w:tcW w:w="549" w:type="pct"/>
            <w:tcBorders>
              <w:top w:val="single" w:color="DDDDDD" w:sz="0" w:space="0"/>
              <w:left w:val="single" w:color="DDDDDD" w:sz="0" w:space="0"/>
              <w:bottom w:val="single" w:color="DDDDDD" w:sz="0" w:space="0"/>
              <w:right w:val="single" w:color="4684D3"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10.91%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48" w:type="dxa"/>
            <w:bottom w:w="0" w:type="dxa"/>
            <w:right w:w="48" w:type="dxa"/>
          </w:tblCellMar>
        </w:tblPrEx>
        <w:trPr>
          <w:trHeight w:val="0" w:hRule="atLeast"/>
          <w:tblCellSpacing w:w="15" w:type="dxa"/>
          <w:jc w:val="center"/>
        </w:trPr>
        <w:tc>
          <w:tcPr>
            <w:tcW w:w="317" w:type="pct"/>
            <w:tcBorders>
              <w:top w:val="single" w:color="DDDDDD" w:sz="0" w:space="0"/>
              <w:left w:val="single" w:color="4684D3" w:sz="0" w:space="0"/>
              <w:bottom w:val="single" w:color="4684D3" w:sz="0" w:space="0"/>
              <w:right w:val="single" w:color="DDDDDD" w:sz="0" w:space="0"/>
            </w:tcBorders>
            <w:shd w:val="clear" w:color="auto" w:fill="FFFFFF"/>
            <w:tcMar>
              <w:top w:w="96" w:type="dxa"/>
              <w:left w:w="0"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2021</w:t>
            </w:r>
          </w:p>
        </w:tc>
        <w:tc>
          <w:tcPr>
            <w:tcW w:w="865" w:type="pct"/>
            <w:tcBorders>
              <w:top w:val="single" w:color="DDDDDD" w:sz="0" w:space="0"/>
              <w:left w:val="single" w:color="DDDDDD" w:sz="0" w:space="0"/>
              <w:bottom w:val="single" w:color="4684D3"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-58.76%</w:t>
            </w:r>
          </w:p>
        </w:tc>
        <w:tc>
          <w:tcPr>
            <w:tcW w:w="686" w:type="pct"/>
            <w:tcBorders>
              <w:top w:val="single" w:color="DDDDDD" w:sz="0" w:space="0"/>
              <w:left w:val="single" w:color="DDDDDD" w:sz="0" w:space="0"/>
              <w:bottom w:val="single" w:color="4684D3"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53.33%</w:t>
            </w:r>
          </w:p>
        </w:tc>
        <w:tc>
          <w:tcPr>
            <w:tcW w:w="663" w:type="pct"/>
            <w:tcBorders>
              <w:top w:val="single" w:color="DDDDDD" w:sz="0" w:space="0"/>
              <w:left w:val="single" w:color="DDDDDD" w:sz="0" w:space="0"/>
              <w:bottom w:val="single" w:color="4684D3"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-26.67%</w:t>
            </w:r>
          </w:p>
        </w:tc>
        <w:tc>
          <w:tcPr>
            <w:tcW w:w="659" w:type="pct"/>
            <w:tcBorders>
              <w:top w:val="single" w:color="DDDDDD" w:sz="0" w:space="0"/>
              <w:left w:val="single" w:color="DDDDDD" w:sz="0" w:space="0"/>
              <w:bottom w:val="single" w:color="4684D3"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0.73</w:t>
            </w:r>
          </w:p>
        </w:tc>
        <w:tc>
          <w:tcPr>
            <w:tcW w:w="616" w:type="pct"/>
            <w:tcBorders>
              <w:top w:val="single" w:color="DDDDDD" w:sz="0" w:space="0"/>
              <w:left w:val="single" w:color="DDDDDD" w:sz="0" w:space="0"/>
              <w:bottom w:val="single" w:color="4684D3"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1.00</w:t>
            </w:r>
          </w:p>
        </w:tc>
        <w:tc>
          <w:tcPr>
            <w:tcW w:w="479" w:type="pct"/>
            <w:tcBorders>
              <w:top w:val="single" w:color="DDDDDD" w:sz="0" w:space="0"/>
              <w:left w:val="single" w:color="DDDDDD" w:sz="0" w:space="0"/>
              <w:bottom w:val="single" w:color="4684D3" w:sz="0" w:space="0"/>
              <w:right w:val="single" w:color="DDDDDD"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-19.43%</w:t>
            </w:r>
          </w:p>
        </w:tc>
        <w:tc>
          <w:tcPr>
            <w:tcW w:w="549" w:type="pct"/>
            <w:tcBorders>
              <w:top w:val="single" w:color="DDDDDD" w:sz="0" w:space="0"/>
              <w:left w:val="single" w:color="DDDDDD" w:sz="0" w:space="0"/>
              <w:bottom w:val="single" w:color="4684D3" w:sz="0" w:space="0"/>
              <w:right w:val="single" w:color="4684D3" w:sz="0" w:space="0"/>
            </w:tcBorders>
            <w:shd w:val="clear" w:color="auto" w:fill="FFFFFF"/>
            <w:tcMar>
              <w:top w:w="96" w:type="dxa"/>
              <w:left w:w="48" w:type="dxa"/>
              <w:bottom w:w="96" w:type="dxa"/>
              <w:right w:w="48" w:type="dxa"/>
            </w:tcMar>
            <w:vAlign w:val="top"/>
          </w:tcPr>
          <w:p>
            <w:pPr>
              <w:keepNext w:val="0"/>
              <w:keepLines w:val="0"/>
              <w:widowControl/>
              <w:suppressLineNumbers w:val="0"/>
              <w:jc w:val="left"/>
              <w:textAlignment w:val="baseline"/>
              <w:rPr>
                <w:rFonts w:hint="default" w:ascii="Segoe UI" w:hAnsi="Segoe UI" w:eastAsia="Segoe UI" w:cs="Segoe UI"/>
                <w:i w:val="0"/>
                <w:iCs w:val="0"/>
                <w:caps w:val="0"/>
                <w:color w:val="000000"/>
                <w:spacing w:val="0"/>
                <w:sz w:val="19"/>
                <w:szCs w:val="19"/>
              </w:rPr>
            </w:pPr>
            <w:r>
              <w:rPr>
                <w:rFonts w:hint="default" w:ascii="Segoe UI" w:hAnsi="Segoe UI" w:eastAsia="Segoe UI" w:cs="Segoe UI"/>
                <w:i w:val="0"/>
                <w:iCs w:val="0"/>
                <w:caps w:val="0"/>
                <w:color w:val="000000"/>
                <w:spacing w:val="0"/>
                <w:kern w:val="0"/>
                <w:sz w:val="19"/>
                <w:szCs w:val="19"/>
                <w:bdr w:val="none" w:color="auto" w:sz="0" w:space="0"/>
                <w:vertAlign w:val="baseline"/>
                <w:lang w:val="en-US" w:eastAsia="zh-CN" w:bidi="ar"/>
              </w:rPr>
              <w:t>-19.43%</w:t>
            </w:r>
          </w:p>
        </w:tc>
      </w:tr>
    </w:tbl>
    <w:p>
      <w:pPr>
        <w:ind w:left="0" w:leftChars="0" w:firstLine="0" w:firstLineChars="0"/>
        <w:rPr>
          <w:rFonts w:hint="eastAsia"/>
        </w:rPr>
      </w:pPr>
    </w:p>
    <w:p>
      <w:pPr>
        <w:ind w:left="0" w:leftChars="0" w:firstLine="0" w:firstLineChars="0"/>
        <w:rPr>
          <w:rFonts w:hint="eastAsia"/>
        </w:rPr>
      </w:pPr>
      <w:r>
        <w:rPr>
          <w:rFonts w:hint="eastAsia"/>
        </w:rPr>
        <w:t>As can be seen from the table, the Company's financial performance shows an upward trend during 2018-2019, but a sharp decline during 2020-2021. Specifically:</w:t>
      </w:r>
    </w:p>
    <w:p>
      <w:pPr>
        <w:ind w:left="0" w:leftChars="0" w:firstLine="0" w:firstLineChars="0"/>
        <w:rPr>
          <w:rFonts w:hint="eastAsia"/>
        </w:rPr>
      </w:pPr>
    </w:p>
    <w:p>
      <w:pPr>
        <w:numPr>
          <w:ilvl w:val="0"/>
          <w:numId w:val="3"/>
        </w:numPr>
        <w:ind w:left="420" w:leftChars="0" w:hanging="420" w:firstLineChars="0"/>
        <w:rPr>
          <w:rFonts w:hint="eastAsia"/>
        </w:rPr>
      </w:pPr>
      <w:r>
        <w:rPr>
          <w:rFonts w:hint="eastAsia"/>
        </w:rPr>
        <w:t>Operating income growth: the Company's sales peaked in 2019 at £17.5 million, an increase of 25% over 2018, but declined by 16.86% and 58.76% in 2020 and 2021, respectively, mainly due to lower demand in the European market, the depreciation of the British pound and the New Crown epidemic.</w:t>
      </w:r>
    </w:p>
    <w:p>
      <w:pPr>
        <w:numPr>
          <w:ilvl w:val="0"/>
          <w:numId w:val="3"/>
        </w:numPr>
        <w:ind w:left="420" w:leftChars="0" w:hanging="420" w:firstLineChars="0"/>
        <w:rPr>
          <w:rFonts w:hint="eastAsia"/>
        </w:rPr>
      </w:pPr>
      <w:r>
        <w:rPr>
          <w:rFonts w:hint="eastAsia"/>
        </w:rPr>
        <w:t>Gross Profit Margin: The Company's gross profit margin decreased slightly from 50% to 46.86% during 2018-2019, mainly due to the impact of higher raw material costs. Due to the EU ban on cotton imports from Uzbekistan, the Company had to source more expensive raw materials from places such as Japan. In 2020, the company's gross margin picked up to 41.44%, mainly due to some cost control measures taken by the company. However, in 2021, the company's gross margin rose again to 53.33%, but this was not a good sign as it was due to the company's significant reduction in sales.</w:t>
      </w:r>
    </w:p>
    <w:p>
      <w:pPr>
        <w:numPr>
          <w:ilvl w:val="0"/>
          <w:numId w:val="3"/>
        </w:numPr>
        <w:ind w:left="420" w:leftChars="0" w:hanging="420" w:firstLineChars="0"/>
        <w:rPr>
          <w:rFonts w:hint="eastAsia"/>
        </w:rPr>
      </w:pPr>
      <w:r>
        <w:rPr>
          <w:rFonts w:hint="eastAsia"/>
        </w:rPr>
        <w:t>Net profit margin: the Company's net profit margin remained stable during 2018-2019 at around 17%. This indicates that the Company was able to effectively control its operating expenses and achieve a high level of profitability during these two years. However, in 2020 and 2021, the Company's net profit margin declined sharply to 5.90% and -26.67% respectively, including a loss in 2021. This reflects the severe operating difficulties and competitive pressures faced by the Company.</w:t>
      </w:r>
    </w:p>
    <w:p>
      <w:pPr>
        <w:numPr>
          <w:ilvl w:val="0"/>
          <w:numId w:val="3"/>
        </w:numPr>
        <w:ind w:left="420" w:leftChars="0" w:hanging="420" w:firstLineChars="0"/>
        <w:rPr>
          <w:rFonts w:hint="eastAsia"/>
        </w:rPr>
      </w:pPr>
      <w:r>
        <w:rPr>
          <w:rFonts w:hint="eastAsia"/>
        </w:rPr>
        <w:t>Asset turnover ratio: The Company's asset turnover ratio gradually improves between 2018 and 2020, increasing from 1.65 to 1.85. This indicates that the Company is able to effectively utilise its assets to generate sales and improve its asset efficiency. However, in 2021, the asset turnover ratio plummets to 0.73 due to a significant drop in sales, implying that the company has a problem with idle and wasted assets.</w:t>
      </w:r>
    </w:p>
    <w:p>
      <w:pPr>
        <w:numPr>
          <w:ilvl w:val="0"/>
          <w:numId w:val="3"/>
        </w:numPr>
        <w:ind w:left="420" w:leftChars="0" w:hanging="420" w:firstLineChars="0"/>
        <w:rPr>
          <w:rFonts w:hint="eastAsia"/>
        </w:rPr>
      </w:pPr>
      <w:r>
        <w:rPr>
          <w:rFonts w:hint="eastAsia"/>
        </w:rPr>
        <w:t>Equity multiplier: The equity multiplier reflects the proportion of the company's assets that are financed by debt. Generally speaking, a higher equity multiplier indicates greater debt exposure; a lower equity multiplier indicates less debt exposure. Based on the data in the table, the Company's equity multiplier remains at 1.00 over the period 2018-2021, which indicates that the Company is not using any external borrowings to finance its assets and is relying solely on its own funds. This is beneficial in terms of reducing financial leverage and lowering finance costs, but may also limit the Company's investment opportunities and growth potential.</w:t>
      </w:r>
    </w:p>
    <w:p>
      <w:pPr>
        <w:numPr>
          <w:ilvl w:val="0"/>
          <w:numId w:val="3"/>
        </w:numPr>
        <w:ind w:left="420" w:leftChars="0" w:hanging="420" w:firstLineChars="0"/>
        <w:rPr>
          <w:rFonts w:hint="eastAsia"/>
        </w:rPr>
      </w:pPr>
      <w:r>
        <w:rPr>
          <w:rFonts w:hint="eastAsia"/>
        </w:rPr>
        <w:t>Return on Assets (ROA): Return on Assets reflects a company's ability to generate net profit from its assets. Generally speaking, a higher ROA indicates a more efficient and profitable operation; a lower ROA indicates a less efficient and less profitable operation. According to the data in the table, the company's ROA shows an upward trend between 2018 and 2019, increasing from 28.75% to 30.77%, which indicates that the company was able to manage its assets effectively and achieve a high level of net profit during these two years. However, in 2020 and 2021, the Company's ROA falls sharply to 10.91% and -19.43% respectively, with 2021 being a negative year. This reflects the Company's inability to effectively utilise its assets to create value during these two years and suffered significant losses.</w:t>
      </w:r>
    </w:p>
    <w:p>
      <w:pPr>
        <w:numPr>
          <w:ilvl w:val="0"/>
          <w:numId w:val="3"/>
        </w:numPr>
        <w:ind w:left="420" w:leftChars="0" w:hanging="420" w:firstLineChars="0"/>
        <w:rPr>
          <w:rFonts w:hint="eastAsia"/>
        </w:rPr>
      </w:pPr>
      <w:r>
        <w:rPr>
          <w:rFonts w:hint="eastAsia"/>
        </w:rPr>
        <w:t>Return on Equity (ROE): Return on equity reflects a company's ability to generate net profit from its owner's equity. Generally speaking, a higher ROE indicates a company's greater ability to create value for shareholders; a lower ROE indicates a company's weaker ability to create value for shareholders. According to the data in the table, as the company does not use any external borrowings to finance its assets, its ROE, like its ROA, shows an upward trend between 2018-2019 and a downward trend between 2020-2021.</w:t>
      </w:r>
    </w:p>
    <w:p>
      <w:pPr>
        <w:ind w:left="0" w:leftChars="0" w:firstLine="0" w:firstLineChars="0"/>
        <w:rPr>
          <w:rFonts w:hint="eastAsia"/>
        </w:rPr>
      </w:pPr>
    </w:p>
    <w:p>
      <w:pPr>
        <w:ind w:left="0" w:leftChars="0" w:firstLine="0" w:firstLineChars="0"/>
        <w:rPr>
          <w:rFonts w:hint="eastAsia"/>
        </w:rPr>
      </w:pPr>
      <w:r>
        <w:rPr>
          <w:rFonts w:hint="eastAsia"/>
        </w:rPr>
        <w:t>In summary, it can be seen that Troyland Footwear Limited has the following strengths and weaknesses in terms of financial performance:</w:t>
      </w:r>
    </w:p>
    <w:p>
      <w:pPr>
        <w:ind w:left="0" w:leftChars="0" w:firstLine="0" w:firstLineChars="0"/>
        <w:rPr>
          <w:rFonts w:hint="eastAsia"/>
        </w:rPr>
      </w:pPr>
    </w:p>
    <w:p>
      <w:pPr>
        <w:ind w:left="0" w:leftChars="0" w:firstLine="0" w:firstLineChars="0"/>
        <w:rPr>
          <w:rFonts w:hint="eastAsia"/>
        </w:rPr>
      </w:pPr>
      <w:r>
        <w:rPr>
          <w:rFonts w:hint="eastAsia"/>
        </w:rPr>
        <w:t>Strengths:</w:t>
      </w:r>
    </w:p>
    <w:p>
      <w:pPr>
        <w:ind w:left="0" w:leftChars="0" w:firstLine="0" w:firstLineChars="0"/>
        <w:rPr>
          <w:rFonts w:hint="eastAsia"/>
        </w:rPr>
      </w:pPr>
    </w:p>
    <w:p>
      <w:pPr>
        <w:numPr>
          <w:ilvl w:val="0"/>
          <w:numId w:val="3"/>
        </w:numPr>
        <w:ind w:left="420" w:leftChars="0" w:hanging="420" w:firstLineChars="0"/>
        <w:rPr>
          <w:rFonts w:hint="eastAsia"/>
        </w:rPr>
      </w:pPr>
      <w:r>
        <w:rPr>
          <w:rFonts w:hint="eastAsia"/>
        </w:rPr>
        <w:t>Did not use any external borrowings to finance its assets, reducing financial leverage and finance costs.</w:t>
      </w:r>
    </w:p>
    <w:p>
      <w:pPr>
        <w:numPr>
          <w:ilvl w:val="0"/>
          <w:numId w:val="3"/>
        </w:numPr>
        <w:ind w:left="420" w:leftChars="0" w:hanging="420" w:firstLineChars="0"/>
        <w:rPr>
          <w:rFonts w:hint="eastAsia"/>
        </w:rPr>
      </w:pPr>
      <w:r>
        <w:rPr>
          <w:rFonts w:hint="eastAsia"/>
        </w:rPr>
        <w:t>Achieved higher revenue growth, gross margin, net profit margin, asset turnover, ROA and ROE during 2018-2019.</w:t>
      </w:r>
    </w:p>
    <w:p>
      <w:pPr>
        <w:ind w:left="0" w:leftChars="0" w:firstLine="0" w:firstLineChars="0"/>
        <w:rPr>
          <w:rFonts w:hint="eastAsia"/>
        </w:rPr>
      </w:pPr>
    </w:p>
    <w:p>
      <w:pPr>
        <w:ind w:left="0" w:leftChars="0" w:firstLine="0" w:firstLineChars="0"/>
        <w:rPr>
          <w:rFonts w:hint="eastAsia"/>
        </w:rPr>
      </w:pPr>
      <w:r>
        <w:rPr>
          <w:rFonts w:hint="eastAsia"/>
        </w:rPr>
        <w:t>Weaknesses:</w:t>
      </w:r>
    </w:p>
    <w:p>
      <w:pPr>
        <w:ind w:left="0" w:leftChars="0" w:firstLine="0" w:firstLineChars="0"/>
        <w:rPr>
          <w:rFonts w:hint="eastAsia"/>
        </w:rPr>
      </w:pPr>
    </w:p>
    <w:p>
      <w:pPr>
        <w:numPr>
          <w:ilvl w:val="0"/>
          <w:numId w:val="3"/>
        </w:numPr>
        <w:ind w:left="420" w:leftChars="0" w:hanging="420" w:firstLineChars="0"/>
        <w:rPr>
          <w:rFonts w:hint="eastAsia"/>
        </w:rPr>
      </w:pPr>
      <w:r>
        <w:rPr>
          <w:rFonts w:hint="eastAsia"/>
        </w:rPr>
        <w:t>Impacted by higher raw material costs, lower market demand in Europe, devaluation of the British pound and the New Crown epidemic during 2020-2021, resulting in a significant decline in operating revenue growth, gross margin, net profit margin, asset turnover, ROA and ROE, or even losses.</w:t>
      </w:r>
    </w:p>
    <w:p>
      <w:pPr>
        <w:numPr>
          <w:ilvl w:val="0"/>
          <w:numId w:val="3"/>
        </w:numPr>
        <w:ind w:left="420" w:leftChars="0" w:hanging="420" w:firstLineChars="0"/>
        <w:rPr>
          <w:rFonts w:hint="eastAsia"/>
        </w:rPr>
      </w:pPr>
      <w:r>
        <w:rPr>
          <w:rFonts w:hint="eastAsia"/>
        </w:rPr>
        <w:t>No external borrowings were used to finance its assets, which may have limited the Company's investment opportunities and growth potential.</w:t>
      </w:r>
    </w:p>
    <w:p>
      <w:pPr>
        <w:numPr>
          <w:ilvl w:val="0"/>
          <w:numId w:val="3"/>
        </w:numPr>
        <w:ind w:left="420" w:leftChars="0" w:hanging="420" w:firstLineChars="0"/>
        <w:rPr>
          <w:rFonts w:hint="eastAsia"/>
        </w:rPr>
      </w:pPr>
      <w:r>
        <w:rPr>
          <w:rFonts w:hint="eastAsia"/>
        </w:rPr>
        <w:t>There is a problem of idle and wasted assets and the need to optimise the inventory management system.</w:t>
      </w:r>
    </w:p>
    <w:p>
      <w:pPr>
        <w:pStyle w:val="4"/>
        <w:bidi w:val="0"/>
        <w:outlineLvl w:val="9"/>
        <w:rPr>
          <w:rFonts w:hint="eastAsia"/>
        </w:rPr>
      </w:pPr>
    </w:p>
    <w:p>
      <w:pPr>
        <w:pStyle w:val="4"/>
        <w:bidi w:val="0"/>
        <w:rPr>
          <w:rFonts w:hint="eastAsia"/>
        </w:rPr>
      </w:pPr>
      <w:bookmarkStart w:id="33" w:name="_Toc30912"/>
      <w:r>
        <w:rPr>
          <w:rFonts w:hint="eastAsia"/>
          <w:lang w:val="en-US" w:eastAsia="zh-CN"/>
        </w:rPr>
        <w:t xml:space="preserve">2.2.2 </w:t>
      </w:r>
      <w:r>
        <w:rPr>
          <w:rFonts w:hint="eastAsia"/>
        </w:rPr>
        <w:t>The reasons and methods why Troyland needs to undertake Business Process Reengineering</w:t>
      </w:r>
      <w:bookmarkEnd w:id="33"/>
    </w:p>
    <w:p>
      <w:pPr>
        <w:rPr>
          <w:rFonts w:hint="eastAsia"/>
        </w:rPr>
      </w:pPr>
    </w:p>
    <w:p>
      <w:pPr>
        <w:ind w:left="0" w:leftChars="0" w:firstLine="0" w:firstLineChars="0"/>
        <w:rPr>
          <w:rFonts w:hint="eastAsia"/>
        </w:rPr>
      </w:pPr>
      <w:r>
        <w:rPr>
          <w:rFonts w:hint="eastAsia"/>
        </w:rPr>
        <w:t>Business Process Reengineering (BPR) is a management approach that aims to overhaul an organisation's core business processes to improve efficiency, quality, customer satisfaction and competitiveness.BPR involves the analysis, design and implementation of existing processes to create a more valuable output. (Hammer &amp; Champy, 1993)</w:t>
      </w:r>
    </w:p>
    <w:p>
      <w:pPr>
        <w:ind w:left="0" w:leftChars="0" w:firstLine="0" w:firstLineChars="0"/>
        <w:rPr>
          <w:rFonts w:hint="eastAsia"/>
        </w:rPr>
      </w:pPr>
    </w:p>
    <w:p>
      <w:pPr>
        <w:ind w:left="0" w:leftChars="0" w:firstLine="0" w:firstLineChars="0"/>
        <w:rPr>
          <w:rFonts w:hint="eastAsia"/>
          <w:b/>
          <w:bCs/>
        </w:rPr>
      </w:pPr>
      <w:r>
        <w:rPr>
          <w:rFonts w:hint="eastAsia"/>
          <w:b/>
          <w:bCs/>
        </w:rPr>
        <w:t>Troyland needed to undertake BPR for several reasons:</w:t>
      </w:r>
    </w:p>
    <w:p>
      <w:pPr>
        <w:ind w:left="0" w:leftChars="0" w:firstLine="0" w:firstLineChars="0"/>
        <w:rPr>
          <w:rFonts w:hint="eastAsia"/>
          <w:b/>
          <w:bCs/>
        </w:rPr>
      </w:pPr>
    </w:p>
    <w:p>
      <w:pPr>
        <w:numPr>
          <w:ilvl w:val="0"/>
          <w:numId w:val="3"/>
        </w:numPr>
        <w:ind w:left="420" w:leftChars="0" w:hanging="420" w:firstLineChars="0"/>
        <w:rPr>
          <w:rFonts w:hint="eastAsia"/>
        </w:rPr>
      </w:pPr>
      <w:r>
        <w:rPr>
          <w:rFonts w:hint="eastAsia"/>
        </w:rPr>
        <w:t>Troyland was facing a growth crisis of declining market share, reduced sales and lower margins and needed to find new competitive advantages and growth opportunities.</w:t>
      </w:r>
    </w:p>
    <w:p>
      <w:pPr>
        <w:numPr>
          <w:ilvl w:val="0"/>
          <w:numId w:val="3"/>
        </w:numPr>
        <w:ind w:left="420" w:leftChars="0" w:hanging="420" w:firstLineChars="0"/>
        <w:rPr>
          <w:rFonts w:hint="eastAsia"/>
        </w:rPr>
      </w:pPr>
      <w:r>
        <w:rPr>
          <w:rFonts w:hint="eastAsia"/>
        </w:rPr>
        <w:t>Troyland's supply chain management suffered from high costs, long lead times and low quality, and needed to find more optimised, flexible and reliable suppliers and logistics channels.</w:t>
      </w:r>
    </w:p>
    <w:p>
      <w:pPr>
        <w:numPr>
          <w:ilvl w:val="0"/>
          <w:numId w:val="3"/>
        </w:numPr>
        <w:ind w:left="420" w:leftChars="0" w:hanging="420" w:firstLineChars="0"/>
        <w:rPr>
          <w:rFonts w:hint="eastAsia"/>
        </w:rPr>
      </w:pPr>
      <w:r>
        <w:rPr>
          <w:rFonts w:hint="eastAsia"/>
        </w:rPr>
        <w:t>Troyland's product design and production processes suffer from low efficiency, high error rates and lack of innovation, and need to introduce new technologies, tools and methods to improve productivity and quality.</w:t>
      </w:r>
    </w:p>
    <w:p>
      <w:pPr>
        <w:numPr>
          <w:ilvl w:val="0"/>
          <w:numId w:val="3"/>
        </w:numPr>
        <w:ind w:left="420" w:leftChars="0" w:hanging="420" w:firstLineChars="0"/>
        <w:rPr>
          <w:rFonts w:hint="eastAsia"/>
        </w:rPr>
      </w:pPr>
      <w:r>
        <w:rPr>
          <w:rFonts w:hint="eastAsia"/>
        </w:rPr>
        <w:t>Troyland's customer service processes suffer from low satisfaction, high complaint rates and lack of loyalty, and need to improve customer experience and relationships to enhance brand image and reputation.</w:t>
      </w:r>
    </w:p>
    <w:p>
      <w:pPr>
        <w:numPr>
          <w:numId w:val="0"/>
        </w:numPr>
        <w:ind w:leftChars="0"/>
        <w:rPr>
          <w:rFonts w:hint="eastAsia"/>
        </w:rPr>
      </w:pPr>
    </w:p>
    <w:p>
      <w:pPr>
        <w:ind w:left="0" w:leftChars="0" w:firstLine="0" w:firstLineChars="0"/>
        <w:rPr>
          <w:rFonts w:hint="eastAsia"/>
          <w:b/>
          <w:bCs/>
        </w:rPr>
      </w:pPr>
      <w:r>
        <w:rPr>
          <w:rFonts w:hint="eastAsia"/>
          <w:b/>
          <w:bCs/>
        </w:rPr>
        <w:t>Troyland's approach to BPR was as follows:</w:t>
      </w:r>
    </w:p>
    <w:p>
      <w:pPr>
        <w:ind w:left="0" w:leftChars="0" w:firstLine="0" w:firstLineChars="0"/>
        <w:rPr>
          <w:rFonts w:hint="eastAsia"/>
          <w:b/>
          <w:bCs/>
        </w:rPr>
      </w:pPr>
    </w:p>
    <w:p>
      <w:pPr>
        <w:numPr>
          <w:ilvl w:val="0"/>
          <w:numId w:val="3"/>
        </w:numPr>
        <w:ind w:left="420" w:leftChars="0" w:hanging="420" w:firstLineChars="0"/>
        <w:rPr>
          <w:rFonts w:hint="eastAsia"/>
        </w:rPr>
      </w:pPr>
      <w:r>
        <w:rPr>
          <w:rFonts w:hint="eastAsia"/>
        </w:rPr>
        <w:t>Firstly, Troyland needed to define the objectives and scope of BPR, identify which business processes were to be improved or rebuilt, and set targets and deadlines accordingly.</w:t>
      </w:r>
    </w:p>
    <w:p>
      <w:pPr>
        <w:numPr>
          <w:ilvl w:val="0"/>
          <w:numId w:val="3"/>
        </w:numPr>
        <w:ind w:left="420" w:leftChars="0" w:hanging="420" w:firstLineChars="0"/>
        <w:rPr>
          <w:rFonts w:hint="eastAsia"/>
        </w:rPr>
      </w:pPr>
      <w:r>
        <w:rPr>
          <w:rFonts w:hint="eastAsia"/>
        </w:rPr>
        <w:t>Secondly, Troyland needs to collect and analyse relevant data to understand how existing processes are performing, where the problems are, what factors are affecting them, etc., and compare them with best practice or industry standards.</w:t>
      </w:r>
    </w:p>
    <w:p>
      <w:pPr>
        <w:numPr>
          <w:ilvl w:val="0"/>
          <w:numId w:val="3"/>
        </w:numPr>
        <w:ind w:left="420" w:leftChars="0" w:hanging="420" w:firstLineChars="0"/>
        <w:rPr>
          <w:rFonts w:hint="eastAsia"/>
        </w:rPr>
      </w:pPr>
      <w:r>
        <w:rPr>
          <w:rFonts w:hint="eastAsia"/>
        </w:rPr>
        <w:t>Thirdly, Troyland needs to design and test new process solutions, propose improvements or innovations based on target requirements and data analysis, and conduct simulations or trials to validate them.</w:t>
      </w:r>
    </w:p>
    <w:p>
      <w:pPr>
        <w:numPr>
          <w:ilvl w:val="0"/>
          <w:numId w:val="3"/>
        </w:numPr>
        <w:ind w:left="420" w:leftChars="0" w:hanging="420" w:firstLineChars="0"/>
        <w:rPr>
          <w:rFonts w:hint="eastAsia"/>
        </w:rPr>
      </w:pPr>
      <w:r>
        <w:rPr>
          <w:rFonts w:hint="eastAsia"/>
        </w:rPr>
        <w:t>Fourthly, Troyland needs to implement and evaluate the new process solution, roll it out across the organisation after ensuring resourcing and staff training, and regularly monitor and evaluate its effectiveness and make adjustments or optimisations based on feedback.</w:t>
      </w:r>
    </w:p>
    <w:p>
      <w:pPr>
        <w:ind w:left="0" w:leftChars="0" w:firstLine="0" w:firstLineChars="0"/>
        <w:rPr>
          <w:rFonts w:hint="eastAsia"/>
        </w:rPr>
      </w:pPr>
    </w:p>
    <w:p>
      <w:pPr>
        <w:pStyle w:val="4"/>
        <w:bidi w:val="0"/>
        <w:rPr>
          <w:rFonts w:hint="eastAsia"/>
        </w:rPr>
      </w:pPr>
      <w:bookmarkStart w:id="34" w:name="_Toc8051"/>
      <w:r>
        <w:rPr>
          <w:rFonts w:hint="eastAsia"/>
          <w:lang w:val="en-US" w:eastAsia="zh-CN"/>
        </w:rPr>
        <w:t xml:space="preserve">2.2.3 </w:t>
      </w:r>
      <w:r>
        <w:rPr>
          <w:rFonts w:hint="eastAsia"/>
        </w:rPr>
        <w:t>Troyland's Balanced Scorecard</w:t>
      </w:r>
      <w:bookmarkEnd w:id="34"/>
    </w:p>
    <w:p>
      <w:pPr>
        <w:rPr>
          <w:rFonts w:hint="eastAsia"/>
        </w:rPr>
      </w:pPr>
    </w:p>
    <w:p>
      <w:pPr>
        <w:rPr>
          <w:rFonts w:hint="eastAsia"/>
        </w:rPr>
      </w:pPr>
      <w:r>
        <w:rPr>
          <w:rFonts w:hint="eastAsia"/>
        </w:rPr>
        <w:t>The Balanced Scorecard (BSC) is a performance management tool designed to translate an organisation's strategic objectives into a series of measurable indicators and to assess the overall performance of the organisation along four dimensions: financial, customer, internal processes and learning and growth.</w:t>
      </w:r>
    </w:p>
    <w:p>
      <w:pPr>
        <w:rPr>
          <w:rFonts w:hint="eastAsia"/>
        </w:rPr>
      </w:pPr>
    </w:p>
    <w:p>
      <w:pPr>
        <w:rPr>
          <w:rFonts w:hint="eastAsia"/>
          <w:b/>
          <w:bCs/>
        </w:rPr>
      </w:pPr>
      <w:r>
        <w:rPr>
          <w:rFonts w:hint="eastAsia"/>
          <w:b/>
          <w:bCs/>
        </w:rPr>
        <w:t>Troyland's Balanced Scorecard is as follows:</w:t>
      </w:r>
    </w:p>
    <w:p>
      <w:pPr>
        <w:rPr>
          <w:rFonts w:hint="eastAsia"/>
        </w:rPr>
      </w:pPr>
    </w:p>
    <w:p>
      <w:pPr>
        <w:numPr>
          <w:ilvl w:val="0"/>
          <w:numId w:val="3"/>
        </w:numPr>
        <w:ind w:left="420" w:leftChars="0" w:hanging="420" w:firstLineChars="0"/>
        <w:rPr>
          <w:rFonts w:hint="eastAsia"/>
        </w:rPr>
      </w:pPr>
      <w:r>
        <w:rPr>
          <w:rFonts w:hint="eastAsia"/>
          <w:b/>
          <w:bCs/>
        </w:rPr>
        <w:t xml:space="preserve">Financial Dimension: </w:t>
      </w:r>
      <w:r>
        <w:rPr>
          <w:rFonts w:hint="eastAsia"/>
        </w:rPr>
        <w:t>The main focus is on Troyland's financial position and profitability, including indicators such as operating income, gross margin, net profit and gearing. As can be seen from the data on the left, Troyland achieved better financial results in 2018 and 2019, but experienced a significant decline in 2020 and 2021, mainly due to factors such as rising supply chain costs, reduced market demand and exchange rate fluctuations. As a result, Troyland needs to take measures to reduce costs, improve efficiency, explore new markets, increase revenue streams, etc.</w:t>
      </w:r>
    </w:p>
    <w:p>
      <w:pPr>
        <w:numPr>
          <w:ilvl w:val="0"/>
          <w:numId w:val="3"/>
        </w:numPr>
        <w:ind w:left="420" w:leftChars="0" w:hanging="420" w:firstLineChars="0"/>
        <w:rPr>
          <w:rFonts w:hint="eastAsia"/>
        </w:rPr>
      </w:pPr>
      <w:r>
        <w:rPr>
          <w:rFonts w:hint="eastAsia" w:ascii="Times New Roman" w:hAnsi="Times New Roman" w:eastAsia="宋体"/>
          <w:b/>
          <w:bCs/>
        </w:rPr>
        <w:t xml:space="preserve">Customer dimension: </w:t>
      </w:r>
      <w:r>
        <w:rPr>
          <w:rFonts w:hint="eastAsia"/>
        </w:rPr>
        <w:t>The main focus is on Troyland's customer satisfaction and loyalty, including indicators such as website hits, sales conversion rates, customer satisfaction surveys, and the number of new customers. As can be seen from the data on the left, Troyland has gradually improved customer satisfaction and loyalty and increased the number of new customers between 2018 and 2020. However, in 2021 due to the epidemic and Brexit, among other reasons, the number of website hits and sales conversions have dropped significantly. As a result, Troyland needs to improve its website design and functionality, offer more offers and services, enhance communication and interaction with customers, etc.</w:t>
      </w:r>
    </w:p>
    <w:p>
      <w:pPr>
        <w:numPr>
          <w:ilvl w:val="0"/>
          <w:numId w:val="3"/>
        </w:numPr>
        <w:ind w:left="420" w:leftChars="0" w:hanging="420" w:firstLineChars="0"/>
        <w:rPr>
          <w:rFonts w:hint="eastAsia"/>
        </w:rPr>
      </w:pPr>
      <w:r>
        <w:rPr>
          <w:rFonts w:hint="eastAsia" w:ascii="Times New Roman" w:hAnsi="Times New Roman" w:eastAsia="宋体"/>
          <w:b/>
          <w:bCs/>
        </w:rPr>
        <w:t xml:space="preserve">Internal Process Dimension: </w:t>
      </w:r>
      <w:r>
        <w:rPr>
          <w:rFonts w:hint="eastAsia"/>
        </w:rPr>
        <w:t>The main focus is on the efficiency and quality of Troyland's internal operations, including indicators such as job completion time, error rate and stock turnover. As can be seen from the data on the left, Troyland has progressively reduced work completion times and reduced error rates between 2018 and 2020. However, in 2021 work completion times are lengthening and inventory backlogs are occurring due to supply chain disruptions and staff turnover, among other reasons. Troyland therefore needs to optimise its supply chain management system, introduce new technology or equipment, improve staff training or motivation, etc.</w:t>
      </w:r>
    </w:p>
    <w:p>
      <w:pPr>
        <w:numPr>
          <w:ilvl w:val="0"/>
          <w:numId w:val="3"/>
        </w:numPr>
        <w:ind w:left="420" w:leftChars="0" w:hanging="420" w:firstLineChars="0"/>
        <w:rPr>
          <w:rFonts w:hint="default"/>
          <w:lang w:val="en-US" w:eastAsia="zh-CN"/>
        </w:rPr>
      </w:pPr>
      <w:r>
        <w:rPr>
          <w:rFonts w:hint="eastAsia" w:ascii="Times New Roman" w:hAnsi="Times New Roman" w:eastAsia="宋体"/>
          <w:b/>
          <w:bCs/>
        </w:rPr>
        <w:t xml:space="preserve">Learning and Growth Dimension: </w:t>
      </w:r>
      <w:r>
        <w:rPr>
          <w:rFonts w:hint="eastAsia"/>
        </w:rPr>
        <w:t>The main focus is on Troyland's innovation capability and employee development, including indicators such as the number or percentage of product innovations, employee retention rate, and the number of training sessions attended by employees. As can be seen from the data on the left, Troyland has maintained a high employee retention rate and increased the number of training sessions attended by its employees between 2018 and 2020. However, in 2021 the number or percentage of product innovations will not be sufficient to meet customer needs or differentiate itself from competitors due to the highly competitive market and rapid industry changes. Troyland will therefore need to strengthen its market research and analysis capabilities and establish an innovation culture or mechanism.</w:t>
      </w:r>
    </w:p>
    <w:p>
      <w:pPr>
        <w:numPr>
          <w:numId w:val="0"/>
        </w:numPr>
        <w:ind w:leftChars="0"/>
        <w:rPr>
          <w:rFonts w:hint="default"/>
          <w:lang w:val="en-US" w:eastAsia="zh-CN"/>
        </w:rPr>
      </w:pPr>
    </w:p>
    <w:p>
      <w:pPr>
        <w:pStyle w:val="2"/>
        <w:numPr>
          <w:ilvl w:val="0"/>
          <w:numId w:val="1"/>
        </w:numPr>
        <w:bidi w:val="0"/>
        <w:ind w:left="0" w:leftChars="0" w:firstLine="0" w:firstLineChars="0"/>
        <w:rPr>
          <w:rFonts w:hint="eastAsia"/>
          <w:lang w:val="en-US" w:eastAsia="zh-CN"/>
        </w:rPr>
      </w:pPr>
      <w:bookmarkStart w:id="35" w:name="_Toc23433"/>
      <w:r>
        <w:rPr>
          <w:rFonts w:hint="eastAsia"/>
          <w:lang w:val="en-US" w:eastAsia="zh-CN"/>
        </w:rPr>
        <w:t>Conclusion</w:t>
      </w:r>
      <w:bookmarkEnd w:id="35"/>
    </w:p>
    <w:p>
      <w:pPr>
        <w:numPr>
          <w:numId w:val="0"/>
        </w:numPr>
        <w:ind w:leftChars="0"/>
        <w:rPr>
          <w:rFonts w:hint="default"/>
          <w:lang w:val="en-US" w:eastAsia="zh-CN"/>
        </w:rPr>
      </w:pPr>
    </w:p>
    <w:p>
      <w:pPr>
        <w:pStyle w:val="3"/>
        <w:bidi w:val="0"/>
        <w:rPr>
          <w:rFonts w:hint="eastAsia"/>
        </w:rPr>
      </w:pPr>
      <w:bookmarkStart w:id="36" w:name="_Toc24871"/>
      <w:r>
        <w:rPr>
          <w:rFonts w:hint="eastAsia"/>
          <w:lang w:val="en-US" w:eastAsia="zh-CN"/>
        </w:rPr>
        <w:t xml:space="preserve">3.1 </w:t>
      </w:r>
      <w:r>
        <w:rPr>
          <w:rFonts w:hint="eastAsia"/>
        </w:rPr>
        <w:t>P</w:t>
      </w:r>
      <w:r>
        <w:rPr>
          <w:rFonts w:hint="eastAsia"/>
          <w:lang w:val="en-US" w:eastAsia="zh-CN"/>
        </w:rPr>
        <w:t>ART</w:t>
      </w:r>
      <w:r>
        <w:rPr>
          <w:rFonts w:hint="eastAsia"/>
        </w:rPr>
        <w:t>1</w:t>
      </w:r>
      <w:bookmarkEnd w:id="36"/>
    </w:p>
    <w:p>
      <w:pPr>
        <w:numPr>
          <w:numId w:val="0"/>
        </w:numPr>
        <w:jc w:val="both"/>
        <w:rPr>
          <w:rFonts w:hint="eastAsia"/>
        </w:rPr>
      </w:pPr>
      <w:r>
        <w:rPr>
          <w:rFonts w:hint="eastAsia"/>
        </w:rPr>
        <w:t>This part evaluated the divisional performance of Portal Fabrication plc and discussed methods of measuring divisional performance, including residual income and economic value added (Kaplan and Norton, 1992). The paper also outlines the design principles of the transfer pricing system and evaluates the market price method and the cost-plus method as methods for calculating transfer prices between the service and sales divisions (Horngren et al., 2018). In addition, this paper assesses the potential impact of the introduction of a new executive information system at Portal Fabrication plc on performance management (Davenport, 1993). The new executive information system may bring significant benefits to performance management in the conglomerate, including improved data quality and usability, enhanced interdepartmental collaboration and coordination, and simplified data analysis and reporting. However, Portal Fabrication plc should also consider the costs, risks and potential benefits of a new executive information system and ensure that adequate resources are allocated to the implementation process (Markus and Tanis, 2000).</w:t>
      </w:r>
    </w:p>
    <w:p>
      <w:r>
        <w:t>In conclusion, Portal Fabrication plc should consider adopting alternative measures of department performance, such as Residual Income or Economic Value Added, to better assess the performance of the M/S and Service departments. The choice of transfer pricing method should be based on the corporate group's overall objectives and strategy, as well as the specific circumstances of the two departments (Horngren et al., 2018). Finally, the implementation of a new executive information system could bring significant benefits to the corporate group's performance management, provided that the implementation process is carefully managed and adequately resourced (Kotter, 1995).</w:t>
      </w:r>
    </w:p>
    <w:p>
      <w:pPr>
        <w:numPr>
          <w:numId w:val="0"/>
        </w:numPr>
        <w:jc w:val="both"/>
        <w:rPr>
          <w:rFonts w:hint="eastAsia"/>
        </w:rPr>
      </w:pPr>
    </w:p>
    <w:p>
      <w:pPr>
        <w:pStyle w:val="3"/>
        <w:bidi w:val="0"/>
        <w:rPr>
          <w:rFonts w:hint="eastAsia"/>
        </w:rPr>
      </w:pPr>
      <w:bookmarkStart w:id="37" w:name="_Toc861"/>
      <w:r>
        <w:rPr>
          <w:rFonts w:hint="eastAsia"/>
          <w:lang w:val="en-US" w:eastAsia="zh-CN"/>
        </w:rPr>
        <w:t xml:space="preserve">3.2 </w:t>
      </w:r>
      <w:r>
        <w:rPr>
          <w:rFonts w:hint="eastAsia"/>
        </w:rPr>
        <w:t>P</w:t>
      </w:r>
      <w:r>
        <w:rPr>
          <w:rFonts w:hint="eastAsia"/>
          <w:lang w:val="en-US" w:eastAsia="zh-CN"/>
        </w:rPr>
        <w:t>ART</w:t>
      </w:r>
      <w:r>
        <w:rPr>
          <w:rFonts w:hint="eastAsia"/>
        </w:rPr>
        <w:t>2</w:t>
      </w:r>
      <w:bookmarkEnd w:id="37"/>
    </w:p>
    <w:p>
      <w:pPr>
        <w:numPr>
          <w:numId w:val="0"/>
        </w:numPr>
        <w:jc w:val="both"/>
        <w:rPr>
          <w:rFonts w:hint="eastAsia"/>
        </w:rPr>
      </w:pPr>
      <w:r>
        <w:rPr>
          <w:rFonts w:hint="eastAsia"/>
        </w:rPr>
        <w:t>Troyland is a mid-sized footwear design and retail company serving primarily mid- to high-end customers.Troyland achieved better performance in 2018 and 2019, but encountered multiple challenges in 2020 and 2021 that led to a decline in its performance in the areas of finance, customers, internal processes and learning and growth. To address these challenges, Troyland needs to undertake business process re-engineering to improve efficiency, quality, customer satisfaction and competitiveness, and adopt the Balanced Scorecard as a performance management tool to translate its strategic objectives into measurable metrics and assess its overall performance along four dimensions.</w:t>
      </w:r>
    </w:p>
    <w:p>
      <w:pPr>
        <w:numPr>
          <w:numId w:val="0"/>
        </w:numPr>
        <w:jc w:val="both"/>
        <w:rPr>
          <w:rFonts w:hint="eastAsia"/>
        </w:rPr>
      </w:pPr>
    </w:p>
    <w:p>
      <w:pPr>
        <w:numPr>
          <w:numId w:val="0"/>
        </w:numPr>
        <w:jc w:val="both"/>
        <w:rPr>
          <w:rFonts w:hint="eastAsia"/>
        </w:rPr>
      </w:pPr>
      <w:r>
        <w:rPr>
          <w:rFonts w:hint="eastAsia"/>
        </w:rPr>
        <w:t>On the financial side, Troyland should look for lower cost, more flexible and reliable suppliers and logistics channels to reduce supply chain costs and shorten lead times. Troyland should also explore new markets and revenue streams, such as partnering with Bridgerton Farms Ltd to produce luxury crocodile footwear, and marketing to potential customers in China, the US and the Middle East.</w:t>
      </w:r>
    </w:p>
    <w:p>
      <w:pPr>
        <w:numPr>
          <w:numId w:val="0"/>
        </w:numPr>
        <w:jc w:val="both"/>
        <w:rPr>
          <w:rFonts w:hint="eastAsia"/>
        </w:rPr>
      </w:pPr>
    </w:p>
    <w:p>
      <w:pPr>
        <w:numPr>
          <w:numId w:val="0"/>
        </w:numPr>
        <w:jc w:val="both"/>
        <w:rPr>
          <w:rFonts w:hint="eastAsia"/>
        </w:rPr>
      </w:pPr>
      <w:r>
        <w:rPr>
          <w:rFonts w:hint="eastAsia"/>
        </w:rPr>
        <w:t>On the customer side, Troyland should improve its website design and functionality to attract more website hits and increase sales conversions. Troyland should also provide more offers and services, such as free shipping, return guarantee, membership system, etc., and increase communication and interaction with customers, such as collecting customer feedback or suggestions via social media, email or phone, and responding or resolving them in a timely manner.</w:t>
      </w:r>
    </w:p>
    <w:p>
      <w:pPr>
        <w:numPr>
          <w:numId w:val="0"/>
        </w:numPr>
        <w:jc w:val="both"/>
        <w:rPr>
          <w:rFonts w:hint="eastAsia"/>
        </w:rPr>
      </w:pPr>
    </w:p>
    <w:p>
      <w:pPr>
        <w:numPr>
          <w:numId w:val="0"/>
        </w:numPr>
        <w:jc w:val="both"/>
        <w:rPr>
          <w:rFonts w:hint="eastAsia"/>
        </w:rPr>
      </w:pPr>
      <w:r>
        <w:rPr>
          <w:rFonts w:hint="eastAsia"/>
        </w:rPr>
        <w:t>In terms of internal processes, Troyland should optimise its inventory management system to avoid problems of stock build-up or shortage and to improve inventory turnover. Troyland should also introduce new technologies or equipment, such as the use of 3D printers, intelligent robots or artificial intelligence, to improve the efficiency and quality of the product design and production process and to reduce the error rate.</w:t>
      </w:r>
    </w:p>
    <w:p>
      <w:pPr>
        <w:numPr>
          <w:numId w:val="0"/>
        </w:numPr>
        <w:jc w:val="both"/>
        <w:rPr>
          <w:rFonts w:hint="eastAsia"/>
        </w:rPr>
      </w:pPr>
    </w:p>
    <w:p>
      <w:pPr>
        <w:numPr>
          <w:numId w:val="0"/>
        </w:numPr>
        <w:jc w:val="both"/>
        <w:rPr>
          <w:rFonts w:hint="eastAsia"/>
        </w:rPr>
      </w:pPr>
      <w:r>
        <w:rPr>
          <w:rFonts w:hint="eastAsia"/>
        </w:rPr>
        <w:t>In terms of learning and growth, Troyland should strengthen its market research and analysis capabilities in order to understand customer needs, industry trends, competitor dynamics, etc. and innovate or improve its products based on this information. Troyland should also establish an innovation culture or mechanism, such as encouraging employees to come up with ideas or suggestions, setting up an innovation reward or recognition system, organising innovation training or exchange activities, and providing adequate resources and support for employees.</w:t>
      </w:r>
    </w:p>
    <w:p>
      <w:pPr>
        <w:numPr>
          <w:numId w:val="0"/>
        </w:numPr>
        <w:jc w:val="both"/>
        <w:rPr>
          <w:rFonts w:hint="eastAsia"/>
        </w:rPr>
      </w:pPr>
    </w:p>
    <w:p>
      <w:pPr>
        <w:pStyle w:val="2"/>
      </w:pPr>
      <w:bookmarkStart w:id="38" w:name="_Toc129339191"/>
      <w:bookmarkStart w:id="39" w:name="_Toc8575"/>
      <w:r>
        <w:t>Bibliography</w:t>
      </w:r>
      <w:bookmarkEnd w:id="38"/>
      <w:bookmarkEnd w:id="39"/>
    </w:p>
    <w:p>
      <w:pPr>
        <w:numPr>
          <w:numId w:val="0"/>
        </w:numPr>
        <w:jc w:val="both"/>
        <w:rPr>
          <w:rFonts w:hint="eastAsia"/>
          <w:lang w:val="en-US" w:eastAsia="zh-CN"/>
        </w:rPr>
      </w:pPr>
    </w:p>
    <w:p>
      <w:pPr>
        <w:numPr>
          <w:ilvl w:val="0"/>
          <w:numId w:val="4"/>
        </w:numPr>
        <w:bidi w:val="0"/>
        <w:ind w:left="425" w:leftChars="0" w:hanging="425" w:firstLineChars="0"/>
      </w:pPr>
      <w:r>
        <w:rPr>
          <w:rFonts w:hint="default"/>
        </w:rPr>
        <w:t>Anthony, R.N. and Govindarajan, V. (2007). Management control systems. 12th ed. New York: McGraw-Hill.</w:t>
      </w:r>
    </w:p>
    <w:p>
      <w:pPr>
        <w:numPr>
          <w:ilvl w:val="0"/>
          <w:numId w:val="4"/>
        </w:numPr>
        <w:bidi w:val="0"/>
        <w:ind w:left="425" w:leftChars="0" w:hanging="425" w:firstLineChars="0"/>
        <w:rPr>
          <w:rFonts w:hint="default"/>
        </w:rPr>
      </w:pPr>
      <w:r>
        <w:rPr>
          <w:rFonts w:hint="default"/>
        </w:rPr>
        <w:t>Bhimani, A., Horngren, C.T., Datar, S.M. and Rajan, M.V. (2012). Management and cost accounting. 5th ed. Harlow: Pearson.</w:t>
      </w:r>
    </w:p>
    <w:p>
      <w:pPr>
        <w:numPr>
          <w:ilvl w:val="0"/>
          <w:numId w:val="4"/>
        </w:numPr>
        <w:bidi w:val="0"/>
        <w:ind w:left="425" w:leftChars="0" w:hanging="425" w:firstLineChars="0"/>
        <w:rPr>
          <w:rFonts w:hint="eastAsia"/>
        </w:rPr>
      </w:pPr>
      <w:r>
        <w:rPr>
          <w:rFonts w:hint="default"/>
        </w:rPr>
        <w:t>Chaffey, D., &amp; Ellis-Chadwick, F.(2019). Digital Marketing.Pearson Education Limited.</w:t>
      </w:r>
    </w:p>
    <w:p>
      <w:pPr>
        <w:numPr>
          <w:ilvl w:val="0"/>
          <w:numId w:val="4"/>
        </w:numPr>
        <w:bidi w:val="0"/>
        <w:ind w:left="425" w:leftChars="0" w:hanging="425" w:firstLineChars="0"/>
        <w:rPr>
          <w:rFonts w:hint="default"/>
        </w:rPr>
      </w:pPr>
      <w:r>
        <w:rPr>
          <w:rFonts w:hint="default"/>
        </w:rPr>
        <w:t>Christopher, M. (2016). Logistics &amp; Supply Chain Management. Pearson Education Limited.</w:t>
      </w:r>
    </w:p>
    <w:p>
      <w:pPr>
        <w:numPr>
          <w:ilvl w:val="0"/>
          <w:numId w:val="4"/>
        </w:numPr>
        <w:bidi w:val="0"/>
        <w:ind w:left="425" w:leftChars="0" w:hanging="425" w:firstLineChars="0"/>
        <w:rPr>
          <w:rFonts w:hint="default"/>
        </w:rPr>
      </w:pPr>
      <w:r>
        <w:rPr>
          <w:rFonts w:hint="default"/>
        </w:rPr>
        <w:t>Davenport, T.H. (1993). Process innovation: Reengineering work through information technology. Harvard Business School Press.</w:t>
      </w:r>
    </w:p>
    <w:p>
      <w:pPr>
        <w:numPr>
          <w:ilvl w:val="0"/>
          <w:numId w:val="4"/>
        </w:numPr>
        <w:bidi w:val="0"/>
        <w:ind w:left="425" w:leftChars="0" w:hanging="425" w:firstLineChars="0"/>
        <w:rPr>
          <w:rFonts w:hint="default"/>
        </w:rPr>
      </w:pPr>
      <w:r>
        <w:rPr>
          <w:rFonts w:hint="default"/>
        </w:rPr>
        <w:t>Drury, C. (2012). Management and cost accounting. 8th ed. Andover: Cengage Learning.</w:t>
      </w:r>
    </w:p>
    <w:p>
      <w:pPr>
        <w:numPr>
          <w:ilvl w:val="0"/>
          <w:numId w:val="4"/>
        </w:numPr>
        <w:bidi w:val="0"/>
        <w:ind w:left="425" w:leftChars="0" w:hanging="425" w:firstLineChars="0"/>
        <w:rPr>
          <w:rFonts w:hint="default"/>
        </w:rPr>
      </w:pPr>
      <w:r>
        <w:rPr>
          <w:rFonts w:hint="default"/>
        </w:rPr>
        <w:t>Eccles, R.G. (1985). The transfer pricing problem: A theory for practice. Lexington Books.</w:t>
      </w:r>
    </w:p>
    <w:p>
      <w:pPr>
        <w:numPr>
          <w:ilvl w:val="0"/>
          <w:numId w:val="4"/>
        </w:numPr>
        <w:bidi w:val="0"/>
        <w:ind w:left="425" w:leftChars="0" w:hanging="425" w:firstLineChars="0"/>
        <w:rPr>
          <w:rFonts w:hint="default"/>
        </w:rPr>
      </w:pPr>
      <w:r>
        <w:rPr>
          <w:rFonts w:hint="default"/>
        </w:rPr>
        <w:t>Ehrbar, A. (1998). EVA: The real key to creating wealth. New York: John Wiley &amp; Sons.</w:t>
      </w:r>
    </w:p>
    <w:p>
      <w:pPr>
        <w:numPr>
          <w:ilvl w:val="0"/>
          <w:numId w:val="4"/>
        </w:numPr>
        <w:bidi w:val="0"/>
        <w:ind w:left="425" w:leftChars="0" w:hanging="425" w:firstLineChars="0"/>
        <w:rPr>
          <w:rFonts w:hint="default"/>
        </w:rPr>
      </w:pPr>
      <w:r>
        <w:rPr>
          <w:rFonts w:hint="default"/>
        </w:rPr>
        <w:t>Garrison, R.H., Noreen E.W. and Brewer P.C. (2010). Managerial accounting .13th ed.New York: McGraw-Hill.</w:t>
      </w:r>
    </w:p>
    <w:p>
      <w:pPr>
        <w:numPr>
          <w:ilvl w:val="0"/>
          <w:numId w:val="4"/>
        </w:numPr>
        <w:bidi w:val="0"/>
        <w:ind w:left="425" w:leftChars="0" w:hanging="425" w:firstLineChars="0"/>
        <w:rPr>
          <w:rFonts w:hint="default"/>
        </w:rPr>
      </w:pPr>
      <w:r>
        <w:t>Gui, X., Hu, Z., Zhang, J. and Bao, Y. (2014) ‘Assessing Personal Performance with M-SVMs’, in Yu, L., Zhu, Q., Chai, J. and Wang, S. (eds.) Proceedings of the 7th International Joint Conference on Computational Sciences and Optimization (CSO). Beijing: IEEE. pp. 598-601.</w:t>
      </w:r>
    </w:p>
    <w:p>
      <w:pPr>
        <w:numPr>
          <w:ilvl w:val="0"/>
          <w:numId w:val="4"/>
        </w:numPr>
        <w:bidi w:val="0"/>
        <w:ind w:left="425" w:leftChars="0" w:hanging="425" w:firstLineChars="0"/>
        <w:rPr>
          <w:rFonts w:hint="default"/>
        </w:rPr>
      </w:pPr>
      <w:r>
        <w:rPr>
          <w:rFonts w:hint="default"/>
        </w:rPr>
        <w:t>Hamel, G., &amp; Prahalad, C. K. (1994). Competing for the Future. Harvard Business Review Press.</w:t>
      </w:r>
    </w:p>
    <w:p>
      <w:pPr>
        <w:numPr>
          <w:ilvl w:val="0"/>
          <w:numId w:val="4"/>
        </w:numPr>
        <w:bidi w:val="0"/>
        <w:ind w:left="425" w:leftChars="0" w:hanging="425" w:firstLineChars="0"/>
        <w:rPr>
          <w:rFonts w:hint="default"/>
        </w:rPr>
      </w:pPr>
      <w:r>
        <w:rPr>
          <w:rFonts w:hint="default"/>
        </w:rPr>
        <w:t>Horngren, C.T., Datar, S.M., and Rajan, M.V. (2018). Cost accounting: A managerial emphasis (16th ed.). Pearson Education.</w:t>
      </w:r>
    </w:p>
    <w:p>
      <w:pPr>
        <w:numPr>
          <w:ilvl w:val="0"/>
          <w:numId w:val="4"/>
        </w:numPr>
        <w:bidi w:val="0"/>
        <w:ind w:left="425" w:leftChars="0" w:hanging="425" w:firstLineChars="0"/>
        <w:rPr>
          <w:rFonts w:hint="default"/>
        </w:rPr>
      </w:pPr>
      <w:r>
        <w:rPr>
          <w:rFonts w:hint="default"/>
        </w:rPr>
        <w:t xml:space="preserve">Kotter, J.P. (1995). Leading change: Why transformation efforts fail. Harvard Business Review, March-April, </w:t>
      </w:r>
      <w:r>
        <w:t xml:space="preserve">pp. </w:t>
      </w:r>
      <w:r>
        <w:rPr>
          <w:rFonts w:hint="default"/>
        </w:rPr>
        <w:t>59-67.</w:t>
      </w:r>
    </w:p>
    <w:p>
      <w:pPr>
        <w:numPr>
          <w:ilvl w:val="0"/>
          <w:numId w:val="4"/>
        </w:numPr>
        <w:bidi w:val="0"/>
        <w:ind w:left="425" w:leftChars="0" w:hanging="425" w:firstLineChars="0"/>
        <w:rPr>
          <w:rFonts w:hint="default"/>
        </w:rPr>
      </w:pPr>
      <w:r>
        <w:rPr>
          <w:rFonts w:hint="default"/>
        </w:rPr>
        <w:t xml:space="preserve">Kaplan, R. S., &amp; Norton, D. P. (1992). The Balanced Scorecard - Measures that Drive Performance. Harvard Business Review, 70(1), </w:t>
      </w:r>
      <w:r>
        <w:t xml:space="preserve">pp. </w:t>
      </w:r>
      <w:r>
        <w:rPr>
          <w:rFonts w:hint="default"/>
        </w:rPr>
        <w:t>71-79.</w:t>
      </w:r>
    </w:p>
    <w:p>
      <w:pPr>
        <w:numPr>
          <w:ilvl w:val="0"/>
          <w:numId w:val="4"/>
        </w:numPr>
        <w:bidi w:val="0"/>
        <w:ind w:left="425" w:leftChars="0" w:hanging="425" w:firstLineChars="0"/>
        <w:rPr>
          <w:rFonts w:hint="default"/>
        </w:rPr>
      </w:pPr>
      <w:r>
        <w:rPr>
          <w:rFonts w:hint="default"/>
        </w:rPr>
        <w:t>Kaplan, R. S., &amp; Norton, D. P. (1996). The Balanced Scorecard: Translating Strategy into Action. Harvard Business School Press.</w:t>
      </w:r>
    </w:p>
    <w:p>
      <w:pPr>
        <w:numPr>
          <w:ilvl w:val="0"/>
          <w:numId w:val="4"/>
        </w:numPr>
        <w:bidi w:val="0"/>
        <w:ind w:left="425" w:leftChars="0" w:hanging="425" w:firstLineChars="0"/>
        <w:rPr>
          <w:rFonts w:hint="default"/>
        </w:rPr>
      </w:pPr>
      <w:r>
        <w:rPr>
          <w:rFonts w:hint="default"/>
        </w:rPr>
        <w:t>Kotler, P., &amp; Keller, K. L. (2016). Marketing Management. Pearson Education Limited.</w:t>
      </w:r>
    </w:p>
    <w:p>
      <w:pPr>
        <w:numPr>
          <w:ilvl w:val="0"/>
          <w:numId w:val="4"/>
        </w:numPr>
        <w:bidi w:val="0"/>
        <w:ind w:left="425" w:leftChars="0" w:hanging="425" w:firstLineChars="0"/>
        <w:rPr>
          <w:rFonts w:hint="default"/>
        </w:rPr>
      </w:pPr>
      <w:r>
        <w:rPr>
          <w:rFonts w:hint="default"/>
        </w:rPr>
        <w:t>Lambert, R.A. (2009). Financial literacy for managers: Finance and accounting for better decision-making. Philadelphia: Wharton School Publishing.</w:t>
      </w:r>
    </w:p>
    <w:p>
      <w:pPr>
        <w:numPr>
          <w:ilvl w:val="0"/>
          <w:numId w:val="4"/>
        </w:numPr>
        <w:bidi w:val="0"/>
        <w:ind w:left="425" w:leftChars="0" w:hanging="425" w:firstLineChars="0"/>
        <w:rPr>
          <w:rFonts w:hint="default"/>
        </w:rPr>
      </w:pPr>
      <w:r>
        <w:rPr>
          <w:rFonts w:hint="default"/>
        </w:rPr>
        <w:t>Lucey, T. (2003). Management accounting. 5th ed.London: Continuum.</w:t>
      </w:r>
    </w:p>
    <w:p>
      <w:pPr>
        <w:numPr>
          <w:ilvl w:val="0"/>
          <w:numId w:val="4"/>
        </w:numPr>
        <w:bidi w:val="0"/>
        <w:ind w:left="425" w:leftChars="0" w:hanging="425" w:firstLineChars="0"/>
        <w:rPr>
          <w:rFonts w:hint="default"/>
        </w:rPr>
      </w:pPr>
      <w:r>
        <w:rPr>
          <w:rFonts w:hint="default"/>
        </w:rPr>
        <w:t>Markus, M.L., and Tanis, C. (2000). The enterprise system experience - From adoption to success. In R.W.Zmud (Ed.), Framing the domains of IT management: Projecting the future through the past.Pinnaflex Educational Resources.</w:t>
      </w:r>
    </w:p>
    <w:p>
      <w:pPr>
        <w:numPr>
          <w:ilvl w:val="0"/>
          <w:numId w:val="4"/>
        </w:numPr>
        <w:bidi w:val="0"/>
        <w:ind w:left="425" w:leftChars="0" w:hanging="425" w:firstLineChars="0"/>
        <w:rPr>
          <w:rFonts w:hint="default"/>
        </w:rPr>
      </w:pPr>
      <w:r>
        <w:t>Ma, G. (2006) ‘Principles of government performance management’, in Zhu, X. (ed.) Proceedings of the 2006 International Conference on Public Administration. Coventry: UESTC School of Political Science and Public Administration. pp. 897-902.</w:t>
      </w:r>
    </w:p>
    <w:p>
      <w:pPr>
        <w:numPr>
          <w:ilvl w:val="0"/>
          <w:numId w:val="4"/>
        </w:numPr>
        <w:bidi w:val="0"/>
        <w:ind w:left="425" w:leftChars="0" w:hanging="425" w:firstLineChars="0"/>
        <w:rPr>
          <w:rFonts w:hint="default"/>
        </w:rPr>
      </w:pPr>
      <w:r>
        <w:rPr>
          <w:rFonts w:hint="default"/>
        </w:rPr>
        <w:t xml:space="preserve">Mithas, S., Tafti, A., &amp; Mitchell, W. (2013). How a Firm’s Competitive Environment and Digital Strategic Posture Influence Digital Business Strategy. MIS Quarterly, 37(2), </w:t>
      </w:r>
      <w:r>
        <w:t xml:space="preserve">pp. </w:t>
      </w:r>
      <w:r>
        <w:rPr>
          <w:rFonts w:hint="default"/>
        </w:rPr>
        <w:t>511-536.</w:t>
      </w:r>
    </w:p>
    <w:p>
      <w:pPr>
        <w:numPr>
          <w:ilvl w:val="0"/>
          <w:numId w:val="4"/>
        </w:numPr>
        <w:bidi w:val="0"/>
        <w:ind w:left="425" w:leftChars="0" w:hanging="425" w:firstLineChars="0"/>
        <w:rPr>
          <w:rFonts w:hint="default"/>
        </w:rPr>
      </w:pPr>
      <w:r>
        <w:rPr>
          <w:rFonts w:hint="default"/>
        </w:rPr>
        <w:t>Otley, D.T. (1999). Performance management: A framework for management control systems research.Management Accounting Research,10(4),</w:t>
      </w:r>
      <w:r>
        <w:t xml:space="preserve">pp. </w:t>
      </w:r>
      <w:r>
        <w:rPr>
          <w:rFonts w:hint="default"/>
        </w:rPr>
        <w:t>363-382.</w:t>
      </w:r>
    </w:p>
    <w:p>
      <w:pPr>
        <w:numPr>
          <w:ilvl w:val="0"/>
          <w:numId w:val="4"/>
        </w:numPr>
        <w:bidi w:val="0"/>
        <w:ind w:left="425" w:leftChars="0" w:hanging="425" w:firstLineChars="0"/>
        <w:rPr>
          <w:rFonts w:hint="default"/>
        </w:rPr>
      </w:pPr>
      <w:r>
        <w:rPr>
          <w:rFonts w:hint="default"/>
        </w:rPr>
        <w:t>Solomons, D. (1965).Residual income and divisional control.Management Science ,12(1),</w:t>
      </w:r>
      <w:r>
        <w:t xml:space="preserve">pp. </w:t>
      </w:r>
      <w:r>
        <w:rPr>
          <w:rFonts w:hint="default"/>
        </w:rPr>
        <w:t>B1-B18.</w:t>
      </w:r>
    </w:p>
    <w:p>
      <w:pPr>
        <w:numPr>
          <w:ilvl w:val="0"/>
          <w:numId w:val="4"/>
        </w:numPr>
        <w:bidi w:val="0"/>
        <w:ind w:left="425" w:leftChars="0" w:hanging="425" w:firstLineChars="0"/>
        <w:rPr>
          <w:rFonts w:hint="default"/>
        </w:rPr>
      </w:pPr>
      <w:r>
        <w:rPr>
          <w:rFonts w:hint="default"/>
        </w:rPr>
        <w:t>Stewart G.B., 1991.The quest for value:A guide for senior managers.New York: HarperCollins Publishers.</w:t>
      </w:r>
    </w:p>
    <w:p>
      <w:pPr>
        <w:numPr>
          <w:ilvl w:val="0"/>
          <w:numId w:val="4"/>
        </w:numPr>
        <w:bidi w:val="0"/>
        <w:ind w:left="425" w:leftChars="0" w:hanging="425" w:firstLineChars="0"/>
        <w:rPr>
          <w:rFonts w:hint="default"/>
        </w:rPr>
      </w:pPr>
      <w:r>
        <w:rPr>
          <w:rFonts w:hint="default"/>
        </w:rPr>
        <w:t>Simchi-Levi, D., Kaminsky, P., &amp; Simchi-Levi, E. (2014). Designing and Managing the Supply Chain. McGraw-Hill Education.</w:t>
      </w:r>
    </w:p>
    <w:p>
      <w:pPr>
        <w:numPr>
          <w:numId w:val="0"/>
        </w:numPr>
        <w:jc w:val="both"/>
        <w:rPr>
          <w:rFonts w:hint="default"/>
          <w:lang w:val="en-US" w:eastAsia="zh-CN"/>
        </w:rPr>
      </w:pPr>
    </w:p>
    <w:p>
      <w:pPr>
        <w:numPr>
          <w:numId w:val="0"/>
        </w:numPr>
        <w:jc w:val="both"/>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Calibri Light">
    <w:panose1 w:val="020F03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Calibri">
    <w:panose1 w:val="020F0502020204030204"/>
    <w:charset w:val="86"/>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716DE6"/>
    <w:multiLevelType w:val="multilevel"/>
    <w:tmpl w:val="C0716DE6"/>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D1322863"/>
    <w:multiLevelType w:val="singleLevel"/>
    <w:tmpl w:val="D1322863"/>
    <w:lvl w:ilvl="0" w:tentative="0">
      <w:start w:val="1"/>
      <w:numFmt w:val="bullet"/>
      <w:lvlText w:val=""/>
      <w:lvlJc w:val="left"/>
      <w:pPr>
        <w:ind w:left="420" w:hanging="420"/>
      </w:pPr>
      <w:rPr>
        <w:rFonts w:hint="default" w:ascii="Wingdings" w:hAnsi="Wingdings"/>
      </w:rPr>
    </w:lvl>
  </w:abstractNum>
  <w:abstractNum w:abstractNumId="2">
    <w:nsid w:val="031D8003"/>
    <w:multiLevelType w:val="singleLevel"/>
    <w:tmpl w:val="031D8003"/>
    <w:lvl w:ilvl="0" w:tentative="0">
      <w:start w:val="1"/>
      <w:numFmt w:val="decimal"/>
      <w:suff w:val="space"/>
      <w:lvlText w:val="%1."/>
      <w:lvlJc w:val="left"/>
    </w:lvl>
  </w:abstractNum>
  <w:abstractNum w:abstractNumId="3">
    <w:nsid w:val="79A9F148"/>
    <w:multiLevelType w:val="singleLevel"/>
    <w:tmpl w:val="79A9F148"/>
    <w:lvl w:ilvl="0" w:tentative="0">
      <w:start w:val="1"/>
      <w:numFmt w:val="decimal"/>
      <w:lvlText w:val="[%1]"/>
      <w:lvlJc w:val="left"/>
      <w:pPr>
        <w:tabs>
          <w:tab w:val="left" w:pos="420"/>
        </w:tabs>
        <w:ind w:left="425" w:hanging="425"/>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wNzRhMzUzYTRhNDhmNjAyZjY2NzQzNjliZDg1MjgifQ=="/>
  </w:docVars>
  <w:rsids>
    <w:rsidRoot w:val="789F2947"/>
    <w:rsid w:val="00F5778F"/>
    <w:rsid w:val="05623BFE"/>
    <w:rsid w:val="07967DD6"/>
    <w:rsid w:val="093D1B68"/>
    <w:rsid w:val="0B516CFE"/>
    <w:rsid w:val="0D104282"/>
    <w:rsid w:val="0EAC4F1C"/>
    <w:rsid w:val="14FC6B18"/>
    <w:rsid w:val="158D7A98"/>
    <w:rsid w:val="15A274F3"/>
    <w:rsid w:val="15AD33B7"/>
    <w:rsid w:val="163D24A9"/>
    <w:rsid w:val="16445414"/>
    <w:rsid w:val="1A41539A"/>
    <w:rsid w:val="1A501685"/>
    <w:rsid w:val="1A6018CB"/>
    <w:rsid w:val="204D5FEA"/>
    <w:rsid w:val="237A2E51"/>
    <w:rsid w:val="243F41A0"/>
    <w:rsid w:val="256961FF"/>
    <w:rsid w:val="272954BC"/>
    <w:rsid w:val="27FF08F8"/>
    <w:rsid w:val="303411F9"/>
    <w:rsid w:val="30C16364"/>
    <w:rsid w:val="31BE0AF5"/>
    <w:rsid w:val="33E31B49"/>
    <w:rsid w:val="35695BB6"/>
    <w:rsid w:val="376B0DD8"/>
    <w:rsid w:val="3A4E51D1"/>
    <w:rsid w:val="3A7B0277"/>
    <w:rsid w:val="3BB0423B"/>
    <w:rsid w:val="3D817513"/>
    <w:rsid w:val="3F137A2D"/>
    <w:rsid w:val="3F9E2415"/>
    <w:rsid w:val="40183AC7"/>
    <w:rsid w:val="40694322"/>
    <w:rsid w:val="41720889"/>
    <w:rsid w:val="43900E34"/>
    <w:rsid w:val="44C03401"/>
    <w:rsid w:val="45EC6491"/>
    <w:rsid w:val="475E770F"/>
    <w:rsid w:val="4DEB281B"/>
    <w:rsid w:val="531243A6"/>
    <w:rsid w:val="579445C5"/>
    <w:rsid w:val="57AC67BD"/>
    <w:rsid w:val="589B16D6"/>
    <w:rsid w:val="5D5C334F"/>
    <w:rsid w:val="5FA55E83"/>
    <w:rsid w:val="62033D80"/>
    <w:rsid w:val="63763028"/>
    <w:rsid w:val="652838E6"/>
    <w:rsid w:val="68EC0C84"/>
    <w:rsid w:val="69A40DF5"/>
    <w:rsid w:val="6A7B6EC7"/>
    <w:rsid w:val="6B642DD9"/>
    <w:rsid w:val="7002534E"/>
    <w:rsid w:val="753E4F5B"/>
    <w:rsid w:val="77AB69F3"/>
    <w:rsid w:val="78363AFC"/>
    <w:rsid w:val="789F2947"/>
    <w:rsid w:val="78C1031A"/>
    <w:rsid w:val="78D44497"/>
    <w:rsid w:val="7C2F53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firstLine="0" w:firstLineChars="0"/>
      <w:jc w:val="both"/>
    </w:pPr>
    <w:rPr>
      <w:rFonts w:ascii="Times New Roman" w:hAnsi="Times New Roman" w:eastAsia="宋体" w:cs="Times New Roman"/>
      <w:kern w:val="2"/>
      <w:sz w:val="24"/>
    </w:rPr>
  </w:style>
  <w:style w:type="paragraph" w:styleId="2">
    <w:name w:val="heading 1"/>
    <w:basedOn w:val="1"/>
    <w:next w:val="1"/>
    <w:link w:val="18"/>
    <w:qFormat/>
    <w:uiPriority w:val="0"/>
    <w:pPr>
      <w:keepNext/>
      <w:keepLines/>
      <w:spacing w:beforeLines="0" w:beforeAutospacing="0" w:afterLines="0" w:afterAutospacing="0" w:line="360" w:lineRule="auto"/>
      <w:ind w:firstLine="0" w:firstLineChars="0"/>
      <w:jc w:val="left"/>
      <w:outlineLvl w:val="0"/>
    </w:pPr>
    <w:rPr>
      <w:rFonts w:eastAsia="楷体_GB2312" w:cstheme="minorBidi"/>
      <w:b/>
      <w:kern w:val="44"/>
      <w:sz w:val="32"/>
      <w:szCs w:val="22"/>
      <w:lang w:val="en-US" w:eastAsia="zh-CN" w:bidi="ar-SA"/>
    </w:rPr>
  </w:style>
  <w:style w:type="paragraph" w:styleId="3">
    <w:name w:val="heading 2"/>
    <w:basedOn w:val="1"/>
    <w:next w:val="1"/>
    <w:link w:val="17"/>
    <w:unhideWhenUsed/>
    <w:qFormat/>
    <w:uiPriority w:val="0"/>
    <w:pPr>
      <w:keepNext/>
      <w:keepLines/>
      <w:spacing w:line="360" w:lineRule="auto"/>
      <w:ind w:firstLine="0" w:firstLineChars="0"/>
      <w:jc w:val="left"/>
      <w:outlineLvl w:val="1"/>
    </w:pPr>
    <w:rPr>
      <w:rFonts w:ascii="Times New Roman" w:hAnsi="Times New Roman" w:eastAsia="楷体_GB2312" w:cstheme="minorBidi"/>
      <w:b/>
      <w:sz w:val="28"/>
      <w:szCs w:val="22"/>
      <w:lang w:val="en-US" w:eastAsia="zh-CN" w:bidi="ar-SA"/>
    </w:rPr>
  </w:style>
  <w:style w:type="paragraph" w:styleId="4">
    <w:name w:val="heading 3"/>
    <w:basedOn w:val="1"/>
    <w:next w:val="1"/>
    <w:unhideWhenUsed/>
    <w:qFormat/>
    <w:uiPriority w:val="0"/>
    <w:pPr>
      <w:keepNext/>
      <w:keepLines/>
      <w:jc w:val="left"/>
      <w:outlineLvl w:val="2"/>
    </w:pPr>
    <w:rPr>
      <w:rFonts w:ascii="Times New Roman" w:hAnsi="Times New Roman" w:eastAsia="楷体_GB2312"/>
      <w:b/>
      <w:sz w:val="24"/>
      <w:szCs w:val="22"/>
      <w:lang w:val="en-US" w:eastAsia="zh-CN" w:bidi="ar-SA"/>
    </w:rPr>
  </w:style>
  <w:style w:type="paragraph" w:styleId="5">
    <w:name w:val="heading 4"/>
    <w:basedOn w:val="1"/>
    <w:next w:val="1"/>
    <w:semiHidden/>
    <w:unhideWhenUsed/>
    <w:qFormat/>
    <w:uiPriority w:val="0"/>
    <w:pPr>
      <w:keepNext/>
      <w:keepLines/>
      <w:spacing w:before="200" w:after="200" w:line="240" w:lineRule="auto"/>
      <w:outlineLvl w:val="3"/>
    </w:pPr>
    <w:rPr>
      <w:rFonts w:ascii="Arial" w:hAnsi="Arial" w:eastAsia="黑体"/>
      <w:b/>
      <w:sz w:val="28"/>
      <w:lang w:val="en-US" w:eastAsia="zh-CN" w:bidi="ar-SA"/>
    </w:rPr>
  </w:style>
  <w:style w:type="character" w:default="1" w:styleId="13">
    <w:name w:val="Default Paragraph Font"/>
    <w:semiHidden/>
    <w:unhideWhenUsed/>
    <w:qFormat/>
    <w:uiPriority w:val="1"/>
  </w:style>
  <w:style w:type="table" w:default="1" w:styleId="12">
    <w:name w:val="Normal Table"/>
    <w:semiHidden/>
    <w:qFormat/>
    <w:uiPriority w:val="0"/>
    <w:tblPr>
      <w:tblCellMar>
        <w:top w:w="0" w:type="dxa"/>
        <w:left w:w="108" w:type="dxa"/>
        <w:bottom w:w="0" w:type="dxa"/>
        <w:right w:w="108" w:type="dxa"/>
      </w:tblCellMar>
    </w:tblPr>
  </w:style>
  <w:style w:type="paragraph" w:styleId="6">
    <w:name w:val="toc 3"/>
    <w:basedOn w:val="1"/>
    <w:next w:val="1"/>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toc 1"/>
    <w:basedOn w:val="1"/>
    <w:next w:val="1"/>
    <w:unhideWhenUsed/>
    <w:qFormat/>
    <w:uiPriority w:val="39"/>
    <w:pPr>
      <w:spacing w:after="100"/>
    </w:pPr>
  </w:style>
  <w:style w:type="paragraph" w:styleId="9">
    <w:name w:val="footnote text"/>
    <w:basedOn w:val="1"/>
    <w:link w:val="16"/>
    <w:qFormat/>
    <w:uiPriority w:val="0"/>
    <w:pPr>
      <w:snapToGrid w:val="0"/>
      <w:jc w:val="left"/>
    </w:pPr>
    <w:rPr>
      <w:rFonts w:asciiTheme="minorAscii" w:hAnsiTheme="minorAscii" w:cstheme="minorBidi"/>
      <w:sz w:val="18"/>
      <w:szCs w:val="24"/>
      <w:lang w:val="en-US" w:eastAsia="zh-CN" w:bidi="ar-SA"/>
    </w:rPr>
  </w:style>
  <w:style w:type="paragraph" w:styleId="10">
    <w:name w:val="toc 2"/>
    <w:basedOn w:val="1"/>
    <w:next w:val="1"/>
    <w:unhideWhenUsed/>
    <w:qFormat/>
    <w:uiPriority w:val="39"/>
    <w:pPr>
      <w:spacing w:after="100"/>
      <w:ind w:left="220"/>
    </w:pPr>
  </w:style>
  <w:style w:type="paragraph" w:styleId="11">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styleId="15">
    <w:name w:val="HTML Code"/>
    <w:basedOn w:val="13"/>
    <w:qFormat/>
    <w:uiPriority w:val="0"/>
    <w:rPr>
      <w:rFonts w:ascii="Courier New" w:hAnsi="Courier New"/>
      <w:sz w:val="20"/>
    </w:rPr>
  </w:style>
  <w:style w:type="character" w:customStyle="1" w:styleId="16">
    <w:name w:val="脚注文本 Char"/>
    <w:basedOn w:val="13"/>
    <w:link w:val="9"/>
    <w:qFormat/>
    <w:uiPriority w:val="0"/>
    <w:rPr>
      <w:rFonts w:eastAsia="宋体" w:asciiTheme="minorAscii" w:hAnsiTheme="minorAscii" w:cstheme="minorBidi"/>
      <w:sz w:val="18"/>
      <w:szCs w:val="24"/>
      <w:lang w:val="en-US" w:eastAsia="zh-CN" w:bidi="ar-SA"/>
    </w:rPr>
  </w:style>
  <w:style w:type="character" w:customStyle="1" w:styleId="17">
    <w:name w:val="标题 2 Char"/>
    <w:link w:val="3"/>
    <w:qFormat/>
    <w:uiPriority w:val="0"/>
    <w:rPr>
      <w:rFonts w:ascii="Times New Roman" w:hAnsi="Times New Roman" w:eastAsia="楷体_GB2312" w:cstheme="minorBidi"/>
      <w:b/>
      <w:sz w:val="28"/>
      <w:szCs w:val="22"/>
      <w:lang w:val="en-US" w:eastAsia="zh-CN" w:bidi="ar-SA"/>
    </w:rPr>
  </w:style>
  <w:style w:type="character" w:customStyle="1" w:styleId="18">
    <w:name w:val="标题 1 Char"/>
    <w:link w:val="2"/>
    <w:qFormat/>
    <w:uiPriority w:val="0"/>
    <w:rPr>
      <w:rFonts w:ascii="Times New Roman" w:hAnsi="Times New Roman" w:eastAsia="楷体_GB2312" w:cstheme="minorBidi"/>
      <w:b/>
      <w:kern w:val="44"/>
      <w:sz w:val="32"/>
      <w:szCs w:val="22"/>
      <w:lang w:val="en-US" w:eastAsia="zh-CN" w:bidi="ar-SA"/>
    </w:rPr>
  </w:style>
  <w:style w:type="paragraph" w:styleId="1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paragraph" w:customStyle="1" w:styleId="20">
    <w:name w:val="WPSOffice手动目录 1"/>
    <w:uiPriority w:val="0"/>
    <w:pPr>
      <w:ind w:leftChars="0"/>
    </w:pPr>
    <w:rPr>
      <w:sz w:val="20"/>
      <w:szCs w:val="20"/>
    </w:rPr>
  </w:style>
  <w:style w:type="paragraph" w:customStyle="1" w:styleId="21">
    <w:name w:val="WPSOffice手动目录 2"/>
    <w:uiPriority w:val="0"/>
    <w:pPr>
      <w:ind w:leftChars="200"/>
    </w:pPr>
    <w:rPr>
      <w:sz w:val="20"/>
      <w:szCs w:val="20"/>
    </w:rPr>
  </w:style>
  <w:style w:type="paragraph" w:customStyle="1" w:styleId="22">
    <w:name w:val="WPSOffice手动目录 3"/>
    <w:uiPriority w:val="0"/>
    <w:pPr>
      <w:ind w:leftChars="400"/>
    </w:pPr>
    <w:rPr>
      <w:sz w:val="20"/>
      <w:szCs w:val="20"/>
    </w:rPr>
  </w:style>
  <w:style w:type="paragraph" w:customStyle="1" w:styleId="23">
    <w:name w:val="TOC Heading"/>
    <w:basedOn w:val="2"/>
    <w:next w:val="1"/>
    <w:unhideWhenUsed/>
    <w:qFormat/>
    <w:uiPriority w:val="39"/>
    <w:pPr>
      <w:outlineLvl w:val="9"/>
    </w:pPr>
    <w:rPr>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84902ca-e5fd-41e9-8b09-21eec36ebfc1}"/>
        <w:style w:val=""/>
        <w:category>
          <w:name w:val="General"/>
          <w:gallery w:val="placeholder"/>
        </w:category>
        <w:types>
          <w:type w:val="bbPlcHdr"/>
        </w:types>
        <w:behaviors>
          <w:behavior w:val="content"/>
        </w:behaviors>
        <w:description w:val=""/>
        <w:guid w:val="{d84902ca-e5fd-41e9-8b09-21eec36ebfc1}"/>
      </w:docPartPr>
      <w:docPartBody>
        <w:p>
          <w:pPr>
            <w:pStyle w:val="1"/>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 w:type="paragraph" w:customStyle="1" w:styleId="1">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5592</Words>
  <Characters>32286</Characters>
  <Lines>0</Lines>
  <Paragraphs>0</Paragraphs>
  <TotalTime>58</TotalTime>
  <ScaleCrop>false</ScaleCrop>
  <LinksUpToDate>false</LinksUpToDate>
  <CharactersWithSpaces>37929</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2023-04-05T07:00:00Z</dcterms:created>
  <dc:creator>无关风月</dc:creator>
  <cp:lastModifiedBy>无关风月</cp:lastModifiedBy>
  <dcterms:modified xsi:type="dcterms:W3CDTF">2023-04-06T07:33:59Z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9124418C4A01450BA1FC6E64BF00452D</vt:lpwstr>
  </property>
</Properties>
</file>