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EFC20" w14:textId="337651E8" w:rsidR="00CC3E20" w:rsidRPr="00525368" w:rsidRDefault="00525368" w:rsidP="00F1435F">
      <w:pPr>
        <w:spacing w:before="100" w:beforeAutospacing="1" w:after="100" w:afterAutospacing="1" w:line="360" w:lineRule="auto"/>
        <w:rPr>
          <w:rFonts w:ascii="Arial" w:hAnsi="Arial" w:cs="Arial"/>
          <w:lang w:val="en-GB" w:eastAsia="en-GB"/>
        </w:rPr>
      </w:pPr>
      <w:r w:rsidRPr="00525368">
        <w:rPr>
          <w:rFonts w:ascii="Arial" w:hAnsi="Arial" w:cs="Arial"/>
          <w:lang w:val="en-GB" w:eastAsia="en-GB"/>
        </w:rPr>
        <w:t>Student Name: Hania Amani Ashraf</w:t>
      </w:r>
    </w:p>
    <w:p w14:paraId="277EBCBA" w14:textId="06C53C82"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Student Number: 2420735</w:t>
      </w:r>
    </w:p>
    <w:p w14:paraId="441AEEB5"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Module Code and Title: LCHS4009 – Academic and Professional Skills for Health and Social Care</w:t>
      </w:r>
    </w:p>
    <w:p w14:paraId="58446600"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Lecturer: Farah Islam</w:t>
      </w:r>
    </w:p>
    <w:p w14:paraId="5309FC72"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Assignment Title: Personal Development Portfolio</w:t>
      </w:r>
    </w:p>
    <w:p w14:paraId="41267137" w14:textId="77777777" w:rsidR="00CC3E20" w:rsidRPr="00CC3E20" w:rsidRDefault="00CC3E20" w:rsidP="00F1435F">
      <w:pPr>
        <w:spacing w:after="0" w:line="360" w:lineRule="auto"/>
        <w:rPr>
          <w:rFonts w:ascii="Arial" w:eastAsia="Times New Roman" w:hAnsi="Arial" w:cs="Arial"/>
          <w:lang w:val="en-GB" w:eastAsia="en-GB"/>
        </w:rPr>
      </w:pPr>
      <w:r w:rsidRPr="00CC3E20">
        <w:rPr>
          <w:rFonts w:ascii="Arial" w:eastAsia="Times New Roman" w:hAnsi="Arial" w:cs="Arial"/>
          <w:noProof/>
          <w:lang w:val="en-GB" w:eastAsia="en-GB"/>
        </w:rPr>
        <mc:AlternateContent>
          <mc:Choice Requires="wps">
            <w:drawing>
              <wp:inline distT="0" distB="0" distL="0" distR="0" wp14:anchorId="56A0DECB" wp14:editId="749000DD">
                <wp:extent cx="5486400" cy="1270"/>
                <wp:effectExtent l="0" t="31750" r="0" b="36830"/>
                <wp:docPr id="157039692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C5DE76E" id="Rectangle 4"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67ADE28F" w14:textId="432F13AB" w:rsidR="00CC3E20" w:rsidRPr="00CC3E20" w:rsidRDefault="00CC3E20" w:rsidP="00F1435F">
      <w:pPr>
        <w:spacing w:before="100" w:beforeAutospacing="1" w:after="100" w:afterAutospacing="1" w:line="360" w:lineRule="auto"/>
        <w:outlineLvl w:val="1"/>
        <w:rPr>
          <w:rFonts w:ascii="Arial" w:hAnsi="Arial" w:cs="Arial"/>
          <w:b/>
          <w:bCs/>
          <w:lang w:val="en-GB" w:eastAsia="en-GB"/>
        </w:rPr>
      </w:pPr>
      <w:r w:rsidRPr="00CC3E20">
        <w:rPr>
          <w:rFonts w:ascii="Arial" w:eastAsia="Times New Roman" w:hAnsi="Arial" w:cs="Arial"/>
          <w:b/>
          <w:bCs/>
          <w:lang w:val="en-GB" w:eastAsia="en-GB"/>
        </w:rPr>
        <w:t>Task 1: Personal Action Plan</w:t>
      </w:r>
    </w:p>
    <w:p w14:paraId="74C83A30" w14:textId="0012537A"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For this assignment, I have chosen to focus on the role of a Health Care Assistant (HCA) within an NHS hospital. This career appeals to me because it offers the opportunity to work directly with patients while learning from experienced nurses and other professionals (NHS Careers, 2024). It is also a role that allows someone like me, who is still developing their confidence and experience, to build a strong foundation within healthcare (Willis, 2015). Creating a personal action plan has helped me reflect honestly on my current strengths, the areas where I still need improvement, and the specific steps I will take to prepare myself for future employment (Braithwaite, Wears and Hollnagel, 2015).</w:t>
      </w:r>
    </w:p>
    <w:p w14:paraId="406D309C"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The responsibilities of an HCA are wide-ranging and often physically and emotionally demanding. Typical duties include supporting patients with personal care, assisting with mobility, helping during mealtimes, recording basic observations, maintaining accurate notes, and ensuring dignity is always maintained (Health Education England, 2020; NHS Careers, 2024). HCAs also need to communicate clearly with patients, families, and colleagues (Kurtz, Silverman and Draper, 2013). Understanding these expectations helped me think carefully about the skills I already have and the ones I must continue to develop (Skills for Care, 2021).</w:t>
      </w:r>
    </w:p>
    <w:p w14:paraId="37EE9D2D" w14:textId="77777777" w:rsidR="00CC3E20" w:rsidRPr="00CC3E20" w:rsidRDefault="00CC3E20" w:rsidP="00F1435F">
      <w:pPr>
        <w:spacing w:before="100" w:beforeAutospacing="1" w:after="100" w:afterAutospacing="1" w:line="360" w:lineRule="auto"/>
        <w:rPr>
          <w:rFonts w:ascii="Arial" w:hAnsi="Arial" w:cs="Arial"/>
          <w:lang w:val="en-GB" w:eastAsia="en-GB"/>
        </w:rPr>
      </w:pPr>
    </w:p>
    <w:p w14:paraId="0DE28432" w14:textId="5A192651"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lastRenderedPageBreak/>
        <w:t>One of the areas where I feel most confident is communication. Over the past year at university, I have learned how to speak clearly and listen actively, which has helped me work well in group projects (Kurtz, Silverman and Draper, 2013). I naturally adapt my communication style depending on who I am speaking to. For example, if someone seems unsure or anxious, I slow down and make sure I explain things in simple terms (Silverman et al., 2013). This ability would be useful when supporting vulnerable patients. Empathy is another strength of mine. I try to place myself in other people’s situations, and I am patient with individuals who may be emotional or under stress. In a hospital environment, small gestures of understanding can make a huge difference to how patients feel (Braithwaite, Wears and Hollnagel, 2015).</w:t>
      </w:r>
    </w:p>
    <w:p w14:paraId="0ED278F8" w14:textId="11DFD7B5"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I am also improving my organisational skills. I use a planner to track deadlines and plan weekly tasks, which helps me avoid last-minute stress (Willis, 2015). These habits are useful because working in a hospital requires good time-management, especially when caring for multiple patients at once. Even though I do not have hands-on clinical experience yet, I have completed basic safeguarding and infection-control training as part of my course. This has given me some introductory knowledge about patient safety and professional responsibilities (Care Quality Commission, 2021; Health Education England, 2020).</w:t>
      </w:r>
    </w:p>
    <w:p w14:paraId="724D838B" w14:textId="5362F98B"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While reflecting on my abilities, I also recognised several skill gaps. One of the biggest areas I need to improve is gaining real-life experience. Reading about the role is helpful, but working with actual patients would give me a much better understanding of how a hospital functions (NHS Careers, 2024). I also need to develop my confidence when speaking in professional situations. Although I communicate well with friends and classmates, I still get nervous in interviews or formal discussions (Schön, 1983). Another area I want to strengthen is my ability to manage time effectively in high-pressure environments. Finally, I want to become more confident at problem-solving, because unexpected situations often occur in healthcare and HCAs must learn to respond calmly (Braithwaite, Wears and Hollnagel, 2015).</w:t>
      </w:r>
    </w:p>
    <w:p w14:paraId="2EF5C0CD" w14:textId="170C2B94"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To address these gaps, I created a clear Personal Development Plan. My first goal is to apply for volunteering opportunities in care homes, hospitals, or other health settings. Volunteering will allow me to practise communicating with patients, observe daily routines, and learn how different staff work together (Skills for Care, 2021). I aim to secure a placement within the next three months. To build confidence in speaking, I will attend university workshops on presentation skills and take part in mock interviews with peers or tutors (Kurtz, Silverman and Draper, 2013). Participating more in class discussions will also help me feel more comfortable expressing myself in front of others.</w:t>
      </w:r>
    </w:p>
    <w:p w14:paraId="7A75B078" w14:textId="48F09DB0"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To improve time-management, I plan to use a more structured weekly timetable that mirrors what a shift pattern might feel like (Willis, 2015). Allocating specific time blocks for studying, rest, and personal commitments will help me prepare for the routines and responsibilities of working in healthcare. To develop better problem-solving skills, I will complete online courses on decision-making and clinical awareness (Braithwaite, Wears and Hollnagel, 2015). I also intend to read NHS case studies to learn how HCAs respond in real-life challenges (NHS England, 2023).</w:t>
      </w:r>
    </w:p>
    <w:p w14:paraId="0FFFF6D0"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Overall, this personal action plan has allowed me to assess where I currently stand and what I must do to become ready for employment as a Health Care Assistant. By committing to gaining experience, improving my confidence, and strengthening key skills like time-management and problem-solving, I am taking practical steps toward a career where I can provide compassionate, patient-centred care (NHS Careers, 2024).</w:t>
      </w:r>
    </w:p>
    <w:p w14:paraId="69AC4FC5" w14:textId="77777777" w:rsidR="00CC3E20" w:rsidRPr="00CC3E20" w:rsidRDefault="00CC3E20" w:rsidP="00F1435F">
      <w:pPr>
        <w:spacing w:after="0" w:line="360" w:lineRule="auto"/>
        <w:rPr>
          <w:rFonts w:ascii="Arial" w:eastAsia="Times New Roman" w:hAnsi="Arial" w:cs="Arial"/>
          <w:lang w:val="en-GB" w:eastAsia="en-GB"/>
        </w:rPr>
      </w:pPr>
      <w:r w:rsidRPr="00CC3E20">
        <w:rPr>
          <w:rFonts w:ascii="Arial" w:eastAsia="Times New Roman" w:hAnsi="Arial" w:cs="Arial"/>
          <w:noProof/>
          <w:lang w:val="en-GB" w:eastAsia="en-GB"/>
        </w:rPr>
        <mc:AlternateContent>
          <mc:Choice Requires="wps">
            <w:drawing>
              <wp:inline distT="0" distB="0" distL="0" distR="0" wp14:anchorId="537E066F" wp14:editId="24C9BC99">
                <wp:extent cx="5486400" cy="1270"/>
                <wp:effectExtent l="0" t="31750" r="0" b="36830"/>
                <wp:docPr id="1647710784"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570D7C" id="Rectangle 3"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645A4464" w14:textId="51DE495F" w:rsidR="00CC3E20" w:rsidRPr="00CC3E20" w:rsidRDefault="00CC3E20" w:rsidP="00F1435F">
      <w:pPr>
        <w:spacing w:before="100" w:beforeAutospacing="1" w:after="100" w:afterAutospacing="1" w:line="360" w:lineRule="auto"/>
        <w:outlineLvl w:val="1"/>
        <w:rPr>
          <w:rFonts w:ascii="Arial" w:hAnsi="Arial" w:cs="Arial"/>
          <w:b/>
          <w:bCs/>
          <w:lang w:val="en-GB" w:eastAsia="en-GB"/>
        </w:rPr>
      </w:pPr>
      <w:r w:rsidRPr="00CC3E20">
        <w:rPr>
          <w:rFonts w:ascii="Arial" w:eastAsia="Times New Roman" w:hAnsi="Arial" w:cs="Arial"/>
          <w:b/>
          <w:bCs/>
          <w:lang w:val="en-GB" w:eastAsia="en-GB"/>
        </w:rPr>
        <w:t>Task 2: Academic Report – The Importance of Communication in Health and Social Care</w:t>
      </w:r>
    </w:p>
    <w:p w14:paraId="41D37C1C" w14:textId="57B19295"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Communication is central to effective practice in health and social care. It influences the quality of care delivered, shapes professional relationships, and plays a crucial role in maintaining patient safety (Kurtz, Silverman and Draper, 2013). Good communication involves not only the words people use but also listening skills, body language, tone of voice, and accurate written documentation (Silverman et al., 2013). This report discusses why communication is essential and how it affects care in professional settings (NHS England, 2023).</w:t>
      </w:r>
    </w:p>
    <w:p w14:paraId="4FB5A4B5" w14:textId="52514C7F"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First, communication builds trust between professionals and service users. When patients feel that they are being listened to and understood, they are more likely to share concerns, follow guidance, and engage fully in their treatment (Silverman et al., 2013; NHS England, 2023). This is especially important for individuals who may feel anxious, unwell, or vulnerable. Research by Silverman et al. (2013) shows that effective communication reduces anxiety and increases patient satisfaction. For older adults, people with learning disabilities, or those with language barriers, having a professional who communicates clearly can make the experience of receiving care far less stressful (Equality Act, 2010).</w:t>
      </w:r>
    </w:p>
    <w:p w14:paraId="735C515F" w14:textId="13F09355"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Communication is also essential for ensuring patient safety. Many errors in health and social care occur not because staff lack knowledge, but because information has been misunderstood or not shared clearly (Braithwaite, Wears and Hollnagel, 2015). Accurate record-keeping is a vital part of communication. Professionals rely on written notes to understand a patient’s condition, medications, allergies, and daily care needs (Care Quality Commission, 2021). If these records are incomplete or unclear, the risk of mistakes increases. Clear written communication ensures continuity of care, especially during shift changes or handovers (Health Education England, 2020).</w:t>
      </w:r>
    </w:p>
    <w:p w14:paraId="26B40075" w14:textId="0F50ECA3"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Teamwork relies heavily on communication as well. Health and social care settings involve a wide range of professionals, including nurses, doctors, HCAs, physiotherapists, and social workers. These individuals must work together and share information effectively (Braithwaite, Wears and Hollnagel, 2015; Willis, 2015). Poor communication can lead to delays, duplicated tasks, or even harm to patients. In contrast, good communication supports smooth coordination and enables teams to provide efficient and safe care (NHS England, 2023). Handovers are a strong example of this: a well-delivered handover ensures that all staff understand what has happened during the previous shift and what priorities need attention (Kurtz, Silverman and Draper, 2013).</w:t>
      </w:r>
    </w:p>
    <w:p w14:paraId="62824D23"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Non-verbal communication also plays a major role in professional practice. Eye contact, facial expressions, and tone of voice can all shape a patient’s experience (Kurtz, Silverman and Draper, 2013). A calm and reassuring tone can help an anxious patient feel more at ease, while negative body language may make a patient feel ignored. Professionals must therefore be aware of how their behaviour affects others (Silverman et al., 2013).</w:t>
      </w:r>
    </w:p>
    <w:p w14:paraId="3BD6203E" w14:textId="77777777" w:rsidR="00CC3E20" w:rsidRPr="00CC3E20" w:rsidRDefault="00CC3E20" w:rsidP="00F1435F">
      <w:pPr>
        <w:spacing w:before="100" w:beforeAutospacing="1" w:after="100" w:afterAutospacing="1" w:line="360" w:lineRule="auto"/>
        <w:rPr>
          <w:rFonts w:ascii="Arial" w:hAnsi="Arial" w:cs="Arial"/>
          <w:lang w:val="en-GB" w:eastAsia="en-GB"/>
        </w:rPr>
      </w:pPr>
    </w:p>
    <w:p w14:paraId="28B93DF0" w14:textId="2E92EB01"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Cultural and individual differences must also be considered. Health and social care settings are diverse, and professionals must be able to communicate respectfully with people from different backgrounds (Equality Act, 2010; NHS England, 2023). Some individuals may require information in simpler language, visual formats, or through interpreters. The Equality Act 2010 highlights the importance of accessible communication to avoid discrimination and ensure that everyone receives fair treatment (Equality Act, 2010).</w:t>
      </w:r>
    </w:p>
    <w:p w14:paraId="770DA9F3" w14:textId="554E4B45"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Digital communication is becoming increasingly important as well. Electronic records, emails, and digital systems help professionals share information quickly and accurately. However, these tools must be used responsibly to protect patient confidentiality, following the principles of the Data Protection Act 2018 (Health Education England, 2020).</w:t>
      </w:r>
    </w:p>
    <w:p w14:paraId="623DB720"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In conclusion, communication is vital for safe, effective, and compassionate practice in health and social care (Silverman et al., 2013). It supports patient trust, reduces errors, strengthens teamwork, and ensures that care is delivered in a respectful and inclusive way. Developing strong communication skills should therefore be a priority for students and new practitioners entering the sector (Kurtz, Silverman and Draper, 2013).</w:t>
      </w:r>
    </w:p>
    <w:p w14:paraId="74A73D62" w14:textId="77777777" w:rsidR="00CC3E20" w:rsidRPr="00CC3E20" w:rsidRDefault="00CC3E20" w:rsidP="00F1435F">
      <w:pPr>
        <w:spacing w:after="0" w:line="360" w:lineRule="auto"/>
        <w:rPr>
          <w:rFonts w:ascii="Arial" w:eastAsia="Times New Roman" w:hAnsi="Arial" w:cs="Arial"/>
          <w:lang w:val="en-GB" w:eastAsia="en-GB"/>
        </w:rPr>
      </w:pPr>
      <w:r w:rsidRPr="00CC3E20">
        <w:rPr>
          <w:rFonts w:ascii="Arial" w:eastAsia="Times New Roman" w:hAnsi="Arial" w:cs="Arial"/>
          <w:noProof/>
          <w:lang w:val="en-GB" w:eastAsia="en-GB"/>
        </w:rPr>
        <mc:AlternateContent>
          <mc:Choice Requires="wps">
            <w:drawing>
              <wp:inline distT="0" distB="0" distL="0" distR="0" wp14:anchorId="6A54FF1D" wp14:editId="59CBEAF4">
                <wp:extent cx="5486400" cy="1270"/>
                <wp:effectExtent l="0" t="31750" r="0" b="36830"/>
                <wp:docPr id="42840769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769F0FB" id="Rectangle 2"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21F98F1B" w14:textId="37AA81F7" w:rsidR="00CC3E20" w:rsidRPr="00CC3E20" w:rsidRDefault="00CC3E20" w:rsidP="00F1435F">
      <w:pPr>
        <w:spacing w:before="100" w:beforeAutospacing="1" w:after="100" w:afterAutospacing="1" w:line="360" w:lineRule="auto"/>
        <w:outlineLvl w:val="1"/>
        <w:rPr>
          <w:rFonts w:ascii="Arial" w:hAnsi="Arial" w:cs="Arial"/>
          <w:b/>
          <w:bCs/>
          <w:lang w:val="en-GB" w:eastAsia="en-GB"/>
        </w:rPr>
      </w:pPr>
      <w:r w:rsidRPr="00CC3E20">
        <w:rPr>
          <w:rFonts w:ascii="Arial" w:eastAsia="Times New Roman" w:hAnsi="Arial" w:cs="Arial"/>
          <w:b/>
          <w:bCs/>
          <w:lang w:val="en-GB" w:eastAsia="en-GB"/>
        </w:rPr>
        <w:t>Task 3: Critical Reflection Using the ERA Model</w:t>
      </w:r>
    </w:p>
    <w:p w14:paraId="0BBA6D49" w14:textId="2348A9CA" w:rsidR="00CC3E20" w:rsidRPr="00CC3E20" w:rsidRDefault="00CC3E20" w:rsidP="00F1435F">
      <w:pPr>
        <w:spacing w:before="100" w:beforeAutospacing="1" w:after="100" w:afterAutospacing="1" w:line="360" w:lineRule="auto"/>
        <w:outlineLvl w:val="2"/>
        <w:rPr>
          <w:rFonts w:ascii="Arial" w:eastAsia="Times New Roman" w:hAnsi="Arial" w:cs="Arial"/>
          <w:b/>
          <w:bCs/>
          <w:lang w:val="en-GB" w:eastAsia="en-GB"/>
        </w:rPr>
      </w:pPr>
      <w:r w:rsidRPr="00CC3E20">
        <w:rPr>
          <w:rFonts w:ascii="Arial" w:eastAsia="Times New Roman" w:hAnsi="Arial" w:cs="Arial"/>
          <w:b/>
          <w:bCs/>
          <w:lang w:val="en-GB" w:eastAsia="en-GB"/>
        </w:rPr>
        <w:t>Experience</w:t>
      </w:r>
    </w:p>
    <w:p w14:paraId="21A57F5C" w14:textId="35A661AE"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For Component 1, my group was asked to research a topic related to health and social care and present it to the class. This required us to divide responsibilities, organise information, and practise the final presentation together (Schön, 1983). My role was to explain one section of the content and help with planning the overall structure. Before the day of the presentation, I prepared notes and rehearsed several times, hoping this would reduce my nerves. However, when I stood in front of the class, I felt more anxious than expected. At the beginning, my voice felt unsteady and I struggled to make eye contact. As I continued speaking, I gradually became more comfortable and was able to explain my section clearly (Moon, 2013).</w:t>
      </w:r>
    </w:p>
    <w:p w14:paraId="4048656E" w14:textId="0203E6D4" w:rsidR="00CC3E20" w:rsidRPr="00CC3E20" w:rsidRDefault="00CC3E20" w:rsidP="006B229D">
      <w:pPr>
        <w:spacing w:before="100" w:beforeAutospacing="1" w:after="100" w:afterAutospacing="1" w:line="360" w:lineRule="auto"/>
        <w:outlineLvl w:val="2"/>
        <w:rPr>
          <w:rFonts w:ascii="Arial" w:eastAsia="Times New Roman" w:hAnsi="Arial" w:cs="Arial"/>
          <w:b/>
          <w:bCs/>
          <w:lang w:val="en-GB" w:eastAsia="en-GB"/>
        </w:rPr>
      </w:pPr>
      <w:r w:rsidRPr="00CC3E20">
        <w:rPr>
          <w:rFonts w:ascii="Arial" w:eastAsia="Times New Roman" w:hAnsi="Arial" w:cs="Arial"/>
          <w:b/>
          <w:bCs/>
          <w:lang w:val="en-GB" w:eastAsia="en-GB"/>
        </w:rPr>
        <w:t>Reflection</w:t>
      </w:r>
    </w:p>
    <w:p w14:paraId="147B07ED" w14:textId="6ABB0D9B"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After the presentation, I spent time thinking about what went well and what I could improve (Schön, 1983). I felt pleased that I managed to continue even though I was nervous, and I was proud that my preparation helped me stay on track. The lecturer’s feedback was positive about the content, noting that the research was strong and the information was well-organised (Braithwaite, Wears and Hollnagel, 2015). However, they also pointed out that I relied too heavily on my slides and needed to improve my eye contact. I noticed the same thing myself: when I became nervous, I looked at the screen instead of the audience. I also spoke faster than usual, which may have made some points harder to follow. This reflection made me aware that my nerves can affect my communication, even when I know the material well (Gibbs, 1988).</w:t>
      </w:r>
    </w:p>
    <w:p w14:paraId="461E4CDE" w14:textId="2505F52A"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Reflecting on the group work aspect, I realised how valuable collaboration was throughout the process. Sharing tasks helped reduce pressure, and discussing the topic with others improved my understanding (Willis, 2015). I also learned that when I am working with a group, I feel more supported and less anxious, which makes the overall experience more manageable. This taught me that teamwork not only improves the outcome of an assignment but also helps build confidence (Braithwaite, Wears and Hollnagel, 2015).</w:t>
      </w:r>
    </w:p>
    <w:p w14:paraId="7242EA34" w14:textId="709B0E6B" w:rsidR="00CC3E20" w:rsidRPr="00CC3E20" w:rsidRDefault="00CC3E20" w:rsidP="006B229D">
      <w:pPr>
        <w:spacing w:before="100" w:beforeAutospacing="1" w:after="100" w:afterAutospacing="1" w:line="360" w:lineRule="auto"/>
        <w:outlineLvl w:val="2"/>
        <w:rPr>
          <w:rFonts w:ascii="Arial" w:eastAsia="Times New Roman" w:hAnsi="Arial" w:cs="Arial"/>
          <w:b/>
          <w:bCs/>
          <w:lang w:val="en-GB" w:eastAsia="en-GB"/>
        </w:rPr>
      </w:pPr>
      <w:r w:rsidRPr="00CC3E20">
        <w:rPr>
          <w:rFonts w:ascii="Arial" w:eastAsia="Times New Roman" w:hAnsi="Arial" w:cs="Arial"/>
          <w:b/>
          <w:bCs/>
          <w:lang w:val="en-GB" w:eastAsia="en-GB"/>
        </w:rPr>
        <w:t>Action</w:t>
      </w:r>
    </w:p>
    <w:p w14:paraId="369996AE" w14:textId="078507A0"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To improve my presentation skills for future assessments, I have identified several actions. First, I want to practise speaking more slowly and using natural pauses. This will make my communication clearer and help me stay calm (Kurtz, Silverman and Draper, 2013). Rehearsing presentations out loud, rather than just reading my notes, will help me become less dependent on slides. Recording myself is another strategy I plan to use because watching it back will allow me to notice habits I may not be aware of, such as my posture, tone, or speed (Moon, 2013).</w:t>
      </w:r>
    </w:p>
    <w:p w14:paraId="6A0956A9" w14:textId="1582360E"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Another important action is to become more comfortable speaking in front of others. To do this, I plan to contribute more in class discussions and volunteer to present during smaller group activities. These smaller opportunities will gradually build my confidence before larger assessments. I also want to practise mindfulness techniques, such as deep breathing, before presenting, as this can help reduce anxiety (Kabat-Zinn, 2013).</w:t>
      </w:r>
    </w:p>
    <w:p w14:paraId="034E9160"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Overall, this experience showed me both my strengths and weaknesses. Although I prepared well and contributed effectively to the group, I need to work on my confidence and delivery. By taking these actions, I hope to improve my communication skills and feel more prepared for future presentations (Schön, 1983).</w:t>
      </w:r>
    </w:p>
    <w:p w14:paraId="782BCCA4" w14:textId="77777777" w:rsidR="00CC3E20" w:rsidRPr="00CC3E20" w:rsidRDefault="00CC3E20" w:rsidP="00F1435F">
      <w:pPr>
        <w:spacing w:after="0" w:line="360" w:lineRule="auto"/>
        <w:rPr>
          <w:rFonts w:ascii="Arial" w:eastAsia="Times New Roman" w:hAnsi="Arial" w:cs="Arial"/>
          <w:lang w:val="en-GB" w:eastAsia="en-GB"/>
        </w:rPr>
      </w:pPr>
      <w:r w:rsidRPr="00CC3E20">
        <w:rPr>
          <w:rFonts w:ascii="Arial" w:eastAsia="Times New Roman" w:hAnsi="Arial" w:cs="Arial"/>
          <w:noProof/>
          <w:lang w:val="en-GB" w:eastAsia="en-GB"/>
        </w:rPr>
        <mc:AlternateContent>
          <mc:Choice Requires="wps">
            <w:drawing>
              <wp:inline distT="0" distB="0" distL="0" distR="0" wp14:anchorId="7F01704C" wp14:editId="753E15C2">
                <wp:extent cx="5486400" cy="1270"/>
                <wp:effectExtent l="0" t="31750" r="0" b="36830"/>
                <wp:docPr id="161783545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B230998" id="Rectangle 1"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6BABC1E8" w14:textId="3F608204" w:rsidR="00CC3E20" w:rsidRPr="00CC3E20" w:rsidRDefault="00CC3E20" w:rsidP="006B229D">
      <w:pPr>
        <w:spacing w:before="100" w:beforeAutospacing="1" w:after="100" w:afterAutospacing="1" w:line="360" w:lineRule="auto"/>
        <w:outlineLvl w:val="1"/>
        <w:rPr>
          <w:rFonts w:ascii="Arial" w:hAnsi="Arial" w:cs="Arial"/>
          <w:b/>
          <w:bCs/>
          <w:lang w:val="en-GB" w:eastAsia="en-GB"/>
        </w:rPr>
      </w:pPr>
      <w:r w:rsidRPr="00CC3E20">
        <w:rPr>
          <w:rFonts w:ascii="Arial" w:eastAsia="Times New Roman" w:hAnsi="Arial" w:cs="Arial"/>
          <w:b/>
          <w:bCs/>
          <w:lang w:val="en-GB" w:eastAsia="en-GB"/>
        </w:rPr>
        <w:t>Harvard Reference List</w:t>
      </w:r>
    </w:p>
    <w:p w14:paraId="373ACDEE"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Braithwaite, J., Wears, R.L. and Hollnagel, E. (2015) Resilient health care. Farnham: Ashgate.</w:t>
      </w:r>
    </w:p>
    <w:p w14:paraId="65FAE579"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Care Quality Commission (2021) Fundamental standards. Available at: https://www.cqc.org.uk (Accessed: 10 January 2025).</w:t>
      </w:r>
    </w:p>
    <w:p w14:paraId="65422DC5"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Data Protection Act (2018) Available at: https://www.legislation.gov.uk (Accessed: 15 November 2025).</w:t>
      </w:r>
    </w:p>
    <w:p w14:paraId="36E2BE1A"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Equality Act (2010) Available at: https://www.legislation.gov.uk (Accessed: 15 November 2025).</w:t>
      </w:r>
    </w:p>
    <w:p w14:paraId="33A3B5A0"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Gibbs, G. (1988) Learning by doing: A guide to teaching and learning methods. Oxford: Oxford Polytechnic.</w:t>
      </w:r>
    </w:p>
    <w:p w14:paraId="2A7B8E39"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Health Education England (2020) The Care Certificate: Standards. Available at: https://www.skillsforcare.org.uk (Accessed: 10 January 2025).</w:t>
      </w:r>
    </w:p>
    <w:p w14:paraId="610BE50A"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Kabat-Zinn, J. (2013) Full catastrophe living: Using the wisdom of your body and mind to face stress, pain, and illness. New York: Bantam Books.</w:t>
      </w:r>
    </w:p>
    <w:p w14:paraId="205EA3A6"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Kurtz, S., Silverman, J. and Draper, J. (2013) Teaching and learning communication skills in medicine. 3rd edn. London: CRC Press.</w:t>
      </w:r>
    </w:p>
    <w:p w14:paraId="69B8EA2C"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Moon, J. (2013) Reflection and employability: Reflection on learning. London: Routledge.</w:t>
      </w:r>
    </w:p>
    <w:p w14:paraId="75FC9623"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NHS Careers (2024) Health care assistant job profile. Available at: https://www.healthcareers.nhs.uk (Accessed: 10 January 2025).</w:t>
      </w:r>
    </w:p>
    <w:p w14:paraId="7618BC17"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NHS England (2023) Patient experience improvement framework. Available at: https://www.england.nhs.uk (Accessed: 10 January 2025).</w:t>
      </w:r>
    </w:p>
    <w:p w14:paraId="2DF4B678"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Schön, D.A. (1983) The reflective practitioner: How professionals think in action. New York: Basic Books.</w:t>
      </w:r>
    </w:p>
    <w:p w14:paraId="2008D3AA"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Silverman, J., Kurtz, S. and Draper, J. (2013) Skills for communicating with patients. 3rd edn. London: CRC Press.</w:t>
      </w:r>
    </w:p>
    <w:p w14:paraId="0DACF1D5"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Willis, P. (2015) The Shape of Caring Review. Health Education England. Available at: https://www.hee.nhs.uk (Accessed: 12 January 2025).</w:t>
      </w:r>
    </w:p>
    <w:p w14:paraId="3EC64063" w14:textId="77777777" w:rsidR="00CC3E20" w:rsidRPr="00CC3E20" w:rsidRDefault="00CC3E20" w:rsidP="00F1435F">
      <w:pPr>
        <w:spacing w:before="100" w:beforeAutospacing="1" w:after="100" w:afterAutospacing="1" w:line="360" w:lineRule="auto"/>
        <w:rPr>
          <w:rFonts w:ascii="Arial" w:hAnsi="Arial" w:cs="Arial"/>
          <w:lang w:val="en-GB" w:eastAsia="en-GB"/>
        </w:rPr>
      </w:pPr>
      <w:r w:rsidRPr="00CC3E20">
        <w:rPr>
          <w:rFonts w:ascii="Arial" w:hAnsi="Arial" w:cs="Arial"/>
          <w:lang w:val="en-GB" w:eastAsia="en-GB"/>
        </w:rPr>
        <w:t>Skills for Care (2021) Roles and responsibilities of health care assistants. Available at: https://www.skillsforcare.org.uk (Accessed: 15 November 2025).</w:t>
      </w:r>
    </w:p>
    <w:p w14:paraId="5C6C8100" w14:textId="2DC7835F" w:rsidR="003E4A6A" w:rsidRPr="00525368" w:rsidRDefault="003E4A6A" w:rsidP="00F1435F">
      <w:pPr>
        <w:pStyle w:val="Heading1"/>
        <w:spacing w:line="360" w:lineRule="auto"/>
        <w:rPr>
          <w:rFonts w:ascii="Arial" w:hAnsi="Arial" w:cs="Arial"/>
          <w:sz w:val="22"/>
          <w:szCs w:val="22"/>
        </w:rPr>
      </w:pPr>
    </w:p>
    <w:p w14:paraId="3F2BE561" w14:textId="157C8657" w:rsidR="003E4A6A" w:rsidRPr="00525368" w:rsidRDefault="003E4A6A" w:rsidP="00F1435F">
      <w:pPr>
        <w:spacing w:line="360" w:lineRule="auto"/>
        <w:rPr>
          <w:rFonts w:ascii="Arial" w:hAnsi="Arial" w:cs="Arial"/>
        </w:rPr>
      </w:pPr>
    </w:p>
    <w:sectPr w:rsidR="003E4A6A" w:rsidRPr="0052536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86761697">
    <w:abstractNumId w:val="8"/>
  </w:num>
  <w:num w:numId="2" w16cid:durableId="1087267738">
    <w:abstractNumId w:val="6"/>
  </w:num>
  <w:num w:numId="3" w16cid:durableId="818305162">
    <w:abstractNumId w:val="5"/>
  </w:num>
  <w:num w:numId="4" w16cid:durableId="1979649301">
    <w:abstractNumId w:val="4"/>
  </w:num>
  <w:num w:numId="5" w16cid:durableId="935672735">
    <w:abstractNumId w:val="7"/>
  </w:num>
  <w:num w:numId="6" w16cid:durableId="1959334458">
    <w:abstractNumId w:val="3"/>
  </w:num>
  <w:num w:numId="7" w16cid:durableId="792409591">
    <w:abstractNumId w:val="2"/>
  </w:num>
  <w:num w:numId="8" w16cid:durableId="1413115727">
    <w:abstractNumId w:val="1"/>
  </w:num>
  <w:num w:numId="9" w16cid:durableId="2042431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revisionView w:formatting="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271B"/>
    <w:rsid w:val="0006063C"/>
    <w:rsid w:val="0015074B"/>
    <w:rsid w:val="001D3BF3"/>
    <w:rsid w:val="0028533F"/>
    <w:rsid w:val="0029639D"/>
    <w:rsid w:val="00326F90"/>
    <w:rsid w:val="00330E57"/>
    <w:rsid w:val="003E4A6A"/>
    <w:rsid w:val="00525368"/>
    <w:rsid w:val="005E134B"/>
    <w:rsid w:val="006258FD"/>
    <w:rsid w:val="006B229D"/>
    <w:rsid w:val="007211C0"/>
    <w:rsid w:val="00777D62"/>
    <w:rsid w:val="0091384F"/>
    <w:rsid w:val="00AA1D8D"/>
    <w:rsid w:val="00AA3D7A"/>
    <w:rsid w:val="00AF4E52"/>
    <w:rsid w:val="00B141D1"/>
    <w:rsid w:val="00B25966"/>
    <w:rsid w:val="00B35592"/>
    <w:rsid w:val="00B47730"/>
    <w:rsid w:val="00CA0311"/>
    <w:rsid w:val="00CB0664"/>
    <w:rsid w:val="00CC3E20"/>
    <w:rsid w:val="00D16D39"/>
    <w:rsid w:val="00EB7F45"/>
    <w:rsid w:val="00ED2158"/>
    <w:rsid w:val="00F1435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98205F"/>
  <w14:defaultImageDpi w14:val="300"/>
  <w15:docId w15:val="{41AB49F7-295F-7947-830C-FA7F129D6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s1">
    <w:name w:val="s1"/>
    <w:basedOn w:val="DefaultParagraphFont"/>
    <w:rsid w:val="001D3BF3"/>
  </w:style>
  <w:style w:type="character" w:customStyle="1" w:styleId="apple-converted-space">
    <w:name w:val="apple-converted-space"/>
    <w:basedOn w:val="DefaultParagraphFont"/>
    <w:rsid w:val="001D3BF3"/>
  </w:style>
  <w:style w:type="paragraph" w:customStyle="1" w:styleId="p2">
    <w:name w:val="p2"/>
    <w:basedOn w:val="Normal"/>
    <w:rsid w:val="001D3BF3"/>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1D3BF3"/>
  </w:style>
  <w:style w:type="paragraph" w:customStyle="1" w:styleId="p3">
    <w:name w:val="p3"/>
    <w:basedOn w:val="Normal"/>
    <w:rsid w:val="001D3BF3"/>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91384F"/>
  </w:style>
  <w:style w:type="paragraph" w:customStyle="1" w:styleId="p1">
    <w:name w:val="p1"/>
    <w:basedOn w:val="Normal"/>
    <w:rsid w:val="00CC3E20"/>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4">
    <w:name w:val="s4"/>
    <w:basedOn w:val="DefaultParagraphFont"/>
    <w:rsid w:val="00CC3E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2286</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Hania Ashraf (2420735)</cp:lastModifiedBy>
  <cp:revision>2</cp:revision>
  <dcterms:created xsi:type="dcterms:W3CDTF">2025-11-17T22:47:00Z</dcterms:created>
  <dcterms:modified xsi:type="dcterms:W3CDTF">2025-11-17T22:47:00Z</dcterms:modified>
  <cp:category/>
</cp:coreProperties>
</file>