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70497" w14:textId="77777777" w:rsidR="009725B9" w:rsidRPr="00E97A8C" w:rsidRDefault="009725B9" w:rsidP="00E97A8C">
      <w:pPr>
        <w:spacing w:line="360" w:lineRule="auto"/>
        <w:rPr>
          <w:rFonts w:ascii="Arial" w:hAnsi="Arial" w:cs="Arial"/>
          <w:b/>
          <w:bCs/>
        </w:rPr>
      </w:pPr>
    </w:p>
    <w:p w14:paraId="7AC91FF5" w14:textId="77777777" w:rsidR="009725B9" w:rsidRPr="00E97A8C" w:rsidRDefault="009725B9" w:rsidP="00E97A8C">
      <w:pPr>
        <w:spacing w:line="360" w:lineRule="auto"/>
        <w:rPr>
          <w:rFonts w:ascii="Arial" w:hAnsi="Arial" w:cs="Arial"/>
          <w:b/>
          <w:bCs/>
        </w:rPr>
      </w:pPr>
    </w:p>
    <w:p w14:paraId="5F20D758" w14:textId="77777777" w:rsidR="009725B9" w:rsidRPr="00E97A8C" w:rsidRDefault="009725B9" w:rsidP="00E97A8C">
      <w:pPr>
        <w:spacing w:line="360" w:lineRule="auto"/>
        <w:rPr>
          <w:rFonts w:ascii="Arial" w:hAnsi="Arial" w:cs="Arial"/>
          <w:b/>
          <w:bCs/>
        </w:rPr>
      </w:pPr>
    </w:p>
    <w:p w14:paraId="2E2F54AF" w14:textId="77777777" w:rsidR="009725B9" w:rsidRPr="00E97A8C" w:rsidRDefault="009725B9" w:rsidP="00E97A8C">
      <w:pPr>
        <w:spacing w:line="360" w:lineRule="auto"/>
        <w:rPr>
          <w:rFonts w:ascii="Arial" w:hAnsi="Arial" w:cs="Arial"/>
          <w:b/>
          <w:bCs/>
        </w:rPr>
      </w:pPr>
    </w:p>
    <w:p w14:paraId="30CBA22C" w14:textId="77777777" w:rsidR="00CB7355" w:rsidRPr="00E97A8C" w:rsidRDefault="00CB7355" w:rsidP="00E97A8C">
      <w:pPr>
        <w:spacing w:line="360" w:lineRule="auto"/>
        <w:rPr>
          <w:rFonts w:ascii="Arial" w:hAnsi="Arial" w:cs="Arial"/>
          <w:b/>
          <w:bCs/>
        </w:rPr>
      </w:pPr>
    </w:p>
    <w:p w14:paraId="252DF09B" w14:textId="77777777" w:rsidR="009725B9" w:rsidRPr="00E97A8C" w:rsidRDefault="009725B9" w:rsidP="00E97A8C">
      <w:pPr>
        <w:spacing w:line="360" w:lineRule="auto"/>
        <w:rPr>
          <w:rFonts w:ascii="Arial" w:hAnsi="Arial" w:cs="Arial"/>
          <w:b/>
          <w:bCs/>
        </w:rPr>
      </w:pPr>
    </w:p>
    <w:p w14:paraId="78A18E70" w14:textId="77777777" w:rsidR="009725B9" w:rsidRPr="00E97A8C" w:rsidRDefault="009725B9" w:rsidP="00E97A8C">
      <w:pPr>
        <w:spacing w:line="360" w:lineRule="auto"/>
        <w:rPr>
          <w:rFonts w:ascii="Arial" w:hAnsi="Arial" w:cs="Arial"/>
          <w:b/>
          <w:bCs/>
        </w:rPr>
      </w:pPr>
    </w:p>
    <w:p w14:paraId="4D53FA1D" w14:textId="77777777" w:rsidR="009725B9" w:rsidRPr="00E97A8C" w:rsidRDefault="009725B9" w:rsidP="00E97A8C">
      <w:pPr>
        <w:spacing w:line="360" w:lineRule="auto"/>
        <w:rPr>
          <w:rFonts w:ascii="Arial" w:hAnsi="Arial" w:cs="Arial"/>
          <w:b/>
          <w:bCs/>
        </w:rPr>
      </w:pPr>
    </w:p>
    <w:p w14:paraId="35F729C1" w14:textId="66099200" w:rsidR="00CB7355" w:rsidRPr="00E97A8C" w:rsidRDefault="009725B9" w:rsidP="00E97A8C">
      <w:pPr>
        <w:spacing w:line="360" w:lineRule="auto"/>
        <w:jc w:val="center"/>
        <w:rPr>
          <w:rFonts w:ascii="Arial" w:hAnsi="Arial" w:cs="Arial"/>
          <w:b/>
          <w:bCs/>
          <w:sz w:val="28"/>
          <w:szCs w:val="28"/>
        </w:rPr>
      </w:pPr>
      <w:r w:rsidRPr="00E97A8C">
        <w:rPr>
          <w:rFonts w:ascii="Arial" w:hAnsi="Arial" w:cs="Arial"/>
          <w:b/>
          <w:bCs/>
          <w:sz w:val="28"/>
          <w:szCs w:val="28"/>
        </w:rPr>
        <w:t xml:space="preserve">Title: </w:t>
      </w:r>
      <w:r w:rsidR="00CB7355" w:rsidRPr="00E97A8C">
        <w:rPr>
          <w:rFonts w:ascii="Arial" w:hAnsi="Arial" w:cs="Arial"/>
          <w:b/>
          <w:bCs/>
          <w:sz w:val="28"/>
          <w:szCs w:val="28"/>
        </w:rPr>
        <w:t>Component 1: Written Report</w:t>
      </w:r>
    </w:p>
    <w:p w14:paraId="38AC9B0B" w14:textId="5F32ABD6" w:rsidR="009725B9" w:rsidRPr="00E97A8C" w:rsidRDefault="009725B9" w:rsidP="00E97A8C">
      <w:pPr>
        <w:spacing w:line="360" w:lineRule="auto"/>
        <w:jc w:val="center"/>
        <w:rPr>
          <w:rFonts w:ascii="Arial" w:hAnsi="Arial" w:cs="Arial"/>
          <w:b/>
          <w:bCs/>
          <w:sz w:val="28"/>
          <w:szCs w:val="28"/>
        </w:rPr>
      </w:pPr>
      <w:r w:rsidRPr="00E97A8C">
        <w:rPr>
          <w:rFonts w:ascii="Arial" w:hAnsi="Arial" w:cs="Arial"/>
          <w:b/>
          <w:bCs/>
          <w:sz w:val="28"/>
          <w:szCs w:val="28"/>
        </w:rPr>
        <w:t xml:space="preserve"> Name: Halima Bibi</w:t>
      </w:r>
    </w:p>
    <w:p w14:paraId="50C4B5E2" w14:textId="77777777" w:rsidR="009725B9" w:rsidRPr="00E97A8C" w:rsidRDefault="009725B9" w:rsidP="00E97A8C">
      <w:pPr>
        <w:spacing w:line="360" w:lineRule="auto"/>
        <w:jc w:val="center"/>
        <w:rPr>
          <w:rFonts w:ascii="Arial" w:hAnsi="Arial" w:cs="Arial"/>
          <w:b/>
          <w:bCs/>
          <w:sz w:val="28"/>
          <w:szCs w:val="28"/>
        </w:rPr>
      </w:pPr>
      <w:r w:rsidRPr="00E97A8C">
        <w:rPr>
          <w:rFonts w:ascii="Arial" w:hAnsi="Arial" w:cs="Arial"/>
          <w:b/>
          <w:bCs/>
          <w:sz w:val="28"/>
          <w:szCs w:val="28"/>
        </w:rPr>
        <w:t>Student Number: 2320004</w:t>
      </w:r>
    </w:p>
    <w:p w14:paraId="2582847B" w14:textId="0B57FAA4" w:rsidR="009725B9" w:rsidRPr="00E97A8C" w:rsidRDefault="009725B9" w:rsidP="00E97A8C">
      <w:pPr>
        <w:spacing w:line="360" w:lineRule="auto"/>
        <w:jc w:val="center"/>
        <w:rPr>
          <w:rFonts w:ascii="Arial" w:hAnsi="Arial" w:cs="Arial"/>
          <w:b/>
          <w:sz w:val="28"/>
          <w:szCs w:val="28"/>
        </w:rPr>
      </w:pPr>
      <w:r w:rsidRPr="00E97A8C">
        <w:rPr>
          <w:rFonts w:ascii="Arial" w:hAnsi="Arial" w:cs="Arial"/>
          <w:b/>
          <w:bCs/>
          <w:sz w:val="28"/>
          <w:szCs w:val="28"/>
        </w:rPr>
        <w:t xml:space="preserve">Module: </w:t>
      </w:r>
      <w:r w:rsidR="00CB7355" w:rsidRPr="00E97A8C">
        <w:rPr>
          <w:rFonts w:ascii="Arial" w:hAnsi="Arial" w:cs="Arial"/>
          <w:b/>
          <w:sz w:val="28"/>
          <w:szCs w:val="28"/>
        </w:rPr>
        <w:t>Digital Transformation in the Health and Care Professions</w:t>
      </w:r>
    </w:p>
    <w:p w14:paraId="1B21334F" w14:textId="677B6BB6" w:rsidR="009725B9" w:rsidRPr="00E97A8C" w:rsidRDefault="009725B9" w:rsidP="00E97A8C">
      <w:pPr>
        <w:spacing w:line="360" w:lineRule="auto"/>
        <w:jc w:val="center"/>
        <w:rPr>
          <w:rFonts w:ascii="Arial" w:hAnsi="Arial" w:cs="Arial"/>
          <w:b/>
          <w:bCs/>
          <w:sz w:val="28"/>
          <w:szCs w:val="28"/>
          <w:lang w:val="fr-FR"/>
        </w:rPr>
      </w:pPr>
      <w:r w:rsidRPr="00E97A8C">
        <w:rPr>
          <w:rFonts w:ascii="Arial" w:hAnsi="Arial" w:cs="Arial"/>
          <w:b/>
          <w:bCs/>
          <w:sz w:val="28"/>
          <w:szCs w:val="28"/>
          <w:lang w:val="fr-FR"/>
        </w:rPr>
        <w:t xml:space="preserve">Module Code: </w:t>
      </w:r>
      <w:r w:rsidR="00CB7355" w:rsidRPr="00E97A8C">
        <w:rPr>
          <w:rFonts w:ascii="Arial" w:hAnsi="Arial" w:cs="Arial"/>
          <w:b/>
          <w:sz w:val="28"/>
          <w:szCs w:val="28"/>
          <w:lang w:val="fr-FR"/>
        </w:rPr>
        <w:t>BMHP6026</w:t>
      </w:r>
    </w:p>
    <w:p w14:paraId="63BA2242" w14:textId="1F3A8E8E" w:rsidR="009725B9" w:rsidRPr="00E97A8C" w:rsidRDefault="009725B9" w:rsidP="00E97A8C">
      <w:pPr>
        <w:spacing w:line="360" w:lineRule="auto"/>
        <w:jc w:val="center"/>
        <w:rPr>
          <w:rFonts w:ascii="Arial" w:hAnsi="Arial" w:cs="Arial"/>
          <w:b/>
          <w:bCs/>
          <w:sz w:val="28"/>
          <w:szCs w:val="28"/>
          <w:lang w:val="fr-FR"/>
        </w:rPr>
      </w:pPr>
      <w:proofErr w:type="spellStart"/>
      <w:r w:rsidRPr="00E97A8C">
        <w:rPr>
          <w:rFonts w:ascii="Arial" w:hAnsi="Arial" w:cs="Arial"/>
          <w:b/>
          <w:bCs/>
          <w:sz w:val="28"/>
          <w:szCs w:val="28"/>
          <w:lang w:val="fr-FR"/>
        </w:rPr>
        <w:t>Lecturer</w:t>
      </w:r>
      <w:proofErr w:type="spellEnd"/>
      <w:r w:rsidRPr="00E97A8C">
        <w:rPr>
          <w:rFonts w:ascii="Arial" w:hAnsi="Arial" w:cs="Arial"/>
          <w:b/>
          <w:bCs/>
          <w:sz w:val="28"/>
          <w:szCs w:val="28"/>
          <w:lang w:val="fr-FR"/>
        </w:rPr>
        <w:t xml:space="preserve">: </w:t>
      </w:r>
      <w:proofErr w:type="spellStart"/>
      <w:r w:rsidR="00CB7355" w:rsidRPr="00E97A8C">
        <w:rPr>
          <w:rFonts w:ascii="Arial" w:hAnsi="Arial" w:cs="Arial"/>
          <w:b/>
          <w:bCs/>
          <w:sz w:val="28"/>
          <w:szCs w:val="28"/>
          <w:lang w:val="fr-FR"/>
        </w:rPr>
        <w:t>Zakkiya</w:t>
      </w:r>
      <w:proofErr w:type="spellEnd"/>
      <w:r w:rsidR="00CB7355" w:rsidRPr="00E97A8C">
        <w:rPr>
          <w:rFonts w:ascii="Arial" w:hAnsi="Arial" w:cs="Arial"/>
          <w:b/>
          <w:bCs/>
          <w:sz w:val="28"/>
          <w:szCs w:val="28"/>
          <w:lang w:val="fr-FR"/>
        </w:rPr>
        <w:t xml:space="preserve"> Ahmed </w:t>
      </w:r>
    </w:p>
    <w:p w14:paraId="337044E0" w14:textId="77777777" w:rsidR="00CB7355" w:rsidRPr="00E97A8C" w:rsidRDefault="00CB7355" w:rsidP="00E97A8C">
      <w:pPr>
        <w:spacing w:line="360" w:lineRule="auto"/>
        <w:jc w:val="center"/>
        <w:rPr>
          <w:rFonts w:ascii="Arial" w:hAnsi="Arial" w:cs="Arial"/>
          <w:b/>
          <w:bCs/>
          <w:sz w:val="28"/>
          <w:szCs w:val="28"/>
          <w:lang w:val="fr-FR"/>
        </w:rPr>
      </w:pPr>
    </w:p>
    <w:p w14:paraId="38E8B830" w14:textId="77777777" w:rsidR="00685757" w:rsidRPr="00E97A8C" w:rsidRDefault="00685757" w:rsidP="00E97A8C">
      <w:pPr>
        <w:spacing w:line="360" w:lineRule="auto"/>
        <w:rPr>
          <w:rFonts w:ascii="Arial" w:hAnsi="Arial" w:cs="Arial"/>
          <w:b/>
          <w:bCs/>
        </w:rPr>
      </w:pPr>
    </w:p>
    <w:p w14:paraId="7E076C69" w14:textId="7DD6EA55" w:rsidR="00685757" w:rsidRPr="00E31DE7" w:rsidRDefault="00685757" w:rsidP="00E97A8C">
      <w:pPr>
        <w:spacing w:line="360" w:lineRule="auto"/>
        <w:jc w:val="center"/>
        <w:rPr>
          <w:rFonts w:ascii="Arial" w:hAnsi="Arial" w:cs="Arial"/>
          <w:b/>
          <w:bCs/>
        </w:rPr>
      </w:pPr>
      <w:r w:rsidRPr="00E97A8C">
        <w:rPr>
          <w:rFonts w:ascii="Arial" w:hAnsi="Arial" w:cs="Arial"/>
          <w:b/>
          <w:bCs/>
        </w:rPr>
        <w:t xml:space="preserve">Title: </w:t>
      </w:r>
      <w:r w:rsidRPr="00E31DE7">
        <w:rPr>
          <w:rFonts w:ascii="Arial" w:hAnsi="Arial" w:cs="Arial"/>
          <w:b/>
          <w:bCs/>
        </w:rPr>
        <w:t>A Critical Evaluation of the NHS App as a Digital Innovation in UK Health and Social Care</w:t>
      </w:r>
    </w:p>
    <w:p w14:paraId="43881F70" w14:textId="77777777" w:rsidR="009725B9" w:rsidRPr="00E97A8C" w:rsidRDefault="009725B9" w:rsidP="00E97A8C">
      <w:pPr>
        <w:spacing w:line="360" w:lineRule="auto"/>
        <w:rPr>
          <w:rFonts w:ascii="Arial" w:hAnsi="Arial" w:cs="Arial"/>
          <w:b/>
          <w:bCs/>
        </w:rPr>
      </w:pPr>
    </w:p>
    <w:p w14:paraId="011BB910" w14:textId="77777777" w:rsidR="009725B9" w:rsidRPr="00E97A8C" w:rsidRDefault="009725B9" w:rsidP="00E97A8C">
      <w:pPr>
        <w:spacing w:line="360" w:lineRule="auto"/>
        <w:rPr>
          <w:rFonts w:ascii="Arial" w:hAnsi="Arial" w:cs="Arial"/>
          <w:b/>
          <w:bCs/>
        </w:rPr>
      </w:pPr>
    </w:p>
    <w:p w14:paraId="0B55768B" w14:textId="77777777" w:rsidR="009725B9" w:rsidRPr="00E97A8C" w:rsidRDefault="009725B9" w:rsidP="00E97A8C">
      <w:pPr>
        <w:spacing w:line="360" w:lineRule="auto"/>
        <w:rPr>
          <w:rFonts w:ascii="Arial" w:hAnsi="Arial" w:cs="Arial"/>
          <w:b/>
          <w:bCs/>
        </w:rPr>
      </w:pPr>
    </w:p>
    <w:p w14:paraId="767E3BC3" w14:textId="77777777" w:rsidR="009725B9" w:rsidRPr="00E97A8C" w:rsidRDefault="009725B9" w:rsidP="00E97A8C">
      <w:pPr>
        <w:spacing w:line="360" w:lineRule="auto"/>
        <w:rPr>
          <w:rFonts w:ascii="Arial" w:hAnsi="Arial" w:cs="Arial"/>
          <w:b/>
          <w:bCs/>
        </w:rPr>
      </w:pPr>
    </w:p>
    <w:p w14:paraId="7D3EA30C" w14:textId="77777777" w:rsidR="009725B9" w:rsidRPr="00E97A8C" w:rsidRDefault="009725B9" w:rsidP="00E97A8C">
      <w:pPr>
        <w:spacing w:line="360" w:lineRule="auto"/>
        <w:rPr>
          <w:rFonts w:ascii="Arial" w:hAnsi="Arial" w:cs="Arial"/>
          <w:b/>
          <w:bCs/>
        </w:rPr>
      </w:pPr>
    </w:p>
    <w:p w14:paraId="53861AAD" w14:textId="77777777" w:rsidR="009725B9" w:rsidRPr="00E97A8C" w:rsidRDefault="009725B9" w:rsidP="00E97A8C">
      <w:pPr>
        <w:spacing w:line="360" w:lineRule="auto"/>
        <w:rPr>
          <w:rFonts w:ascii="Arial" w:hAnsi="Arial" w:cs="Arial"/>
          <w:b/>
          <w:bCs/>
        </w:rPr>
      </w:pPr>
    </w:p>
    <w:p w14:paraId="4A399792" w14:textId="77777777" w:rsidR="0025761D" w:rsidRPr="00E97A8C" w:rsidRDefault="0025761D" w:rsidP="00E97A8C">
      <w:pPr>
        <w:spacing w:line="360" w:lineRule="auto"/>
        <w:rPr>
          <w:rFonts w:ascii="Arial" w:hAnsi="Arial" w:cs="Arial"/>
          <w:b/>
          <w:bCs/>
        </w:rPr>
      </w:pPr>
    </w:p>
    <w:p w14:paraId="10EAD690" w14:textId="239FF2FD" w:rsidR="00E31DE7" w:rsidRPr="005140B7" w:rsidRDefault="00E31DE7" w:rsidP="00E97A8C">
      <w:pPr>
        <w:spacing w:line="360" w:lineRule="auto"/>
        <w:rPr>
          <w:rFonts w:ascii="Arial" w:hAnsi="Arial" w:cs="Arial"/>
          <w:b/>
          <w:bCs/>
        </w:rPr>
      </w:pPr>
      <w:r w:rsidRPr="00E31DE7">
        <w:rPr>
          <w:rFonts w:ascii="Arial" w:hAnsi="Arial" w:cs="Arial"/>
          <w:b/>
          <w:bCs/>
        </w:rPr>
        <w:lastRenderedPageBreak/>
        <w:t>Introduction</w:t>
      </w:r>
    </w:p>
    <w:p w14:paraId="3D938C2D" w14:textId="77777777" w:rsidR="005665E9" w:rsidRPr="005665E9" w:rsidRDefault="005665E9" w:rsidP="005665E9">
      <w:pPr>
        <w:spacing w:line="360" w:lineRule="auto"/>
        <w:rPr>
          <w:rFonts w:ascii="Arial" w:hAnsi="Arial" w:cs="Arial"/>
        </w:rPr>
      </w:pPr>
      <w:r w:rsidRPr="005665E9">
        <w:rPr>
          <w:rFonts w:ascii="Arial" w:hAnsi="Arial" w:cs="Arial"/>
        </w:rPr>
        <w:t>Digital transformation has become a central priority in UK health and social care, driven by rising demand, workforce shortages, financial pressures, and an ageing population (Department of Health and Social Care, 2022). It is not simply a technical upgrade but a strategic approach to reshape how healthcare is accessed, delivered, and experienced. Policy objectives emphasise efficiency, patient empowerment, workforce productivity, and long-term system sustainability (Department of Health and Social Care, 2022). Within this context, the NHS App represents one of the most significant digital healthcare innovations of the past decade, centralising patient access to core NHS services and supporting the national digital strategy outlined in the NHS Long Term Plan (NHS England, 2019).</w:t>
      </w:r>
    </w:p>
    <w:p w14:paraId="607562F4" w14:textId="77777777" w:rsidR="005665E9" w:rsidRPr="005665E9" w:rsidRDefault="005665E9" w:rsidP="005665E9">
      <w:pPr>
        <w:spacing w:line="360" w:lineRule="auto"/>
        <w:rPr>
          <w:rFonts w:ascii="Arial" w:hAnsi="Arial" w:cs="Arial"/>
        </w:rPr>
      </w:pPr>
      <w:r w:rsidRPr="005665E9">
        <w:rPr>
          <w:rFonts w:ascii="Arial" w:hAnsi="Arial" w:cs="Arial"/>
        </w:rPr>
        <w:t xml:space="preserve">Launched nationally in 2019, the NHS App enables patients to book GP appointments, request repeat prescriptions, access NHS 111 services, and view test results and selected medical records (NHS England, 2019). By 2025, over 39 million users had registered, demonstrating widespread adoption and institutional commitment (NHS England, 2025). However, digital innovation is not inherently beneficial. Poor implementation may generate unintended consequences, including increased workforce pressure, fragmented service delivery, and potential widening of health inequalities (Fang </w:t>
      </w:r>
      <w:r w:rsidRPr="005665E9">
        <w:rPr>
          <w:rFonts w:ascii="Arial" w:hAnsi="Arial" w:cs="Arial"/>
          <w:i/>
          <w:iCs/>
        </w:rPr>
        <w:t>et al</w:t>
      </w:r>
      <w:r w:rsidRPr="005665E9">
        <w:rPr>
          <w:rFonts w:ascii="Arial" w:hAnsi="Arial" w:cs="Arial"/>
        </w:rPr>
        <w:t>., 2022).</w:t>
      </w:r>
    </w:p>
    <w:p w14:paraId="126204DB" w14:textId="77777777" w:rsidR="005665E9" w:rsidRPr="005665E9" w:rsidRDefault="005665E9" w:rsidP="005665E9">
      <w:pPr>
        <w:spacing w:line="360" w:lineRule="auto"/>
        <w:rPr>
          <w:rFonts w:ascii="Arial" w:hAnsi="Arial" w:cs="Arial"/>
        </w:rPr>
      </w:pPr>
      <w:r w:rsidRPr="005665E9">
        <w:rPr>
          <w:rFonts w:ascii="Arial" w:hAnsi="Arial" w:cs="Arial"/>
        </w:rPr>
        <w:t>This report critically evaluates the NHS App’s impact on workforce roles, service delivery, and patient experience using UK policy and research evidence.</w:t>
      </w:r>
    </w:p>
    <w:p w14:paraId="336631B7" w14:textId="77777777" w:rsidR="005E6C03" w:rsidRPr="005140B7" w:rsidRDefault="001505B8" w:rsidP="00E97A8C">
      <w:pPr>
        <w:spacing w:line="360" w:lineRule="auto"/>
        <w:rPr>
          <w:rFonts w:ascii="Arial" w:hAnsi="Arial" w:cs="Arial"/>
          <w:b/>
          <w:bCs/>
        </w:rPr>
      </w:pPr>
      <w:r w:rsidRPr="001505B8">
        <w:rPr>
          <w:rFonts w:ascii="Arial" w:hAnsi="Arial" w:cs="Arial"/>
          <w:b/>
          <w:bCs/>
        </w:rPr>
        <w:t>Impact on the Workforce</w:t>
      </w:r>
    </w:p>
    <w:p w14:paraId="5E3B5AE5" w14:textId="718CC2CC" w:rsidR="007B328B" w:rsidRDefault="007B328B" w:rsidP="00D96778">
      <w:pPr>
        <w:spacing w:line="360" w:lineRule="auto"/>
        <w:rPr>
          <w:rFonts w:ascii="Arial" w:hAnsi="Arial" w:cs="Arial"/>
        </w:rPr>
      </w:pPr>
      <w:r w:rsidRPr="007B328B">
        <w:rPr>
          <w:rFonts w:ascii="Arial" w:hAnsi="Arial" w:cs="Arial"/>
        </w:rPr>
        <w:t xml:space="preserve">NHS England (2025) states that the NHS App has reshaped workforce practice not by reducing labour but by redistributing it across professional roles. Administrative staff, particularly GP receptionists, now manage online appointment triage, digital requests, query redirection and delayed patient communication alongside traditional responsibilities. </w:t>
      </w:r>
      <w:r>
        <w:rPr>
          <w:rFonts w:ascii="Arial" w:hAnsi="Arial" w:cs="Arial"/>
        </w:rPr>
        <w:t>Before</w:t>
      </w:r>
      <w:r w:rsidRPr="007B328B">
        <w:rPr>
          <w:rFonts w:ascii="Arial" w:hAnsi="Arial" w:cs="Arial"/>
        </w:rPr>
        <w:t xml:space="preserve"> digital adoption, these processes were largely manual, and staff must monitor digital submissions, correct errors and interpret incomplete or duplicate requests (Stockwell </w:t>
      </w:r>
      <w:r w:rsidRPr="007B328B">
        <w:rPr>
          <w:rFonts w:ascii="Arial" w:hAnsi="Arial" w:cs="Arial"/>
          <w:i/>
          <w:iCs/>
        </w:rPr>
        <w:t>et al.,</w:t>
      </w:r>
      <w:r w:rsidRPr="007B328B">
        <w:rPr>
          <w:rFonts w:ascii="Arial" w:hAnsi="Arial" w:cs="Arial"/>
        </w:rPr>
        <w:t xml:space="preserve"> 2025).</w:t>
      </w:r>
    </w:p>
    <w:p w14:paraId="599C8AF5" w14:textId="01420EB8" w:rsidR="00CD6527" w:rsidRDefault="00CD6527" w:rsidP="00D96778">
      <w:pPr>
        <w:spacing w:line="360" w:lineRule="auto"/>
        <w:rPr>
          <w:rFonts w:ascii="Arial" w:hAnsi="Arial" w:cs="Arial"/>
        </w:rPr>
      </w:pPr>
      <w:r w:rsidRPr="00CD6527">
        <w:rPr>
          <w:rFonts w:ascii="Arial" w:hAnsi="Arial" w:cs="Arial"/>
        </w:rPr>
        <w:t xml:space="preserve">Campbell </w:t>
      </w:r>
      <w:r w:rsidRPr="00CD6527">
        <w:rPr>
          <w:rFonts w:ascii="Arial" w:hAnsi="Arial" w:cs="Arial"/>
          <w:i/>
          <w:iCs/>
        </w:rPr>
        <w:t>et al.</w:t>
      </w:r>
      <w:r w:rsidRPr="00CD6527">
        <w:rPr>
          <w:rFonts w:ascii="Arial" w:hAnsi="Arial" w:cs="Arial"/>
          <w:i/>
          <w:iCs/>
        </w:rPr>
        <w:t>,</w:t>
      </w:r>
      <w:r w:rsidRPr="00CD6527">
        <w:rPr>
          <w:rFonts w:ascii="Arial" w:hAnsi="Arial" w:cs="Arial"/>
        </w:rPr>
        <w:t xml:space="preserve"> (2024) argue that although digitalisation is often framed as </w:t>
      </w:r>
      <w:r>
        <w:rPr>
          <w:rFonts w:ascii="Arial" w:hAnsi="Arial" w:cs="Arial"/>
        </w:rPr>
        <w:t>efficiency-enhancing</w:t>
      </w:r>
      <w:r w:rsidRPr="00CD6527">
        <w:rPr>
          <w:rFonts w:ascii="Arial" w:hAnsi="Arial" w:cs="Arial"/>
        </w:rPr>
        <w:t xml:space="preserve">, empirical research suggests work has shifted from visible transactional tasks to continuous digital supervision. Policy evaluations frequently rely on call-volume reduction metrics, which do not fully capture cognitive and supervisory workload associated with digital healthcare engagement. Marsh </w:t>
      </w:r>
      <w:r w:rsidRPr="00CD6527">
        <w:rPr>
          <w:rFonts w:ascii="Arial" w:hAnsi="Arial" w:cs="Arial"/>
          <w:i/>
          <w:iCs/>
        </w:rPr>
        <w:t>et al.</w:t>
      </w:r>
      <w:r w:rsidRPr="00CD6527">
        <w:rPr>
          <w:rFonts w:ascii="Arial" w:hAnsi="Arial" w:cs="Arial"/>
          <w:i/>
          <w:iCs/>
        </w:rPr>
        <w:t>,</w:t>
      </w:r>
      <w:r w:rsidRPr="00CD6527">
        <w:rPr>
          <w:rFonts w:ascii="Arial" w:hAnsi="Arial" w:cs="Arial"/>
        </w:rPr>
        <w:t xml:space="preserve"> (2024) demonstrate that high technology intensity in digital workplaces can increase job demands and negatively influence employee wellbeing, suggesting efficiency may be measured at </w:t>
      </w:r>
      <w:r>
        <w:rPr>
          <w:rFonts w:ascii="Arial" w:hAnsi="Arial" w:cs="Arial"/>
        </w:rPr>
        <w:t xml:space="preserve">an </w:t>
      </w:r>
      <w:r w:rsidRPr="00CD6527">
        <w:rPr>
          <w:rFonts w:ascii="Arial" w:hAnsi="Arial" w:cs="Arial"/>
        </w:rPr>
        <w:t>organisational rather than experiential level.</w:t>
      </w:r>
    </w:p>
    <w:p w14:paraId="1A112295" w14:textId="738B4AE8" w:rsidR="007B328B" w:rsidRDefault="007B328B" w:rsidP="00D96778">
      <w:pPr>
        <w:spacing w:line="360" w:lineRule="auto"/>
        <w:rPr>
          <w:rFonts w:ascii="Arial" w:hAnsi="Arial" w:cs="Arial"/>
        </w:rPr>
      </w:pPr>
      <w:proofErr w:type="spellStart"/>
      <w:r w:rsidRPr="007B328B">
        <w:rPr>
          <w:rFonts w:ascii="Arial" w:hAnsi="Arial" w:cs="Arial"/>
        </w:rPr>
        <w:lastRenderedPageBreak/>
        <w:t>Ravalier</w:t>
      </w:r>
      <w:proofErr w:type="spellEnd"/>
      <w:r w:rsidRPr="007B328B">
        <w:rPr>
          <w:rFonts w:ascii="Arial" w:hAnsi="Arial" w:cs="Arial"/>
        </w:rPr>
        <w:t xml:space="preserve"> </w:t>
      </w:r>
      <w:r w:rsidRPr="007B328B">
        <w:rPr>
          <w:rFonts w:ascii="Arial" w:hAnsi="Arial" w:cs="Arial"/>
          <w:i/>
          <w:iCs/>
        </w:rPr>
        <w:t>et al.</w:t>
      </w:r>
      <w:r w:rsidRPr="007B328B">
        <w:rPr>
          <w:rFonts w:ascii="Arial" w:hAnsi="Arial" w:cs="Arial"/>
          <w:i/>
          <w:iCs/>
        </w:rPr>
        <w:t>,</w:t>
      </w:r>
      <w:r w:rsidRPr="007B328B">
        <w:rPr>
          <w:rFonts w:ascii="Arial" w:hAnsi="Arial" w:cs="Arial"/>
        </w:rPr>
        <w:t xml:space="preserve"> (2020) describe task redistribution as a source of hidden labour, including interpreting submissions, managing follow-up communication and correcting digital errors. Bolli and </w:t>
      </w:r>
      <w:proofErr w:type="spellStart"/>
      <w:r w:rsidRPr="007B328B">
        <w:rPr>
          <w:rFonts w:ascii="Arial" w:hAnsi="Arial" w:cs="Arial"/>
        </w:rPr>
        <w:t>Pusterla</w:t>
      </w:r>
      <w:proofErr w:type="spellEnd"/>
      <w:r w:rsidRPr="007B328B">
        <w:rPr>
          <w:rFonts w:ascii="Arial" w:hAnsi="Arial" w:cs="Arial"/>
        </w:rPr>
        <w:t xml:space="preserve">, </w:t>
      </w:r>
      <w:r>
        <w:rPr>
          <w:rFonts w:ascii="Arial" w:hAnsi="Arial" w:cs="Arial"/>
        </w:rPr>
        <w:t>(</w:t>
      </w:r>
      <w:r w:rsidRPr="007B328B">
        <w:rPr>
          <w:rFonts w:ascii="Arial" w:hAnsi="Arial" w:cs="Arial"/>
        </w:rPr>
        <w:t xml:space="preserve">2022), </w:t>
      </w:r>
      <w:r>
        <w:rPr>
          <w:rFonts w:ascii="Arial" w:hAnsi="Arial" w:cs="Arial"/>
        </w:rPr>
        <w:t>states a</w:t>
      </w:r>
      <w:r w:rsidRPr="007B328B">
        <w:rPr>
          <w:rFonts w:ascii="Arial" w:hAnsi="Arial" w:cs="Arial"/>
        </w:rPr>
        <w:t xml:space="preserve">lthough digitalisation can reduce repetitive administrative work it may increase information processing demands and connectivity pressure (Marsh </w:t>
      </w:r>
      <w:r w:rsidRPr="007B328B">
        <w:rPr>
          <w:rFonts w:ascii="Arial" w:hAnsi="Arial" w:cs="Arial"/>
          <w:i/>
          <w:iCs/>
        </w:rPr>
        <w:t>et al.,</w:t>
      </w:r>
      <w:r w:rsidRPr="007B328B">
        <w:rPr>
          <w:rFonts w:ascii="Arial" w:hAnsi="Arial" w:cs="Arial"/>
        </w:rPr>
        <w:t xml:space="preserve"> 2024). </w:t>
      </w:r>
      <w:proofErr w:type="spellStart"/>
      <w:r w:rsidRPr="007B328B">
        <w:rPr>
          <w:rFonts w:ascii="Arial" w:hAnsi="Arial" w:cs="Arial"/>
        </w:rPr>
        <w:t>Wosny</w:t>
      </w:r>
      <w:proofErr w:type="spellEnd"/>
      <w:r w:rsidRPr="007B328B">
        <w:rPr>
          <w:rFonts w:ascii="Arial" w:hAnsi="Arial" w:cs="Arial"/>
        </w:rPr>
        <w:t xml:space="preserve"> </w:t>
      </w:r>
      <w:r w:rsidRPr="007B328B">
        <w:rPr>
          <w:rFonts w:ascii="Arial" w:hAnsi="Arial" w:cs="Arial"/>
          <w:i/>
          <w:iCs/>
        </w:rPr>
        <w:t>et al.</w:t>
      </w:r>
      <w:r w:rsidRPr="007B328B">
        <w:rPr>
          <w:rFonts w:ascii="Arial" w:hAnsi="Arial" w:cs="Arial"/>
          <w:i/>
          <w:iCs/>
        </w:rPr>
        <w:t>,</w:t>
      </w:r>
      <w:r w:rsidRPr="007B328B">
        <w:rPr>
          <w:rFonts w:ascii="Arial" w:hAnsi="Arial" w:cs="Arial"/>
        </w:rPr>
        <w:t xml:space="preserve"> (2023) suggest that well-supported practices experience lower strain, whereas under-resourced settings face higher workload risk and operational uncertainty.</w:t>
      </w:r>
    </w:p>
    <w:p w14:paraId="267D1E6D" w14:textId="2904F1FF" w:rsidR="007B328B" w:rsidRDefault="007B328B" w:rsidP="00D96778">
      <w:pPr>
        <w:spacing w:line="360" w:lineRule="auto"/>
        <w:rPr>
          <w:rFonts w:ascii="Arial" w:hAnsi="Arial" w:cs="Arial"/>
        </w:rPr>
      </w:pPr>
      <w:r w:rsidRPr="007B328B">
        <w:rPr>
          <w:rFonts w:ascii="Arial" w:hAnsi="Arial" w:cs="Arial"/>
        </w:rPr>
        <w:t>NHS England</w:t>
      </w:r>
      <w:r>
        <w:rPr>
          <w:rFonts w:ascii="Arial" w:hAnsi="Arial" w:cs="Arial"/>
        </w:rPr>
        <w:t>,</w:t>
      </w:r>
      <w:r w:rsidRPr="007B328B">
        <w:rPr>
          <w:rFonts w:ascii="Arial" w:hAnsi="Arial" w:cs="Arial"/>
        </w:rPr>
        <w:t xml:space="preserve"> (2023) highlights that digital inclusion responsibilities further increase workforce pressure, particularly when staff provide informal technical support to patients with limited digital literacy, older adults or individuals with cognitive or physical impairment. Supporting app registration and navigation may require repeated guidance. These challenges reflect the sociotechnical nature of healthcare technology, where system effectiveness depends on human mediation (Novak </w:t>
      </w:r>
      <w:r w:rsidRPr="007B328B">
        <w:rPr>
          <w:rFonts w:ascii="Arial" w:hAnsi="Arial" w:cs="Arial"/>
          <w:i/>
          <w:iCs/>
        </w:rPr>
        <w:t>et al</w:t>
      </w:r>
      <w:r w:rsidRPr="007B328B">
        <w:rPr>
          <w:rFonts w:ascii="Arial" w:hAnsi="Arial" w:cs="Arial"/>
        </w:rPr>
        <w:t>., 2013).</w:t>
      </w:r>
    </w:p>
    <w:p w14:paraId="71C61286" w14:textId="47DA8DC2" w:rsidR="007B328B" w:rsidRDefault="007B328B" w:rsidP="00D96778">
      <w:pPr>
        <w:spacing w:line="360" w:lineRule="auto"/>
        <w:rPr>
          <w:rFonts w:ascii="Arial" w:hAnsi="Arial" w:cs="Arial"/>
        </w:rPr>
      </w:pPr>
      <w:r w:rsidRPr="007B328B">
        <w:rPr>
          <w:rFonts w:ascii="Arial" w:hAnsi="Arial" w:cs="Arial"/>
        </w:rPr>
        <w:t xml:space="preserve">Clinicians are also affected by expanded digital communication. Access to electronic records, test results and appointment histories can improve informational continuity and support proactive care, particularly for long-term condition management (Alomar </w:t>
      </w:r>
      <w:r w:rsidRPr="007B328B">
        <w:rPr>
          <w:rFonts w:ascii="Arial" w:hAnsi="Arial" w:cs="Arial"/>
          <w:i/>
          <w:iCs/>
        </w:rPr>
        <w:t>et al.,</w:t>
      </w:r>
      <w:r w:rsidRPr="007B328B">
        <w:rPr>
          <w:rFonts w:ascii="Arial" w:hAnsi="Arial" w:cs="Arial"/>
        </w:rPr>
        <w:t xml:space="preserve"> 2024). However, increased digital messaging may extend clinical responsibility beyond scheduled consultations, contributing to blurred professional boundaries. Cognitive workload, decision fatigue and burnout risk are recognised challenges in overstretched healthcare settings (West </w:t>
      </w:r>
      <w:r w:rsidRPr="007B328B">
        <w:rPr>
          <w:rFonts w:ascii="Arial" w:hAnsi="Arial" w:cs="Arial"/>
          <w:i/>
          <w:iCs/>
        </w:rPr>
        <w:t>et al.,</w:t>
      </w:r>
      <w:r w:rsidRPr="007B328B">
        <w:rPr>
          <w:rFonts w:ascii="Arial" w:hAnsi="Arial" w:cs="Arial"/>
        </w:rPr>
        <w:t xml:space="preserve"> 2018).</w:t>
      </w:r>
    </w:p>
    <w:p w14:paraId="68F1ADC6" w14:textId="16B67C2A" w:rsidR="00D96778" w:rsidRPr="005140B7" w:rsidRDefault="00D96778" w:rsidP="00D96778">
      <w:pPr>
        <w:spacing w:line="360" w:lineRule="auto"/>
        <w:rPr>
          <w:rFonts w:ascii="Arial" w:hAnsi="Arial" w:cs="Arial"/>
        </w:rPr>
      </w:pPr>
      <w:r w:rsidRPr="005140B7">
        <w:rPr>
          <w:rFonts w:ascii="Arial" w:hAnsi="Arial" w:cs="Arial"/>
        </w:rPr>
        <w:t xml:space="preserve">Training and professional development have evolved to meet these demands. Staff must maintain high levels of digital literacy, including secure messaging systems, electronic health records and telehealth triage tools (Hardie </w:t>
      </w:r>
      <w:r w:rsidRPr="0027371C">
        <w:rPr>
          <w:rFonts w:ascii="Arial" w:hAnsi="Arial" w:cs="Arial"/>
          <w:i/>
          <w:iCs/>
        </w:rPr>
        <w:t>et al</w:t>
      </w:r>
      <w:r w:rsidRPr="005140B7">
        <w:rPr>
          <w:rFonts w:ascii="Arial" w:hAnsi="Arial" w:cs="Arial"/>
        </w:rPr>
        <w:t>., 2025). Lack of standardised digital competency frameworks risks variable performance, staff anxiety and potential errors</w:t>
      </w:r>
      <w:r w:rsidR="00746A4F" w:rsidRPr="005140B7">
        <w:rPr>
          <w:rFonts w:ascii="Arial" w:hAnsi="Arial" w:cs="Arial"/>
        </w:rPr>
        <w:t xml:space="preserve"> (</w:t>
      </w:r>
      <w:r w:rsidR="00746A4F" w:rsidRPr="00366F9B">
        <w:rPr>
          <w:rFonts w:ascii="Arial" w:hAnsi="Arial" w:cs="Arial"/>
        </w:rPr>
        <w:t>Williams</w:t>
      </w:r>
      <w:r w:rsidR="00746A4F" w:rsidRPr="005140B7">
        <w:rPr>
          <w:rFonts w:ascii="Arial" w:hAnsi="Arial" w:cs="Arial"/>
        </w:rPr>
        <w:t xml:space="preserve"> et al., 2025).</w:t>
      </w:r>
      <w:r w:rsidR="00366F9B" w:rsidRPr="005140B7">
        <w:rPr>
          <w:rFonts w:ascii="Arial" w:hAnsi="Arial" w:cs="Arial"/>
        </w:rPr>
        <w:t xml:space="preserve"> </w:t>
      </w:r>
      <w:r w:rsidRPr="005140B7">
        <w:rPr>
          <w:rFonts w:ascii="Arial" w:hAnsi="Arial" w:cs="Arial"/>
        </w:rPr>
        <w:t>This is particularly pronounced in practices serving high-need populations, where even small delays or misunderstandings can have amplified consequences.</w:t>
      </w:r>
    </w:p>
    <w:p w14:paraId="2AFEC5AC" w14:textId="4B029785" w:rsidR="005665E9" w:rsidRDefault="005665E9" w:rsidP="00D96778">
      <w:pPr>
        <w:spacing w:line="360" w:lineRule="auto"/>
        <w:rPr>
          <w:rFonts w:ascii="Arial" w:hAnsi="Arial" w:cs="Arial"/>
        </w:rPr>
      </w:pPr>
      <w:r w:rsidRPr="005665E9">
        <w:rPr>
          <w:rFonts w:ascii="Arial" w:hAnsi="Arial" w:cs="Arial"/>
        </w:rPr>
        <w:t xml:space="preserve">Novak, </w:t>
      </w:r>
      <w:r w:rsidRPr="005665E9">
        <w:rPr>
          <w:rFonts w:ascii="Arial" w:hAnsi="Arial" w:cs="Arial"/>
          <w:i/>
          <w:iCs/>
        </w:rPr>
        <w:t>et al.</w:t>
      </w:r>
      <w:r w:rsidRPr="005665E9">
        <w:rPr>
          <w:rFonts w:ascii="Arial" w:hAnsi="Arial" w:cs="Arial"/>
        </w:rPr>
        <w:t xml:space="preserve">, </w:t>
      </w:r>
      <w:r>
        <w:rPr>
          <w:rFonts w:ascii="Arial" w:hAnsi="Arial" w:cs="Arial"/>
        </w:rPr>
        <w:t>(</w:t>
      </w:r>
      <w:r w:rsidRPr="005665E9">
        <w:rPr>
          <w:rFonts w:ascii="Arial" w:hAnsi="Arial" w:cs="Arial"/>
        </w:rPr>
        <w:t xml:space="preserve">2013) argue from a sociotechnical perspective that digital health technologies reshape professional roles rather than simply automate tasks, requiring adaptation within complex healthcare systems. Digital tools position clinicians as intermediaries between system outputs and patient needs. Atherton, </w:t>
      </w:r>
      <w:r w:rsidRPr="005665E9">
        <w:rPr>
          <w:rFonts w:ascii="Arial" w:hAnsi="Arial" w:cs="Arial"/>
          <w:i/>
          <w:iCs/>
        </w:rPr>
        <w:t>et al</w:t>
      </w:r>
      <w:r w:rsidRPr="005665E9">
        <w:rPr>
          <w:rFonts w:ascii="Arial" w:hAnsi="Arial" w:cs="Arial"/>
        </w:rPr>
        <w:t>.</w:t>
      </w:r>
      <w:r>
        <w:rPr>
          <w:rFonts w:ascii="Arial" w:hAnsi="Arial" w:cs="Arial"/>
        </w:rPr>
        <w:t xml:space="preserve"> (</w:t>
      </w:r>
      <w:r w:rsidRPr="005665E9">
        <w:rPr>
          <w:rFonts w:ascii="Arial" w:hAnsi="Arial" w:cs="Arial"/>
        </w:rPr>
        <w:t xml:space="preserve">2018) show that digital consultation alternatives change workflows and redistribute responsibilities in general practice. Adoption outcomes vary across settings, with contextual factors influencing whether technology improves efficiency or generates hidden labour </w:t>
      </w:r>
      <w:r w:rsidR="00C46DD0">
        <w:rPr>
          <w:rFonts w:ascii="Arial" w:hAnsi="Arial" w:cs="Arial"/>
        </w:rPr>
        <w:t>(</w:t>
      </w:r>
      <w:r w:rsidRPr="005665E9">
        <w:rPr>
          <w:rFonts w:ascii="Arial" w:hAnsi="Arial" w:cs="Arial"/>
        </w:rPr>
        <w:t>Fang,</w:t>
      </w:r>
      <w:r>
        <w:rPr>
          <w:rFonts w:ascii="Arial" w:hAnsi="Arial" w:cs="Arial"/>
        </w:rPr>
        <w:t xml:space="preserve"> </w:t>
      </w:r>
      <w:r w:rsidRPr="005665E9">
        <w:rPr>
          <w:rFonts w:ascii="Arial" w:hAnsi="Arial" w:cs="Arial"/>
          <w:i/>
          <w:iCs/>
        </w:rPr>
        <w:t>et al</w:t>
      </w:r>
      <w:r w:rsidRPr="005665E9">
        <w:rPr>
          <w:rFonts w:ascii="Arial" w:hAnsi="Arial" w:cs="Arial"/>
        </w:rPr>
        <w:t xml:space="preserve">., 2022). Increased digital intensity may also increase cognitive workload and professional stress </w:t>
      </w:r>
      <w:r w:rsidR="00C46DD0">
        <w:rPr>
          <w:rFonts w:ascii="Arial" w:hAnsi="Arial" w:cs="Arial"/>
        </w:rPr>
        <w:t>(</w:t>
      </w:r>
      <w:r w:rsidRPr="005665E9">
        <w:rPr>
          <w:rFonts w:ascii="Arial" w:hAnsi="Arial" w:cs="Arial"/>
        </w:rPr>
        <w:t xml:space="preserve">Marsh, </w:t>
      </w:r>
      <w:r w:rsidRPr="005665E9">
        <w:rPr>
          <w:rFonts w:ascii="Arial" w:hAnsi="Arial" w:cs="Arial"/>
          <w:i/>
          <w:iCs/>
        </w:rPr>
        <w:t>et al</w:t>
      </w:r>
      <w:r w:rsidRPr="005665E9">
        <w:rPr>
          <w:rFonts w:ascii="Arial" w:hAnsi="Arial" w:cs="Arial"/>
        </w:rPr>
        <w:t>., 2024).</w:t>
      </w:r>
    </w:p>
    <w:p w14:paraId="4068F370" w14:textId="62200F04" w:rsidR="005665E9" w:rsidRDefault="005665E9" w:rsidP="00D96778">
      <w:pPr>
        <w:spacing w:line="360" w:lineRule="auto"/>
        <w:rPr>
          <w:rFonts w:ascii="Arial" w:hAnsi="Arial" w:cs="Arial"/>
        </w:rPr>
      </w:pPr>
      <w:r w:rsidRPr="005665E9">
        <w:rPr>
          <w:rFonts w:ascii="Arial" w:hAnsi="Arial" w:cs="Arial"/>
        </w:rPr>
        <w:lastRenderedPageBreak/>
        <w:t xml:space="preserve">Despite increased workload pressures, important benefits are evident. NHS England, </w:t>
      </w:r>
      <w:r>
        <w:rPr>
          <w:rFonts w:ascii="Arial" w:hAnsi="Arial" w:cs="Arial"/>
        </w:rPr>
        <w:t>(</w:t>
      </w:r>
      <w:r w:rsidRPr="005665E9">
        <w:rPr>
          <w:rFonts w:ascii="Arial" w:hAnsi="Arial" w:cs="Arial"/>
        </w:rPr>
        <w:t xml:space="preserve">2025) report that the NHS App reduces telephone demand, streamlines appointment and prescription management </w:t>
      </w:r>
      <w:r>
        <w:rPr>
          <w:rFonts w:ascii="Arial" w:hAnsi="Arial" w:cs="Arial"/>
        </w:rPr>
        <w:t>expanding</w:t>
      </w:r>
      <w:r w:rsidRPr="005665E9">
        <w:rPr>
          <w:rFonts w:ascii="Arial" w:hAnsi="Arial" w:cs="Arial"/>
        </w:rPr>
        <w:t xml:space="preserve"> digital service access. Access to electronic health records supports informational continuity and patient engagement </w:t>
      </w:r>
      <w:r>
        <w:rPr>
          <w:rFonts w:ascii="Arial" w:hAnsi="Arial" w:cs="Arial"/>
        </w:rPr>
        <w:t>(</w:t>
      </w:r>
      <w:r w:rsidRPr="005665E9">
        <w:rPr>
          <w:rFonts w:ascii="Arial" w:hAnsi="Arial" w:cs="Arial"/>
        </w:rPr>
        <w:t xml:space="preserve">Alomar, </w:t>
      </w:r>
      <w:r w:rsidRPr="005665E9">
        <w:rPr>
          <w:rFonts w:ascii="Arial" w:hAnsi="Arial" w:cs="Arial"/>
          <w:i/>
          <w:iCs/>
        </w:rPr>
        <w:t>et al</w:t>
      </w:r>
      <w:r w:rsidRPr="005665E9">
        <w:rPr>
          <w:rFonts w:ascii="Arial" w:hAnsi="Arial" w:cs="Arial"/>
        </w:rPr>
        <w:t>.,</w:t>
      </w:r>
      <w:r>
        <w:rPr>
          <w:rFonts w:ascii="Arial" w:hAnsi="Arial" w:cs="Arial"/>
        </w:rPr>
        <w:t xml:space="preserve"> </w:t>
      </w:r>
      <w:r w:rsidRPr="005665E9">
        <w:rPr>
          <w:rFonts w:ascii="Arial" w:hAnsi="Arial" w:cs="Arial"/>
        </w:rPr>
        <w:t>2024). These efficiencies may allow staff to focus on higher</w:t>
      </w:r>
      <w:r>
        <w:rPr>
          <w:rFonts w:ascii="Arial" w:hAnsi="Arial" w:cs="Arial"/>
        </w:rPr>
        <w:t xml:space="preserve"> </w:t>
      </w:r>
      <w:r w:rsidRPr="005665E9">
        <w:rPr>
          <w:rFonts w:ascii="Arial" w:hAnsi="Arial" w:cs="Arial"/>
        </w:rPr>
        <w:t xml:space="preserve">acuity clinical tasks and support long-term condition management (NHS England, 2019). However, digital expansion may also increase cognitive workload and hidden labour, reflecting the paradox where system-level efficiency can coexist with individual-level burden (Marsh, </w:t>
      </w:r>
      <w:r w:rsidRPr="0027371C">
        <w:rPr>
          <w:rFonts w:ascii="Arial" w:hAnsi="Arial" w:cs="Arial"/>
          <w:i/>
          <w:iCs/>
        </w:rPr>
        <w:t>et al.,</w:t>
      </w:r>
      <w:r w:rsidRPr="005665E9">
        <w:rPr>
          <w:rFonts w:ascii="Arial" w:hAnsi="Arial" w:cs="Arial"/>
        </w:rPr>
        <w:t xml:space="preserve"> 2024).</w:t>
      </w:r>
    </w:p>
    <w:p w14:paraId="31B27EF5" w14:textId="6BB957C4" w:rsidR="0040422F" w:rsidRPr="005140B7" w:rsidRDefault="0040422F" w:rsidP="00D96778">
      <w:pPr>
        <w:spacing w:line="360" w:lineRule="auto"/>
        <w:rPr>
          <w:rFonts w:ascii="Arial" w:hAnsi="Arial" w:cs="Arial"/>
        </w:rPr>
      </w:pPr>
      <w:r w:rsidRPr="005140B7">
        <w:rPr>
          <w:rFonts w:ascii="Arial" w:hAnsi="Arial" w:cs="Arial"/>
        </w:rPr>
        <w:t xml:space="preserve">In summary, the NHS App changes workforce roles through digital triage, interpretive work and informal patient support, requiring new skills and training (Stockwell </w:t>
      </w:r>
      <w:r w:rsidRPr="005140B7">
        <w:rPr>
          <w:rFonts w:ascii="Arial" w:hAnsi="Arial" w:cs="Arial"/>
          <w:i/>
          <w:iCs/>
        </w:rPr>
        <w:t xml:space="preserve">et al., </w:t>
      </w:r>
      <w:r w:rsidRPr="005140B7">
        <w:rPr>
          <w:rFonts w:ascii="Arial" w:hAnsi="Arial" w:cs="Arial"/>
        </w:rPr>
        <w:t>2025). Benefits include improved access, reduced repetition and enhanced continuity of care (NHS England, 2025). Challenges involve hidden labour, cognitive load, burnout risk and ethical responsibility for equitable digital access (Marsh</w:t>
      </w:r>
      <w:r w:rsidRPr="005140B7">
        <w:rPr>
          <w:rFonts w:ascii="Arial" w:hAnsi="Arial" w:cs="Arial"/>
          <w:i/>
          <w:iCs/>
        </w:rPr>
        <w:t xml:space="preserve"> et al.,</w:t>
      </w:r>
      <w:r w:rsidRPr="005140B7">
        <w:rPr>
          <w:rFonts w:ascii="Arial" w:hAnsi="Arial" w:cs="Arial"/>
        </w:rPr>
        <w:t xml:space="preserve"> 2024). Workforce experience is highly context-dependent, shaped by IT infrastructure, staff training and patient demographics (Novak </w:t>
      </w:r>
      <w:r w:rsidRPr="005140B7">
        <w:rPr>
          <w:rFonts w:ascii="Arial" w:hAnsi="Arial" w:cs="Arial"/>
          <w:i/>
          <w:iCs/>
        </w:rPr>
        <w:t xml:space="preserve">et al., </w:t>
      </w:r>
      <w:r w:rsidRPr="005140B7">
        <w:rPr>
          <w:rFonts w:ascii="Arial" w:hAnsi="Arial" w:cs="Arial"/>
        </w:rPr>
        <w:t xml:space="preserve">2013). Without formal recognition of digital labour, protected workflow time and structured professional development, digital transformation risks undermining workforce sustainability despite operational improvements (Hardie </w:t>
      </w:r>
      <w:r w:rsidRPr="005140B7">
        <w:rPr>
          <w:rFonts w:ascii="Arial" w:hAnsi="Arial" w:cs="Arial"/>
          <w:i/>
          <w:iCs/>
        </w:rPr>
        <w:t>et al.,</w:t>
      </w:r>
      <w:r w:rsidRPr="005140B7">
        <w:rPr>
          <w:rFonts w:ascii="Arial" w:hAnsi="Arial" w:cs="Arial"/>
        </w:rPr>
        <w:t xml:space="preserve"> 2025).</w:t>
      </w:r>
    </w:p>
    <w:p w14:paraId="4CDA859D" w14:textId="1AC5CF68" w:rsidR="001505B8" w:rsidRPr="001505B8" w:rsidRDefault="001505B8" w:rsidP="00D96778">
      <w:pPr>
        <w:spacing w:line="360" w:lineRule="auto"/>
        <w:rPr>
          <w:rFonts w:ascii="Arial" w:hAnsi="Arial" w:cs="Arial"/>
          <w:b/>
          <w:bCs/>
        </w:rPr>
      </w:pPr>
      <w:r w:rsidRPr="001505B8">
        <w:rPr>
          <w:rFonts w:ascii="Arial" w:hAnsi="Arial" w:cs="Arial"/>
          <w:b/>
          <w:bCs/>
        </w:rPr>
        <w:t>Impact on Service Delivery</w:t>
      </w:r>
    </w:p>
    <w:p w14:paraId="2BFE3ACE" w14:textId="62C82B6E" w:rsidR="00B814D4" w:rsidRPr="005140B7" w:rsidRDefault="00B814D4" w:rsidP="00D96778">
      <w:pPr>
        <w:spacing w:line="360" w:lineRule="auto"/>
        <w:rPr>
          <w:rFonts w:ascii="Arial" w:hAnsi="Arial" w:cs="Arial"/>
        </w:rPr>
      </w:pPr>
      <w:r w:rsidRPr="005140B7">
        <w:rPr>
          <w:rFonts w:ascii="Arial" w:hAnsi="Arial" w:cs="Arial"/>
        </w:rPr>
        <w:t>NHS England</w:t>
      </w:r>
      <w:r w:rsidRPr="005140B7">
        <w:rPr>
          <w:rFonts w:ascii="Arial" w:hAnsi="Arial" w:cs="Arial"/>
        </w:rPr>
        <w:t>,</w:t>
      </w:r>
      <w:r w:rsidRPr="005140B7">
        <w:rPr>
          <w:rFonts w:ascii="Arial" w:hAnsi="Arial" w:cs="Arial"/>
        </w:rPr>
        <w:t xml:space="preserve"> (2019) outlines the ambition to modernise care through digital-first access, shifting healthcare delivery from scheduled, synchronous interactions to continuous, on-demand availability. NHS England</w:t>
      </w:r>
      <w:r w:rsidRPr="005140B7">
        <w:rPr>
          <w:rFonts w:ascii="Arial" w:hAnsi="Arial" w:cs="Arial"/>
        </w:rPr>
        <w:t>,</w:t>
      </w:r>
      <w:r w:rsidRPr="005140B7">
        <w:rPr>
          <w:rFonts w:ascii="Arial" w:hAnsi="Arial" w:cs="Arial"/>
        </w:rPr>
        <w:t xml:space="preserve"> (2025) details how the NHS App enables appointment booking and prescription requests at any time, removing traditional access barriers such as opening hours and telephone queues. However, Atherton </w:t>
      </w:r>
      <w:r w:rsidRPr="005140B7">
        <w:rPr>
          <w:rFonts w:ascii="Arial" w:hAnsi="Arial" w:cs="Arial"/>
          <w:i/>
          <w:iCs/>
        </w:rPr>
        <w:t>et al.</w:t>
      </w:r>
      <w:r w:rsidRPr="005140B7">
        <w:rPr>
          <w:rFonts w:ascii="Arial" w:hAnsi="Arial" w:cs="Arial"/>
        </w:rPr>
        <w:t xml:space="preserve">, </w:t>
      </w:r>
      <w:r w:rsidRPr="005140B7">
        <w:rPr>
          <w:rFonts w:ascii="Arial" w:hAnsi="Arial" w:cs="Arial"/>
        </w:rPr>
        <w:t xml:space="preserve">(2018) demonstrate that alternatives to face-to-face consultations reshape demand patterns and workflow in general practice. Stockwell </w:t>
      </w:r>
      <w:r w:rsidRPr="005140B7">
        <w:rPr>
          <w:rFonts w:ascii="Arial" w:hAnsi="Arial" w:cs="Arial"/>
          <w:i/>
          <w:iCs/>
        </w:rPr>
        <w:t>et al</w:t>
      </w:r>
      <w:r w:rsidRPr="005140B7">
        <w:rPr>
          <w:rFonts w:ascii="Arial" w:hAnsi="Arial" w:cs="Arial"/>
        </w:rPr>
        <w:t>.</w:t>
      </w:r>
      <w:r w:rsidRPr="005140B7">
        <w:rPr>
          <w:rFonts w:ascii="Arial" w:hAnsi="Arial" w:cs="Arial"/>
        </w:rPr>
        <w:t>,</w:t>
      </w:r>
      <w:r w:rsidRPr="005140B7">
        <w:rPr>
          <w:rFonts w:ascii="Arial" w:hAnsi="Arial" w:cs="Arial"/>
        </w:rPr>
        <w:t xml:space="preserve"> (2025) show that online services can increase administrative workload as digital contact volumes expand beyond initial expectations. This dynamic reflects how reducing access barriers can increase overall service use, generating unintended workload consequences despite efficiency claims (Fang </w:t>
      </w:r>
      <w:r w:rsidRPr="005140B7">
        <w:rPr>
          <w:rFonts w:ascii="Arial" w:hAnsi="Arial" w:cs="Arial"/>
          <w:i/>
          <w:iCs/>
        </w:rPr>
        <w:t>et al.,</w:t>
      </w:r>
      <w:r w:rsidRPr="005140B7">
        <w:rPr>
          <w:rFonts w:ascii="Arial" w:hAnsi="Arial" w:cs="Arial"/>
        </w:rPr>
        <w:t xml:space="preserve"> 2022).</w:t>
      </w:r>
    </w:p>
    <w:p w14:paraId="462B8FA9" w14:textId="647988FD" w:rsidR="00C46DD0" w:rsidRDefault="00C46DD0" w:rsidP="00D96778">
      <w:pPr>
        <w:spacing w:line="360" w:lineRule="auto"/>
        <w:rPr>
          <w:rFonts w:ascii="Arial" w:hAnsi="Arial" w:cs="Arial"/>
        </w:rPr>
      </w:pPr>
      <w:r w:rsidRPr="00C46DD0">
        <w:rPr>
          <w:rFonts w:ascii="Arial" w:hAnsi="Arial" w:cs="Arial"/>
        </w:rPr>
        <w:t>Baird</w:t>
      </w:r>
      <w:r>
        <w:rPr>
          <w:rFonts w:ascii="Arial" w:hAnsi="Arial" w:cs="Arial"/>
        </w:rPr>
        <w:t xml:space="preserve"> </w:t>
      </w:r>
      <w:r w:rsidRPr="00C46DD0">
        <w:rPr>
          <w:rFonts w:ascii="Arial" w:hAnsi="Arial" w:cs="Arial"/>
          <w:i/>
          <w:iCs/>
        </w:rPr>
        <w:t>et al</w:t>
      </w:r>
      <w:r w:rsidRPr="00C46DD0">
        <w:rPr>
          <w:rFonts w:ascii="Arial" w:hAnsi="Arial" w:cs="Arial"/>
        </w:rPr>
        <w:t xml:space="preserve">., </w:t>
      </w:r>
      <w:r>
        <w:rPr>
          <w:rFonts w:ascii="Arial" w:hAnsi="Arial" w:cs="Arial"/>
        </w:rPr>
        <w:t>(</w:t>
      </w:r>
      <w:r w:rsidRPr="00C46DD0">
        <w:rPr>
          <w:rFonts w:ascii="Arial" w:hAnsi="Arial" w:cs="Arial"/>
        </w:rPr>
        <w:t xml:space="preserve">2020) </w:t>
      </w:r>
      <w:r>
        <w:rPr>
          <w:rFonts w:ascii="Arial" w:hAnsi="Arial" w:cs="Arial"/>
        </w:rPr>
        <w:t>highlights</w:t>
      </w:r>
      <w:r w:rsidRPr="00C46DD0">
        <w:rPr>
          <w:rFonts w:ascii="Arial" w:hAnsi="Arial" w:cs="Arial"/>
        </w:rPr>
        <w:t xml:space="preserve"> that administrative efficiency gains do not automatically translate into improved clinical efficiency. Although appointment requests, prescription renewals and test enquiries can be submitted more quickly, each still requires professional review, triage and documentation. Front-desk workload reduction is often offset by increased digital correspondence, patient verification, and follow-up tasks. Practices with high NHS App adoption report rising online messaging and prescription requests, reflecting workload </w:t>
      </w:r>
      <w:r w:rsidRPr="00C46DD0">
        <w:rPr>
          <w:rFonts w:ascii="Arial" w:hAnsi="Arial" w:cs="Arial"/>
        </w:rPr>
        <w:lastRenderedPageBreak/>
        <w:t xml:space="preserve">redistribution. Fang, </w:t>
      </w:r>
      <w:r w:rsidRPr="00C46DD0">
        <w:rPr>
          <w:rFonts w:ascii="Arial" w:hAnsi="Arial" w:cs="Arial"/>
          <w:i/>
          <w:iCs/>
        </w:rPr>
        <w:t>et al</w:t>
      </w:r>
      <w:r w:rsidRPr="00C46DD0">
        <w:rPr>
          <w:rFonts w:ascii="Arial" w:hAnsi="Arial" w:cs="Arial"/>
        </w:rPr>
        <w:t>.,</w:t>
      </w:r>
      <w:r>
        <w:rPr>
          <w:rFonts w:ascii="Arial" w:hAnsi="Arial" w:cs="Arial"/>
        </w:rPr>
        <w:t xml:space="preserve"> (</w:t>
      </w:r>
      <w:r w:rsidRPr="00C46DD0">
        <w:rPr>
          <w:rFonts w:ascii="Arial" w:hAnsi="Arial" w:cs="Arial"/>
        </w:rPr>
        <w:t xml:space="preserve">2022) highlight that volume-based efficiency metrics fail to capture cognitive and interpretive workload. </w:t>
      </w:r>
    </w:p>
    <w:p w14:paraId="2E5A7685" w14:textId="0EB80F31" w:rsidR="004E4811" w:rsidRPr="005140B7" w:rsidRDefault="004E4811" w:rsidP="00D96778">
      <w:pPr>
        <w:spacing w:line="360" w:lineRule="auto"/>
        <w:rPr>
          <w:rFonts w:ascii="Arial" w:hAnsi="Arial" w:cs="Arial"/>
        </w:rPr>
      </w:pPr>
      <w:r w:rsidRPr="005140B7">
        <w:rPr>
          <w:rFonts w:ascii="Arial" w:hAnsi="Arial" w:cs="Arial"/>
        </w:rPr>
        <w:t xml:space="preserve">Watkins </w:t>
      </w:r>
      <w:r w:rsidRPr="005140B7">
        <w:rPr>
          <w:rFonts w:ascii="Arial" w:hAnsi="Arial" w:cs="Arial"/>
          <w:i/>
          <w:iCs/>
        </w:rPr>
        <w:t>et al.</w:t>
      </w:r>
      <w:r w:rsidRPr="005140B7">
        <w:rPr>
          <w:rFonts w:ascii="Arial" w:hAnsi="Arial" w:cs="Arial"/>
          <w:i/>
          <w:iCs/>
        </w:rPr>
        <w:t>,</w:t>
      </w:r>
      <w:r w:rsidRPr="005140B7">
        <w:rPr>
          <w:rFonts w:ascii="Arial" w:hAnsi="Arial" w:cs="Arial"/>
        </w:rPr>
        <w:t xml:space="preserve"> (2021) show that during the COVID-19 pandemic, the NHS App supported service continuity by enabling remote consultations, digital appointment management and access to test results, helping reduce unnecessary face-to-face contact. Stockwell </w:t>
      </w:r>
      <w:r w:rsidRPr="005140B7">
        <w:rPr>
          <w:rFonts w:ascii="Arial" w:hAnsi="Arial" w:cs="Arial"/>
          <w:i/>
          <w:iCs/>
        </w:rPr>
        <w:t>et al.</w:t>
      </w:r>
      <w:r w:rsidRPr="005140B7">
        <w:rPr>
          <w:rFonts w:ascii="Arial" w:hAnsi="Arial" w:cs="Arial"/>
          <w:i/>
          <w:iCs/>
        </w:rPr>
        <w:t>,</w:t>
      </w:r>
      <w:r w:rsidRPr="005140B7">
        <w:rPr>
          <w:rFonts w:ascii="Arial" w:hAnsi="Arial" w:cs="Arial"/>
        </w:rPr>
        <w:t xml:space="preserve"> (2025) suggest that routine post-pandemic use of digital services may sustain operational pressure rather than consistently reduce workload, as digital access reshapes contact and administrative patterns. Williams </w:t>
      </w:r>
      <w:r w:rsidRPr="005140B7">
        <w:rPr>
          <w:rFonts w:ascii="Arial" w:hAnsi="Arial" w:cs="Arial"/>
          <w:i/>
          <w:iCs/>
        </w:rPr>
        <w:t>et al.</w:t>
      </w:r>
      <w:r w:rsidRPr="005140B7">
        <w:rPr>
          <w:rFonts w:ascii="Arial" w:hAnsi="Arial" w:cs="Arial"/>
          <w:i/>
          <w:iCs/>
        </w:rPr>
        <w:t>,</w:t>
      </w:r>
      <w:r w:rsidRPr="005140B7">
        <w:rPr>
          <w:rFonts w:ascii="Arial" w:hAnsi="Arial" w:cs="Arial"/>
        </w:rPr>
        <w:t xml:space="preserve"> (2025) highlight that rapid digital healthcare expansion exposed workforce capability challenges, including gaps in training, IT infrastructure, and workflow integration. Novak </w:t>
      </w:r>
      <w:r w:rsidRPr="005140B7">
        <w:rPr>
          <w:rFonts w:ascii="Arial" w:hAnsi="Arial" w:cs="Arial"/>
          <w:i/>
          <w:iCs/>
        </w:rPr>
        <w:t>et al.</w:t>
      </w:r>
      <w:r w:rsidRPr="005140B7">
        <w:rPr>
          <w:rFonts w:ascii="Arial" w:hAnsi="Arial" w:cs="Arial"/>
          <w:i/>
          <w:iCs/>
        </w:rPr>
        <w:t>,</w:t>
      </w:r>
      <w:r w:rsidRPr="005140B7">
        <w:rPr>
          <w:rFonts w:ascii="Arial" w:hAnsi="Arial" w:cs="Arial"/>
        </w:rPr>
        <w:t xml:space="preserve"> (2013) emphasise that successful digital transformation depends on organisational readiness and sociotechnical alignment rather than technology adoption alone.</w:t>
      </w:r>
    </w:p>
    <w:p w14:paraId="3858E14D" w14:textId="77777777" w:rsidR="00A10673" w:rsidRPr="005140B7" w:rsidRDefault="00144CB4" w:rsidP="00D96778">
      <w:pPr>
        <w:spacing w:line="360" w:lineRule="auto"/>
        <w:rPr>
          <w:rFonts w:ascii="Arial" w:hAnsi="Arial" w:cs="Arial"/>
          <w:b/>
          <w:bCs/>
        </w:rPr>
      </w:pPr>
      <w:r w:rsidRPr="00144CB4">
        <w:rPr>
          <w:rFonts w:ascii="Arial" w:hAnsi="Arial" w:cs="Arial"/>
        </w:rPr>
        <w:t>Department of Health and Social Care</w:t>
      </w:r>
      <w:r w:rsidRPr="005140B7">
        <w:rPr>
          <w:rFonts w:ascii="Arial" w:hAnsi="Arial" w:cs="Arial"/>
        </w:rPr>
        <w:t>,</w:t>
      </w:r>
      <w:r w:rsidR="002A5FFD" w:rsidRPr="005140B7">
        <w:rPr>
          <w:rFonts w:ascii="Arial" w:hAnsi="Arial" w:cs="Arial"/>
        </w:rPr>
        <w:t xml:space="preserve"> (2022) highlights that integration with existing GP and primary care systems significantly mediates the impact of digital service delivery. </w:t>
      </w:r>
      <w:r w:rsidRPr="005140B7">
        <w:rPr>
          <w:rFonts w:ascii="Arial" w:hAnsi="Arial" w:cs="Arial"/>
        </w:rPr>
        <w:t>System integration</w:t>
      </w:r>
      <w:r w:rsidRPr="005140B7">
        <w:rPr>
          <w:rFonts w:ascii="Arial" w:hAnsi="Arial" w:cs="Arial"/>
        </w:rPr>
        <w:t xml:space="preserve"> </w:t>
      </w:r>
      <w:r w:rsidR="002A5FFD" w:rsidRPr="005140B7">
        <w:rPr>
          <w:rFonts w:ascii="Arial" w:hAnsi="Arial" w:cs="Arial"/>
        </w:rPr>
        <w:t xml:space="preserve">between the NHS App and local electronic health record systems remains inconsistent, often requiring manual reconciliation, duplicate data entry and verification. Williams </w:t>
      </w:r>
      <w:r w:rsidR="002A5FFD" w:rsidRPr="0027371C">
        <w:rPr>
          <w:rFonts w:ascii="Arial" w:hAnsi="Arial" w:cs="Arial"/>
          <w:i/>
          <w:iCs/>
        </w:rPr>
        <w:t>et al.</w:t>
      </w:r>
      <w:r w:rsidRPr="0027371C">
        <w:rPr>
          <w:rFonts w:ascii="Arial" w:hAnsi="Arial" w:cs="Arial"/>
          <w:i/>
          <w:iCs/>
        </w:rPr>
        <w:t>,</w:t>
      </w:r>
      <w:r w:rsidR="002A5FFD" w:rsidRPr="005140B7">
        <w:rPr>
          <w:rFonts w:ascii="Arial" w:hAnsi="Arial" w:cs="Arial"/>
        </w:rPr>
        <w:t xml:space="preserve"> (2025) show that practices with stronger IT infrastructure, workflow adjustment capability and technical support experience smoother digital adoption</w:t>
      </w:r>
      <w:r w:rsidRPr="005140B7">
        <w:rPr>
          <w:rFonts w:ascii="Arial" w:hAnsi="Arial" w:cs="Arial"/>
        </w:rPr>
        <w:t>. In contrast, less</w:t>
      </w:r>
      <w:r w:rsidR="002A5FFD" w:rsidRPr="005140B7">
        <w:rPr>
          <w:rFonts w:ascii="Arial" w:hAnsi="Arial" w:cs="Arial"/>
        </w:rPr>
        <w:t xml:space="preserve"> prepared organisations may encounter redundancy, delays and operational inefficiency. Watkins </w:t>
      </w:r>
      <w:r w:rsidR="002A5FFD" w:rsidRPr="0027371C">
        <w:rPr>
          <w:rFonts w:ascii="Arial" w:hAnsi="Arial" w:cs="Arial"/>
          <w:i/>
          <w:iCs/>
        </w:rPr>
        <w:t>et al.</w:t>
      </w:r>
      <w:r w:rsidRPr="0027371C">
        <w:rPr>
          <w:rFonts w:ascii="Arial" w:hAnsi="Arial" w:cs="Arial"/>
          <w:i/>
          <w:iCs/>
        </w:rPr>
        <w:t>,</w:t>
      </w:r>
      <w:r w:rsidR="002A5FFD" w:rsidRPr="005140B7">
        <w:rPr>
          <w:rFonts w:ascii="Arial" w:hAnsi="Arial" w:cs="Arial"/>
        </w:rPr>
        <w:t xml:space="preserve"> (2021) demonstrate that poorly integrated systems can create communication bottlenecks and slower response times, potentially undermining efficiency benefits.</w:t>
      </w:r>
    </w:p>
    <w:p w14:paraId="05838F23" w14:textId="44C81353" w:rsidR="00D96778" w:rsidRPr="00237D33" w:rsidRDefault="0070483F" w:rsidP="00D96778">
      <w:pPr>
        <w:spacing w:line="360" w:lineRule="auto"/>
        <w:rPr>
          <w:rFonts w:ascii="Arial" w:hAnsi="Arial" w:cs="Arial"/>
          <w:b/>
          <w:bCs/>
        </w:rPr>
      </w:pPr>
      <w:r w:rsidRPr="005140B7">
        <w:rPr>
          <w:rFonts w:ascii="Arial" w:hAnsi="Arial" w:cs="Arial"/>
        </w:rPr>
        <w:t xml:space="preserve">A longitudinal qualitative study of five general practices in England (2021–2023) evaluated NHS App implementation using staff and patient interviews alongside observational </w:t>
      </w:r>
      <w:r w:rsidRPr="005140B7">
        <w:rPr>
          <w:rFonts w:ascii="Arial" w:hAnsi="Arial" w:cs="Arial"/>
        </w:rPr>
        <w:t>data</w:t>
      </w:r>
      <w:r w:rsidRPr="005140B7">
        <w:rPr>
          <w:rFonts w:ascii="Arial" w:hAnsi="Arial" w:cs="Arial"/>
        </w:rPr>
        <w:t xml:space="preserve"> (Reidy </w:t>
      </w:r>
      <w:r w:rsidRPr="005140B7">
        <w:rPr>
          <w:rFonts w:ascii="Arial" w:hAnsi="Arial" w:cs="Arial"/>
          <w:i/>
          <w:iCs/>
        </w:rPr>
        <w:t>et al.,</w:t>
      </w:r>
      <w:r w:rsidRPr="005140B7">
        <w:rPr>
          <w:rFonts w:ascii="Arial" w:hAnsi="Arial" w:cs="Arial"/>
        </w:rPr>
        <w:t xml:space="preserve"> 2025). The study found that app functionality varied across practices, particularly for prescription ordering and electronic record access, reflecting differences in digital maturity and workforce training. Practices with stronger IT infrastructure reported smoother adoption processes, whereas resource-limited settings experienced increased operational and patient support demands (NHS England, 2025). Despite early implementation challenges, staff considered the NHS App a key component of future service delivery.</w:t>
      </w:r>
    </w:p>
    <w:p w14:paraId="7A143A17" w14:textId="3789626E" w:rsidR="00A10673" w:rsidRPr="005140B7" w:rsidRDefault="00A10673" w:rsidP="00D96778">
      <w:pPr>
        <w:spacing w:line="360" w:lineRule="auto"/>
        <w:rPr>
          <w:rFonts w:ascii="Arial" w:hAnsi="Arial" w:cs="Arial"/>
        </w:rPr>
      </w:pPr>
      <w:r w:rsidRPr="005140B7">
        <w:rPr>
          <w:rFonts w:ascii="Arial" w:hAnsi="Arial" w:cs="Arial"/>
        </w:rPr>
        <w:t xml:space="preserve">Equity considerations remain a challenge in digital healthcare. Patients with higher digital literacy, device access and confidence in using online services benefit from faster and more convenient care, while those lacking these resources may rely on traditional service pathways (NHS England, 2023). Digital-first healthcare risks widening inequality by </w:t>
      </w:r>
      <w:r w:rsidRPr="005140B7">
        <w:rPr>
          <w:rFonts w:ascii="Arial" w:hAnsi="Arial" w:cs="Arial"/>
        </w:rPr>
        <w:lastRenderedPageBreak/>
        <w:t>concentrating vulnerable or high-need patients into non-digital routes (Wills</w:t>
      </w:r>
      <w:r w:rsidRPr="005140B7">
        <w:rPr>
          <w:rFonts w:ascii="Arial" w:hAnsi="Arial" w:cs="Arial"/>
          <w:i/>
          <w:iCs/>
        </w:rPr>
        <w:t>, et al.,</w:t>
      </w:r>
      <w:r w:rsidRPr="005140B7">
        <w:rPr>
          <w:rFonts w:ascii="Arial" w:hAnsi="Arial" w:cs="Arial"/>
        </w:rPr>
        <w:t xml:space="preserve"> 2025). Older adults, socioeconomically disadvantaged groups and individuals with sensory or cognitive impairments are more susceptible to exclusion, raising ethical concerns for equitable healthcare delivery (Department of Health and Social Care, 2022).</w:t>
      </w:r>
    </w:p>
    <w:p w14:paraId="3651CA68" w14:textId="4F37AF98" w:rsidR="00A10673" w:rsidRPr="005140B7" w:rsidRDefault="00A10673" w:rsidP="00D96778">
      <w:pPr>
        <w:spacing w:line="360" w:lineRule="auto"/>
        <w:rPr>
          <w:rFonts w:ascii="Arial" w:hAnsi="Arial" w:cs="Arial"/>
        </w:rPr>
      </w:pPr>
      <w:r w:rsidRPr="005140B7">
        <w:rPr>
          <w:rFonts w:ascii="Arial" w:hAnsi="Arial" w:cs="Arial"/>
        </w:rPr>
        <w:t xml:space="preserve">NHS England, </w:t>
      </w:r>
      <w:r w:rsidRPr="005140B7">
        <w:rPr>
          <w:rFonts w:ascii="Arial" w:hAnsi="Arial" w:cs="Arial"/>
        </w:rPr>
        <w:t>(</w:t>
      </w:r>
      <w:r w:rsidRPr="005140B7">
        <w:rPr>
          <w:rFonts w:ascii="Arial" w:hAnsi="Arial" w:cs="Arial"/>
        </w:rPr>
        <w:t xml:space="preserve">2025) show that the NHS App improves patient experience by increasing convenience, supporting autonomy, and enabling more timely access to healthcare services. The platform supports digitally confident patients who tend to report higher engagement and satisfaction, although privacy concerns and digital literacy barriers remain for some users (Alomar, </w:t>
      </w:r>
      <w:r w:rsidRPr="005140B7">
        <w:rPr>
          <w:rFonts w:ascii="Arial" w:hAnsi="Arial" w:cs="Arial"/>
          <w:i/>
          <w:iCs/>
        </w:rPr>
        <w:t>et al.,</w:t>
      </w:r>
      <w:r w:rsidRPr="005140B7">
        <w:rPr>
          <w:rFonts w:ascii="Arial" w:hAnsi="Arial" w:cs="Arial"/>
        </w:rPr>
        <w:t xml:space="preserve"> 2024). Wills, </w:t>
      </w:r>
      <w:r w:rsidRPr="005140B7">
        <w:rPr>
          <w:rFonts w:ascii="Arial" w:hAnsi="Arial" w:cs="Arial"/>
          <w:i/>
          <w:iCs/>
        </w:rPr>
        <w:t>et al.,</w:t>
      </w:r>
      <w:r w:rsidRPr="005140B7">
        <w:rPr>
          <w:rFonts w:ascii="Arial" w:hAnsi="Arial" w:cs="Arial"/>
        </w:rPr>
        <w:t xml:space="preserve"> </w:t>
      </w:r>
      <w:r w:rsidRPr="005140B7">
        <w:rPr>
          <w:rFonts w:ascii="Arial" w:hAnsi="Arial" w:cs="Arial"/>
        </w:rPr>
        <w:t>(</w:t>
      </w:r>
      <w:r w:rsidRPr="005140B7">
        <w:rPr>
          <w:rFonts w:ascii="Arial" w:hAnsi="Arial" w:cs="Arial"/>
        </w:rPr>
        <w:t>2025) emphasise that access inequality may limit the benefits of digital healthcare, suggesting that hybrid care pathways and targeted patient support are necessary to ensure accessibility. Digital-first healthcare strategies should therefore enhance rather than restrict service delivery and reduce participation disparities across populations.</w:t>
      </w:r>
    </w:p>
    <w:p w14:paraId="5E6CBB45" w14:textId="5DC3C400" w:rsidR="00A10673" w:rsidRPr="005140B7" w:rsidRDefault="00A10673" w:rsidP="00D96778">
      <w:pPr>
        <w:spacing w:line="360" w:lineRule="auto"/>
        <w:rPr>
          <w:rFonts w:ascii="Arial" w:hAnsi="Arial" w:cs="Arial"/>
        </w:rPr>
      </w:pPr>
      <w:r w:rsidRPr="005140B7">
        <w:rPr>
          <w:rFonts w:ascii="Arial" w:hAnsi="Arial" w:cs="Arial"/>
        </w:rPr>
        <w:t xml:space="preserve">NHS England, </w:t>
      </w:r>
      <w:r w:rsidRPr="005140B7">
        <w:rPr>
          <w:rFonts w:ascii="Arial" w:hAnsi="Arial" w:cs="Arial"/>
        </w:rPr>
        <w:t>(</w:t>
      </w:r>
      <w:r w:rsidRPr="005140B7">
        <w:rPr>
          <w:rFonts w:ascii="Arial" w:hAnsi="Arial" w:cs="Arial"/>
        </w:rPr>
        <w:t xml:space="preserve">2019) indicate that the NHS App can improve continuity of care, patient self-management and proactive monitoring, particularly for long-term conditions. NHS England, </w:t>
      </w:r>
      <w:r w:rsidRPr="005140B7">
        <w:rPr>
          <w:rFonts w:ascii="Arial" w:hAnsi="Arial" w:cs="Arial"/>
        </w:rPr>
        <w:t>(</w:t>
      </w:r>
      <w:r w:rsidRPr="005140B7">
        <w:rPr>
          <w:rFonts w:ascii="Arial" w:hAnsi="Arial" w:cs="Arial"/>
        </w:rPr>
        <w:t xml:space="preserve">2025) </w:t>
      </w:r>
      <w:r w:rsidRPr="005140B7">
        <w:rPr>
          <w:rFonts w:ascii="Arial" w:hAnsi="Arial" w:cs="Arial"/>
        </w:rPr>
        <w:t>suggests</w:t>
      </w:r>
      <w:r w:rsidRPr="005140B7">
        <w:rPr>
          <w:rFonts w:ascii="Arial" w:hAnsi="Arial" w:cs="Arial"/>
        </w:rPr>
        <w:t xml:space="preserve"> that automated notifications help reduce missed appointments, improve resource utilisation and support population health management. Alomar, </w:t>
      </w:r>
      <w:r w:rsidRPr="005140B7">
        <w:rPr>
          <w:rFonts w:ascii="Arial" w:hAnsi="Arial" w:cs="Arial"/>
          <w:i/>
          <w:iCs/>
        </w:rPr>
        <w:t>et al.</w:t>
      </w:r>
      <w:r w:rsidRPr="005140B7">
        <w:rPr>
          <w:rFonts w:ascii="Arial" w:hAnsi="Arial" w:cs="Arial"/>
        </w:rPr>
        <w:t xml:space="preserve">, </w:t>
      </w:r>
      <w:r w:rsidRPr="005140B7">
        <w:rPr>
          <w:rFonts w:ascii="Arial" w:hAnsi="Arial" w:cs="Arial"/>
        </w:rPr>
        <w:t>(</w:t>
      </w:r>
      <w:r w:rsidRPr="005140B7">
        <w:rPr>
          <w:rFonts w:ascii="Arial" w:hAnsi="Arial" w:cs="Arial"/>
        </w:rPr>
        <w:t xml:space="preserve">2024) demonstrate that data generated through digital healthcare platforms can support service planning, utilisation monitoring and identification of unmet healthcare needs, although evidence on long-term clinical outcomes remains limited. Reidy, </w:t>
      </w:r>
      <w:r w:rsidRPr="005140B7">
        <w:rPr>
          <w:rFonts w:ascii="Arial" w:hAnsi="Arial" w:cs="Arial"/>
          <w:i/>
          <w:iCs/>
        </w:rPr>
        <w:t>et al.,</w:t>
      </w:r>
      <w:r w:rsidRPr="005140B7">
        <w:rPr>
          <w:rFonts w:ascii="Arial" w:hAnsi="Arial" w:cs="Arial"/>
        </w:rPr>
        <w:t xml:space="preserve"> </w:t>
      </w:r>
      <w:r w:rsidRPr="005140B7">
        <w:rPr>
          <w:rFonts w:ascii="Arial" w:hAnsi="Arial" w:cs="Arial"/>
        </w:rPr>
        <w:t>(</w:t>
      </w:r>
      <w:r w:rsidRPr="005140B7">
        <w:rPr>
          <w:rFonts w:ascii="Arial" w:hAnsi="Arial" w:cs="Arial"/>
        </w:rPr>
        <w:t>2025) highlight that longitudinal evaluation of digital health interventions is still developing, indicating an ongoing research gap in outcome-based effectiveness assessment.</w:t>
      </w:r>
    </w:p>
    <w:p w14:paraId="78C588AF" w14:textId="70C929F8" w:rsidR="00A10673" w:rsidRPr="005140B7" w:rsidRDefault="00A10673" w:rsidP="00E97A8C">
      <w:pPr>
        <w:spacing w:line="360" w:lineRule="auto"/>
        <w:rPr>
          <w:rFonts w:ascii="Arial" w:hAnsi="Arial" w:cs="Arial"/>
        </w:rPr>
      </w:pPr>
      <w:r w:rsidRPr="005140B7">
        <w:rPr>
          <w:rFonts w:ascii="Arial" w:hAnsi="Arial" w:cs="Arial"/>
        </w:rPr>
        <w:t>The NHS App has reshaped healthcare service delivery by improving access, enhancing patient autonomy and supporting system resilience during periods such as the COVID-19 pandemic (NHS England, 2019). Its effectiveness depends on workflow integration, interoperability, workforce capacity and patient digital literacy (Department of Health and Social Care, 2022). Although digital platforms improve service speed and coordination, challenges</w:t>
      </w:r>
      <w:r w:rsidRPr="005140B7">
        <w:rPr>
          <w:rFonts w:ascii="Arial" w:hAnsi="Arial" w:cs="Arial"/>
        </w:rPr>
        <w:t>,</w:t>
      </w:r>
      <w:r w:rsidRPr="005140B7">
        <w:rPr>
          <w:rFonts w:ascii="Arial" w:hAnsi="Arial" w:cs="Arial"/>
        </w:rPr>
        <w:t xml:space="preserve"> including operational workload, technical issues and potential inequalities in</w:t>
      </w:r>
      <w:r w:rsidR="00F51ED4" w:rsidRPr="005140B7">
        <w:rPr>
          <w:rFonts w:ascii="Arial" w:hAnsi="Arial" w:cs="Arial"/>
        </w:rPr>
        <w:t xml:space="preserve"> </w:t>
      </w:r>
      <w:r w:rsidRPr="005140B7">
        <w:rPr>
          <w:rFonts w:ascii="Arial" w:hAnsi="Arial" w:cs="Arial"/>
        </w:rPr>
        <w:t xml:space="preserve">access remain (Reidy </w:t>
      </w:r>
      <w:r w:rsidRPr="005140B7">
        <w:rPr>
          <w:rFonts w:ascii="Arial" w:hAnsi="Arial" w:cs="Arial"/>
          <w:i/>
          <w:iCs/>
        </w:rPr>
        <w:t>et al.,</w:t>
      </w:r>
      <w:r w:rsidRPr="005140B7">
        <w:rPr>
          <w:rFonts w:ascii="Arial" w:hAnsi="Arial" w:cs="Arial"/>
        </w:rPr>
        <w:t xml:space="preserve"> 2025). Evidence from UK implementation studies highlights the importance of combining digital transformation with workforce support, hybrid care pathways and ongoing evaluation to promote equitable and sustainable healthcare delivery.</w:t>
      </w:r>
    </w:p>
    <w:p w14:paraId="7EDED19E" w14:textId="52CF60E8" w:rsidR="00E31DE7" w:rsidRPr="00E31DE7" w:rsidRDefault="00E31DE7" w:rsidP="00E97A8C">
      <w:pPr>
        <w:spacing w:line="360" w:lineRule="auto"/>
        <w:rPr>
          <w:rFonts w:ascii="Arial" w:hAnsi="Arial" w:cs="Arial"/>
          <w:b/>
          <w:bCs/>
        </w:rPr>
      </w:pPr>
      <w:r w:rsidRPr="00E31DE7">
        <w:rPr>
          <w:rFonts w:ascii="Arial" w:hAnsi="Arial" w:cs="Arial"/>
          <w:b/>
          <w:bCs/>
        </w:rPr>
        <w:t>Conclusion and Recommendations</w:t>
      </w:r>
    </w:p>
    <w:p w14:paraId="29F5D69E" w14:textId="37A1FCA7" w:rsidR="00F51ED4" w:rsidRPr="005140B7" w:rsidRDefault="00F51ED4" w:rsidP="00EB65EA">
      <w:pPr>
        <w:spacing w:line="360" w:lineRule="auto"/>
        <w:rPr>
          <w:rFonts w:ascii="Arial" w:hAnsi="Arial" w:cs="Arial"/>
        </w:rPr>
      </w:pPr>
      <w:r w:rsidRPr="005140B7">
        <w:rPr>
          <w:rFonts w:ascii="Arial" w:hAnsi="Arial" w:cs="Arial"/>
        </w:rPr>
        <w:t xml:space="preserve">The NHS App reflects the </w:t>
      </w:r>
      <w:r w:rsidRPr="005140B7">
        <w:rPr>
          <w:rFonts w:ascii="Arial" w:hAnsi="Arial" w:cs="Arial"/>
        </w:rPr>
        <w:t>contradiction</w:t>
      </w:r>
      <w:r w:rsidRPr="005140B7">
        <w:rPr>
          <w:rFonts w:ascii="Arial" w:hAnsi="Arial" w:cs="Arial"/>
        </w:rPr>
        <w:t xml:space="preserve"> of digital healthcare, where technologies designed to improve efficiency may simultaneously expand service activity and workload. Digital transformation across healthcare systems often redistributes work rather than reducing it, </w:t>
      </w:r>
      <w:r w:rsidRPr="005140B7">
        <w:rPr>
          <w:rFonts w:ascii="Arial" w:hAnsi="Arial" w:cs="Arial"/>
        </w:rPr>
        <w:lastRenderedPageBreak/>
        <w:t>creating administrative efficiencies alongside increased cognitive demands and potential workforce stress (Marsh,</w:t>
      </w:r>
      <w:r w:rsidRPr="005140B7">
        <w:rPr>
          <w:rFonts w:ascii="Arial" w:hAnsi="Arial" w:cs="Arial"/>
        </w:rPr>
        <w:t xml:space="preserve"> </w:t>
      </w:r>
      <w:r w:rsidRPr="005140B7">
        <w:rPr>
          <w:rFonts w:ascii="Arial" w:hAnsi="Arial" w:cs="Arial"/>
          <w:i/>
          <w:iCs/>
        </w:rPr>
        <w:t xml:space="preserve">et al., </w:t>
      </w:r>
      <w:r w:rsidRPr="005140B7">
        <w:rPr>
          <w:rFonts w:ascii="Arial" w:hAnsi="Arial" w:cs="Arial"/>
        </w:rPr>
        <w:t xml:space="preserve">2024). </w:t>
      </w:r>
      <w:r w:rsidR="007D7C25" w:rsidRPr="007D7C25">
        <w:rPr>
          <w:rFonts w:ascii="Arial" w:hAnsi="Arial" w:cs="Arial"/>
        </w:rPr>
        <w:t xml:space="preserve">Digital service expansion via the NHS App supports healthcare modernisation and patient </w:t>
      </w:r>
      <w:proofErr w:type="spellStart"/>
      <w:r w:rsidR="007D7C25" w:rsidRPr="007D7C25">
        <w:rPr>
          <w:rFonts w:ascii="Arial" w:hAnsi="Arial" w:cs="Arial"/>
        </w:rPr>
        <w:t>access.</w:t>
      </w:r>
      <w:r w:rsidRPr="005140B7">
        <w:rPr>
          <w:rFonts w:ascii="Arial" w:hAnsi="Arial" w:cs="Arial"/>
        </w:rPr>
        <w:t>engagement</w:t>
      </w:r>
      <w:proofErr w:type="spellEnd"/>
      <w:r w:rsidRPr="005140B7">
        <w:rPr>
          <w:rFonts w:ascii="Arial" w:hAnsi="Arial" w:cs="Arial"/>
        </w:rPr>
        <w:t>, these advantages must be considered alongside organisational pressure, staff sustainability and service equity challenges (</w:t>
      </w:r>
      <w:proofErr w:type="spellStart"/>
      <w:r w:rsidRPr="005140B7">
        <w:rPr>
          <w:rFonts w:ascii="Arial" w:hAnsi="Arial" w:cs="Arial"/>
        </w:rPr>
        <w:t>Ravalier</w:t>
      </w:r>
      <w:proofErr w:type="spellEnd"/>
      <w:r w:rsidRPr="005140B7">
        <w:rPr>
          <w:rFonts w:ascii="Arial" w:hAnsi="Arial" w:cs="Arial"/>
        </w:rPr>
        <w:t xml:space="preserve">, </w:t>
      </w:r>
      <w:r w:rsidRPr="005140B7">
        <w:rPr>
          <w:rFonts w:ascii="Arial" w:hAnsi="Arial" w:cs="Arial"/>
          <w:i/>
          <w:iCs/>
        </w:rPr>
        <w:t>et al.,</w:t>
      </w:r>
      <w:r w:rsidRPr="005140B7">
        <w:rPr>
          <w:rFonts w:ascii="Arial" w:hAnsi="Arial" w:cs="Arial"/>
        </w:rPr>
        <w:t xml:space="preserve"> 2020). Overall, </w:t>
      </w:r>
      <w:r w:rsidRPr="005140B7">
        <w:rPr>
          <w:rFonts w:ascii="Arial" w:hAnsi="Arial" w:cs="Arial"/>
        </w:rPr>
        <w:t xml:space="preserve">the </w:t>
      </w:r>
      <w:r w:rsidRPr="005140B7">
        <w:rPr>
          <w:rFonts w:ascii="Arial" w:hAnsi="Arial" w:cs="Arial"/>
        </w:rPr>
        <w:t>benefits of digital healthcare should be interpreted in relation to operational and workforce impacts.</w:t>
      </w:r>
    </w:p>
    <w:p w14:paraId="6A9C4942" w14:textId="5A8450E0" w:rsidR="00F51ED4" w:rsidRPr="005140B7" w:rsidRDefault="00F51ED4" w:rsidP="00EB65EA">
      <w:pPr>
        <w:spacing w:line="360" w:lineRule="auto"/>
        <w:rPr>
          <w:rFonts w:ascii="Arial" w:hAnsi="Arial" w:cs="Arial"/>
        </w:rPr>
      </w:pPr>
      <w:r w:rsidRPr="005140B7">
        <w:rPr>
          <w:rFonts w:ascii="Arial" w:hAnsi="Arial" w:cs="Arial"/>
        </w:rPr>
        <w:t xml:space="preserve">Digital innovation should be understood as a system-level intervention requiring organisational redesign rather than simple technological adoption. Successful implementation depends on integrating workflow restructuring, workforce support, digital inclusion strategies and routine evidence-based evaluation into healthcare practice (Department of Health and Social Care, 2022). The NHS App provides significant advantages for patient access, self-management and service resilience, although its effectiveness is highly context-dependent (NHS England, 2019). However, digital healthcare implementation may also increase workload pressures and risk widening inequalities, highlighting the importance of inclusive design and workforce facilitation (Wills, </w:t>
      </w:r>
      <w:r w:rsidRPr="005140B7">
        <w:rPr>
          <w:rFonts w:ascii="Arial" w:hAnsi="Arial" w:cs="Arial"/>
          <w:i/>
          <w:iCs/>
        </w:rPr>
        <w:t>et al.,</w:t>
      </w:r>
      <w:r w:rsidRPr="005140B7">
        <w:rPr>
          <w:rFonts w:ascii="Arial" w:hAnsi="Arial" w:cs="Arial"/>
        </w:rPr>
        <w:t xml:space="preserve"> 2025).</w:t>
      </w:r>
    </w:p>
    <w:p w14:paraId="1FCC7689" w14:textId="6254CF29" w:rsidR="00EB65EA" w:rsidRPr="00EB65EA" w:rsidRDefault="00EB65EA" w:rsidP="00EB65EA">
      <w:pPr>
        <w:spacing w:line="360" w:lineRule="auto"/>
        <w:rPr>
          <w:rFonts w:ascii="Arial" w:hAnsi="Arial" w:cs="Arial"/>
          <w:b/>
          <w:bCs/>
        </w:rPr>
      </w:pPr>
      <w:r w:rsidRPr="00EB65EA">
        <w:rPr>
          <w:rFonts w:ascii="Arial" w:hAnsi="Arial" w:cs="Arial"/>
          <w:b/>
          <w:bCs/>
        </w:rPr>
        <w:t>Recommendations</w:t>
      </w:r>
    </w:p>
    <w:p w14:paraId="6F65EBAC" w14:textId="448290E9" w:rsidR="00F51ED4" w:rsidRPr="00F51ED4" w:rsidRDefault="00F51ED4" w:rsidP="00F51ED4">
      <w:pPr>
        <w:numPr>
          <w:ilvl w:val="0"/>
          <w:numId w:val="4"/>
        </w:numPr>
        <w:spacing w:line="360" w:lineRule="auto"/>
        <w:rPr>
          <w:rFonts w:ascii="Arial" w:hAnsi="Arial" w:cs="Arial"/>
          <w:b/>
          <w:bCs/>
        </w:rPr>
      </w:pPr>
      <w:r w:rsidRPr="00F51ED4">
        <w:rPr>
          <w:rFonts w:ascii="Arial" w:hAnsi="Arial" w:cs="Arial"/>
          <w:b/>
          <w:bCs/>
        </w:rPr>
        <w:t xml:space="preserve">Recognise digital labour formally – </w:t>
      </w:r>
      <w:r w:rsidRPr="00F51ED4">
        <w:rPr>
          <w:rFonts w:ascii="Arial" w:hAnsi="Arial" w:cs="Arial"/>
        </w:rPr>
        <w:t xml:space="preserve">Include </w:t>
      </w:r>
      <w:r w:rsidR="005140B7" w:rsidRPr="005140B7">
        <w:rPr>
          <w:rFonts w:ascii="Arial" w:hAnsi="Arial" w:cs="Arial"/>
        </w:rPr>
        <w:t>Remote-time tasks</w:t>
      </w:r>
      <w:r w:rsidR="005140B7" w:rsidRPr="005140B7">
        <w:rPr>
          <w:rFonts w:ascii="Arial" w:hAnsi="Arial" w:cs="Arial"/>
        </w:rPr>
        <w:t xml:space="preserve"> </w:t>
      </w:r>
      <w:r w:rsidRPr="00F51ED4">
        <w:rPr>
          <w:rFonts w:ascii="Arial" w:hAnsi="Arial" w:cs="Arial"/>
        </w:rPr>
        <w:t>such as triage review, messaging and patient support in workload models (</w:t>
      </w:r>
      <w:proofErr w:type="spellStart"/>
      <w:r w:rsidRPr="00F51ED4">
        <w:rPr>
          <w:rFonts w:ascii="Arial" w:hAnsi="Arial" w:cs="Arial"/>
        </w:rPr>
        <w:t>Ravalier</w:t>
      </w:r>
      <w:proofErr w:type="spellEnd"/>
      <w:r w:rsidRPr="00F51ED4">
        <w:rPr>
          <w:rFonts w:ascii="Arial" w:hAnsi="Arial" w:cs="Arial"/>
        </w:rPr>
        <w:t xml:space="preserve">, </w:t>
      </w:r>
      <w:r w:rsidRPr="00F51ED4">
        <w:rPr>
          <w:rFonts w:ascii="Arial" w:hAnsi="Arial" w:cs="Arial"/>
          <w:i/>
          <w:iCs/>
        </w:rPr>
        <w:t>et al.,</w:t>
      </w:r>
      <w:r w:rsidRPr="00F51ED4">
        <w:rPr>
          <w:rFonts w:ascii="Arial" w:hAnsi="Arial" w:cs="Arial"/>
        </w:rPr>
        <w:t xml:space="preserve"> 2020).</w:t>
      </w:r>
    </w:p>
    <w:p w14:paraId="340F173A" w14:textId="77777777" w:rsidR="00F51ED4" w:rsidRPr="00F51ED4" w:rsidRDefault="00F51ED4" w:rsidP="00F51ED4">
      <w:pPr>
        <w:numPr>
          <w:ilvl w:val="0"/>
          <w:numId w:val="4"/>
        </w:numPr>
        <w:spacing w:line="360" w:lineRule="auto"/>
        <w:rPr>
          <w:rFonts w:ascii="Arial" w:hAnsi="Arial" w:cs="Arial"/>
          <w:b/>
          <w:bCs/>
        </w:rPr>
      </w:pPr>
      <w:r w:rsidRPr="00F51ED4">
        <w:rPr>
          <w:rFonts w:ascii="Arial" w:hAnsi="Arial" w:cs="Arial"/>
          <w:b/>
          <w:bCs/>
        </w:rPr>
        <w:t>Introduce protected digital workflow time –</w:t>
      </w:r>
      <w:r w:rsidRPr="00F51ED4">
        <w:rPr>
          <w:rFonts w:ascii="Arial" w:hAnsi="Arial" w:cs="Arial"/>
        </w:rPr>
        <w:t xml:space="preserve"> GP schedules should allocate structured sessions for digital work, equivalent to consultation time (NHS England, 2019).</w:t>
      </w:r>
    </w:p>
    <w:p w14:paraId="41FADBB8" w14:textId="50E87E50" w:rsidR="00F51ED4" w:rsidRPr="00F51ED4" w:rsidRDefault="00F51ED4" w:rsidP="00F51ED4">
      <w:pPr>
        <w:numPr>
          <w:ilvl w:val="0"/>
          <w:numId w:val="4"/>
        </w:numPr>
        <w:spacing w:line="360" w:lineRule="auto"/>
        <w:rPr>
          <w:rFonts w:ascii="Arial" w:hAnsi="Arial" w:cs="Arial"/>
          <w:b/>
          <w:bCs/>
        </w:rPr>
      </w:pPr>
      <w:r w:rsidRPr="00F51ED4">
        <w:rPr>
          <w:rFonts w:ascii="Arial" w:hAnsi="Arial" w:cs="Arial"/>
          <w:b/>
          <w:bCs/>
        </w:rPr>
        <w:t xml:space="preserve">Redesign triage rather than expand access unchecked – </w:t>
      </w:r>
      <w:r w:rsidRPr="00F51ED4">
        <w:rPr>
          <w:rFonts w:ascii="Arial" w:hAnsi="Arial" w:cs="Arial"/>
        </w:rPr>
        <w:t xml:space="preserve">Structured routing rules should prioritise clinical need and manage </w:t>
      </w:r>
      <w:r w:rsidR="005140B7" w:rsidRPr="005140B7">
        <w:rPr>
          <w:rFonts w:ascii="Arial" w:hAnsi="Arial" w:cs="Arial"/>
        </w:rPr>
        <w:t xml:space="preserve">Non-urgent clinical </w:t>
      </w:r>
      <w:proofErr w:type="spellStart"/>
      <w:r w:rsidR="005140B7" w:rsidRPr="005140B7">
        <w:rPr>
          <w:rFonts w:ascii="Arial" w:hAnsi="Arial" w:cs="Arial"/>
        </w:rPr>
        <w:t>deman</w:t>
      </w:r>
      <w:r w:rsidR="005140B7" w:rsidRPr="005140B7">
        <w:rPr>
          <w:rFonts w:ascii="Arial" w:hAnsi="Arial" w:cs="Arial"/>
        </w:rPr>
        <w:t>DS</w:t>
      </w:r>
      <w:proofErr w:type="spellEnd"/>
      <w:r w:rsidR="005140B7" w:rsidRPr="005140B7">
        <w:rPr>
          <w:rFonts w:ascii="Arial" w:hAnsi="Arial" w:cs="Arial"/>
        </w:rPr>
        <w:t xml:space="preserve"> </w:t>
      </w:r>
      <w:r w:rsidRPr="00F51ED4">
        <w:rPr>
          <w:rFonts w:ascii="Arial" w:hAnsi="Arial" w:cs="Arial"/>
        </w:rPr>
        <w:t>(Novak,</w:t>
      </w:r>
      <w:r w:rsidR="005140B7" w:rsidRPr="005140B7">
        <w:rPr>
          <w:rFonts w:ascii="Arial" w:hAnsi="Arial" w:cs="Arial"/>
        </w:rPr>
        <w:t xml:space="preserve"> </w:t>
      </w:r>
      <w:r w:rsidRPr="00F51ED4">
        <w:rPr>
          <w:rFonts w:ascii="Arial" w:hAnsi="Arial" w:cs="Arial"/>
          <w:i/>
          <w:iCs/>
        </w:rPr>
        <w:t>et al.</w:t>
      </w:r>
      <w:r w:rsidRPr="00F51ED4">
        <w:rPr>
          <w:rFonts w:ascii="Arial" w:hAnsi="Arial" w:cs="Arial"/>
        </w:rPr>
        <w:t>, 2013).</w:t>
      </w:r>
    </w:p>
    <w:p w14:paraId="4FCBFEE7" w14:textId="77777777" w:rsidR="00F51ED4" w:rsidRPr="00F51ED4" w:rsidRDefault="00F51ED4" w:rsidP="00F51ED4">
      <w:pPr>
        <w:numPr>
          <w:ilvl w:val="0"/>
          <w:numId w:val="4"/>
        </w:numPr>
        <w:spacing w:line="360" w:lineRule="auto"/>
        <w:rPr>
          <w:rFonts w:ascii="Arial" w:hAnsi="Arial" w:cs="Arial"/>
        </w:rPr>
      </w:pPr>
      <w:r w:rsidRPr="00F51ED4">
        <w:rPr>
          <w:rFonts w:ascii="Arial" w:hAnsi="Arial" w:cs="Arial"/>
          <w:b/>
          <w:bCs/>
        </w:rPr>
        <w:t xml:space="preserve">Maintain hybrid service pathways – </w:t>
      </w:r>
      <w:r w:rsidRPr="00F51ED4">
        <w:rPr>
          <w:rFonts w:ascii="Arial" w:hAnsi="Arial" w:cs="Arial"/>
        </w:rPr>
        <w:t>Ensure non-digital routes are equally resourced to avoid inequality (Department of Health and Social Care, 2022).</w:t>
      </w:r>
    </w:p>
    <w:p w14:paraId="5FFED4AF" w14:textId="0AD35A33" w:rsidR="00F51ED4" w:rsidRPr="00F51ED4" w:rsidRDefault="00F51ED4" w:rsidP="00F51ED4">
      <w:pPr>
        <w:numPr>
          <w:ilvl w:val="0"/>
          <w:numId w:val="4"/>
        </w:numPr>
        <w:spacing w:line="360" w:lineRule="auto"/>
        <w:rPr>
          <w:rFonts w:ascii="Arial" w:hAnsi="Arial" w:cs="Arial"/>
          <w:b/>
          <w:bCs/>
        </w:rPr>
      </w:pPr>
      <w:r w:rsidRPr="00F51ED4">
        <w:rPr>
          <w:rFonts w:ascii="Arial" w:hAnsi="Arial" w:cs="Arial"/>
          <w:b/>
          <w:bCs/>
        </w:rPr>
        <w:t xml:space="preserve">Evaluate meaningful outcomes, not activity metrics – </w:t>
      </w:r>
      <w:r w:rsidRPr="00F51ED4">
        <w:rPr>
          <w:rFonts w:ascii="Arial" w:hAnsi="Arial" w:cs="Arial"/>
        </w:rPr>
        <w:t>Focus on staff workload, continuity of care, patient outcomes and equity.</w:t>
      </w:r>
    </w:p>
    <w:p w14:paraId="4E322593" w14:textId="6FC07895" w:rsidR="00F51ED4" w:rsidRPr="00F51ED4" w:rsidRDefault="00F51ED4" w:rsidP="00F51ED4">
      <w:pPr>
        <w:numPr>
          <w:ilvl w:val="0"/>
          <w:numId w:val="4"/>
        </w:numPr>
        <w:spacing w:line="360" w:lineRule="auto"/>
        <w:rPr>
          <w:rFonts w:ascii="Arial" w:hAnsi="Arial" w:cs="Arial"/>
        </w:rPr>
      </w:pPr>
      <w:r w:rsidRPr="00F51ED4">
        <w:rPr>
          <w:rFonts w:ascii="Arial" w:hAnsi="Arial" w:cs="Arial"/>
          <w:b/>
          <w:bCs/>
        </w:rPr>
        <w:t xml:space="preserve">Acknowledge evidence limitations – </w:t>
      </w:r>
      <w:r w:rsidRPr="00F51ED4">
        <w:rPr>
          <w:rFonts w:ascii="Arial" w:hAnsi="Arial" w:cs="Arial"/>
        </w:rPr>
        <w:t xml:space="preserve">Current literature is context-specific, short-term and skewed toward early adopters. </w:t>
      </w:r>
      <w:r w:rsidR="005140B7" w:rsidRPr="005140B7">
        <w:rPr>
          <w:rFonts w:ascii="Arial" w:hAnsi="Arial" w:cs="Arial"/>
        </w:rPr>
        <w:t>Long-term</w:t>
      </w:r>
      <w:r w:rsidRPr="00F51ED4">
        <w:rPr>
          <w:rFonts w:ascii="Arial" w:hAnsi="Arial" w:cs="Arial"/>
        </w:rPr>
        <w:t xml:space="preserve">, longitudinal evaluation is required (Reidy, </w:t>
      </w:r>
      <w:r w:rsidRPr="00F51ED4">
        <w:rPr>
          <w:rFonts w:ascii="Arial" w:hAnsi="Arial" w:cs="Arial"/>
          <w:i/>
          <w:iCs/>
        </w:rPr>
        <w:t>et al.,</w:t>
      </w:r>
      <w:r w:rsidRPr="00F51ED4">
        <w:rPr>
          <w:rFonts w:ascii="Arial" w:hAnsi="Arial" w:cs="Arial"/>
        </w:rPr>
        <w:t xml:space="preserve"> 2025).</w:t>
      </w:r>
    </w:p>
    <w:p w14:paraId="74D856BC" w14:textId="02FFCCD2" w:rsidR="00F51ED4" w:rsidRPr="00F51ED4" w:rsidRDefault="00F51ED4" w:rsidP="00F51ED4">
      <w:pPr>
        <w:numPr>
          <w:ilvl w:val="0"/>
          <w:numId w:val="4"/>
        </w:numPr>
        <w:spacing w:line="360" w:lineRule="auto"/>
        <w:rPr>
          <w:rFonts w:ascii="Arial" w:hAnsi="Arial" w:cs="Arial"/>
          <w:b/>
          <w:bCs/>
        </w:rPr>
      </w:pPr>
      <w:r w:rsidRPr="00F51ED4">
        <w:rPr>
          <w:rFonts w:ascii="Arial" w:hAnsi="Arial" w:cs="Arial"/>
          <w:b/>
          <w:bCs/>
        </w:rPr>
        <w:t>Apply sociotechnical frameworks in implementation –</w:t>
      </w:r>
      <w:r w:rsidRPr="00F51ED4">
        <w:rPr>
          <w:rFonts w:ascii="Arial" w:hAnsi="Arial" w:cs="Arial"/>
        </w:rPr>
        <w:t xml:space="preserve"> Embedding technology should consider human, organisational and technical factors.</w:t>
      </w:r>
    </w:p>
    <w:p w14:paraId="2A845E70" w14:textId="77777777" w:rsidR="00F51ED4" w:rsidRPr="00F51ED4" w:rsidRDefault="00F51ED4" w:rsidP="00F51ED4">
      <w:pPr>
        <w:spacing w:line="360" w:lineRule="auto"/>
        <w:rPr>
          <w:rFonts w:ascii="Arial" w:hAnsi="Arial" w:cs="Arial"/>
        </w:rPr>
      </w:pPr>
      <w:r w:rsidRPr="00F51ED4">
        <w:rPr>
          <w:rFonts w:ascii="Arial" w:hAnsi="Arial" w:cs="Arial"/>
        </w:rPr>
        <w:lastRenderedPageBreak/>
        <w:t>By combining workflow redesign, workforce support, inclusive design, and evidence-informed evaluation, digital health technologies like the NHS App can deliver sustainable benefits while avoiding unintended operational and equity consequences.</w:t>
      </w:r>
    </w:p>
    <w:p w14:paraId="573EBA2B" w14:textId="77777777" w:rsidR="00C975D2" w:rsidRPr="00E97A8C" w:rsidRDefault="00C975D2" w:rsidP="00E97A8C">
      <w:pPr>
        <w:spacing w:line="360" w:lineRule="auto"/>
        <w:rPr>
          <w:rFonts w:ascii="Arial" w:hAnsi="Arial" w:cs="Arial"/>
          <w:b/>
          <w:bCs/>
        </w:rPr>
      </w:pPr>
    </w:p>
    <w:p w14:paraId="027CFAD0" w14:textId="77777777" w:rsidR="00C975D2" w:rsidRDefault="00C975D2" w:rsidP="00E97A8C">
      <w:pPr>
        <w:spacing w:line="360" w:lineRule="auto"/>
        <w:rPr>
          <w:rFonts w:ascii="Arial" w:hAnsi="Arial" w:cs="Arial"/>
          <w:b/>
          <w:bCs/>
        </w:rPr>
      </w:pPr>
    </w:p>
    <w:p w14:paraId="2F5DFFEF" w14:textId="77777777" w:rsidR="00746A4F" w:rsidRDefault="00746A4F" w:rsidP="00E97A8C">
      <w:pPr>
        <w:spacing w:line="360" w:lineRule="auto"/>
        <w:rPr>
          <w:rFonts w:ascii="Arial" w:hAnsi="Arial" w:cs="Arial"/>
          <w:b/>
          <w:bCs/>
        </w:rPr>
      </w:pPr>
    </w:p>
    <w:p w14:paraId="0C7C404B" w14:textId="77777777" w:rsidR="00746A4F" w:rsidRDefault="00746A4F" w:rsidP="00E97A8C">
      <w:pPr>
        <w:spacing w:line="360" w:lineRule="auto"/>
        <w:rPr>
          <w:rFonts w:ascii="Arial" w:hAnsi="Arial" w:cs="Arial"/>
          <w:b/>
          <w:bCs/>
        </w:rPr>
      </w:pPr>
    </w:p>
    <w:p w14:paraId="4C739669" w14:textId="77777777" w:rsidR="00746A4F" w:rsidRDefault="00746A4F" w:rsidP="00E97A8C">
      <w:pPr>
        <w:spacing w:line="360" w:lineRule="auto"/>
        <w:rPr>
          <w:rFonts w:ascii="Arial" w:hAnsi="Arial" w:cs="Arial"/>
          <w:b/>
          <w:bCs/>
        </w:rPr>
      </w:pPr>
    </w:p>
    <w:p w14:paraId="77711064" w14:textId="77777777" w:rsidR="00746A4F" w:rsidRDefault="00746A4F" w:rsidP="00E97A8C">
      <w:pPr>
        <w:spacing w:line="360" w:lineRule="auto"/>
        <w:rPr>
          <w:rFonts w:ascii="Arial" w:hAnsi="Arial" w:cs="Arial"/>
          <w:b/>
          <w:bCs/>
        </w:rPr>
      </w:pPr>
    </w:p>
    <w:p w14:paraId="4AD39FF7" w14:textId="77777777" w:rsidR="00746A4F" w:rsidRDefault="00746A4F" w:rsidP="00E97A8C">
      <w:pPr>
        <w:spacing w:line="360" w:lineRule="auto"/>
        <w:rPr>
          <w:rFonts w:ascii="Arial" w:hAnsi="Arial" w:cs="Arial"/>
          <w:b/>
          <w:bCs/>
        </w:rPr>
      </w:pPr>
    </w:p>
    <w:p w14:paraId="015F29CB" w14:textId="77777777" w:rsidR="00746A4F" w:rsidRDefault="00746A4F" w:rsidP="00E97A8C">
      <w:pPr>
        <w:spacing w:line="360" w:lineRule="auto"/>
        <w:rPr>
          <w:rFonts w:ascii="Arial" w:hAnsi="Arial" w:cs="Arial"/>
          <w:b/>
          <w:bCs/>
        </w:rPr>
      </w:pPr>
    </w:p>
    <w:p w14:paraId="49E60C72" w14:textId="77777777" w:rsidR="00746A4F" w:rsidRDefault="00746A4F" w:rsidP="00E97A8C">
      <w:pPr>
        <w:spacing w:line="360" w:lineRule="auto"/>
        <w:rPr>
          <w:rFonts w:ascii="Arial" w:hAnsi="Arial" w:cs="Arial"/>
          <w:b/>
          <w:bCs/>
        </w:rPr>
      </w:pPr>
    </w:p>
    <w:p w14:paraId="349BA8ED" w14:textId="77777777" w:rsidR="00746A4F" w:rsidRDefault="00746A4F" w:rsidP="00E97A8C">
      <w:pPr>
        <w:spacing w:line="360" w:lineRule="auto"/>
        <w:rPr>
          <w:rFonts w:ascii="Arial" w:hAnsi="Arial" w:cs="Arial"/>
          <w:b/>
          <w:bCs/>
        </w:rPr>
      </w:pPr>
    </w:p>
    <w:p w14:paraId="3B7BF21A" w14:textId="77777777" w:rsidR="00746A4F" w:rsidRDefault="00746A4F" w:rsidP="00E97A8C">
      <w:pPr>
        <w:spacing w:line="360" w:lineRule="auto"/>
        <w:rPr>
          <w:rFonts w:ascii="Arial" w:hAnsi="Arial" w:cs="Arial"/>
          <w:b/>
          <w:bCs/>
        </w:rPr>
      </w:pPr>
    </w:p>
    <w:p w14:paraId="2DE18574" w14:textId="77777777" w:rsidR="00746A4F" w:rsidRDefault="00746A4F" w:rsidP="00E97A8C">
      <w:pPr>
        <w:spacing w:line="360" w:lineRule="auto"/>
        <w:rPr>
          <w:rFonts w:ascii="Arial" w:hAnsi="Arial" w:cs="Arial"/>
          <w:b/>
          <w:bCs/>
        </w:rPr>
      </w:pPr>
    </w:p>
    <w:p w14:paraId="32EA4294" w14:textId="77777777" w:rsidR="00746A4F" w:rsidRDefault="00746A4F" w:rsidP="00E97A8C">
      <w:pPr>
        <w:spacing w:line="360" w:lineRule="auto"/>
        <w:rPr>
          <w:rFonts w:ascii="Arial" w:hAnsi="Arial" w:cs="Arial"/>
          <w:b/>
          <w:bCs/>
        </w:rPr>
      </w:pPr>
    </w:p>
    <w:p w14:paraId="5536217B" w14:textId="77777777" w:rsidR="00746A4F" w:rsidRDefault="00746A4F" w:rsidP="00E97A8C">
      <w:pPr>
        <w:spacing w:line="360" w:lineRule="auto"/>
        <w:rPr>
          <w:rFonts w:ascii="Arial" w:hAnsi="Arial" w:cs="Arial"/>
          <w:b/>
          <w:bCs/>
        </w:rPr>
      </w:pPr>
    </w:p>
    <w:p w14:paraId="055AD316" w14:textId="77777777" w:rsidR="00080139" w:rsidRDefault="00080139" w:rsidP="00E97A8C">
      <w:pPr>
        <w:spacing w:line="360" w:lineRule="auto"/>
        <w:rPr>
          <w:rFonts w:ascii="Arial" w:hAnsi="Arial" w:cs="Arial"/>
          <w:b/>
          <w:bCs/>
        </w:rPr>
      </w:pPr>
    </w:p>
    <w:p w14:paraId="012980E3" w14:textId="77777777" w:rsidR="00080139" w:rsidRDefault="00080139" w:rsidP="00E97A8C">
      <w:pPr>
        <w:spacing w:line="360" w:lineRule="auto"/>
        <w:rPr>
          <w:rFonts w:ascii="Arial" w:hAnsi="Arial" w:cs="Arial"/>
          <w:b/>
          <w:bCs/>
        </w:rPr>
      </w:pPr>
    </w:p>
    <w:p w14:paraId="77D6254E" w14:textId="77777777" w:rsidR="00080139" w:rsidRDefault="00080139" w:rsidP="00E97A8C">
      <w:pPr>
        <w:spacing w:line="360" w:lineRule="auto"/>
        <w:rPr>
          <w:rFonts w:ascii="Arial" w:hAnsi="Arial" w:cs="Arial"/>
          <w:b/>
          <w:bCs/>
        </w:rPr>
      </w:pPr>
    </w:p>
    <w:p w14:paraId="69DCBF45" w14:textId="77777777" w:rsidR="00080139" w:rsidRDefault="00080139" w:rsidP="00E97A8C">
      <w:pPr>
        <w:spacing w:line="360" w:lineRule="auto"/>
        <w:rPr>
          <w:rFonts w:ascii="Arial" w:hAnsi="Arial" w:cs="Arial"/>
          <w:b/>
          <w:bCs/>
        </w:rPr>
      </w:pPr>
    </w:p>
    <w:p w14:paraId="01693F66" w14:textId="77777777" w:rsidR="00080139" w:rsidRDefault="00080139" w:rsidP="00E97A8C">
      <w:pPr>
        <w:spacing w:line="360" w:lineRule="auto"/>
        <w:rPr>
          <w:rFonts w:ascii="Arial" w:hAnsi="Arial" w:cs="Arial"/>
          <w:b/>
          <w:bCs/>
        </w:rPr>
      </w:pPr>
    </w:p>
    <w:p w14:paraId="6B047FA6" w14:textId="77777777" w:rsidR="00080139" w:rsidRDefault="00080139" w:rsidP="00E97A8C">
      <w:pPr>
        <w:spacing w:line="360" w:lineRule="auto"/>
        <w:rPr>
          <w:rFonts w:ascii="Arial" w:hAnsi="Arial" w:cs="Arial"/>
          <w:b/>
          <w:bCs/>
        </w:rPr>
      </w:pPr>
    </w:p>
    <w:p w14:paraId="2C097677" w14:textId="77777777" w:rsidR="00080139" w:rsidRDefault="00080139" w:rsidP="00E97A8C">
      <w:pPr>
        <w:spacing w:line="360" w:lineRule="auto"/>
        <w:rPr>
          <w:rFonts w:ascii="Arial" w:hAnsi="Arial" w:cs="Arial"/>
          <w:b/>
          <w:bCs/>
        </w:rPr>
      </w:pPr>
    </w:p>
    <w:p w14:paraId="6813363A" w14:textId="77777777" w:rsidR="00746A4F" w:rsidRPr="00E97A8C" w:rsidRDefault="00746A4F" w:rsidP="00E97A8C">
      <w:pPr>
        <w:spacing w:line="360" w:lineRule="auto"/>
        <w:rPr>
          <w:rFonts w:ascii="Arial" w:hAnsi="Arial" w:cs="Arial"/>
          <w:b/>
          <w:bCs/>
        </w:rPr>
      </w:pPr>
    </w:p>
    <w:p w14:paraId="7D854FCC" w14:textId="77777777" w:rsidR="009725B9" w:rsidRPr="00505508" w:rsidRDefault="009725B9" w:rsidP="00E97A8C">
      <w:pPr>
        <w:spacing w:line="360" w:lineRule="auto"/>
        <w:rPr>
          <w:rFonts w:ascii="Arial" w:hAnsi="Arial" w:cs="Arial"/>
          <w:b/>
          <w:bCs/>
        </w:rPr>
      </w:pPr>
    </w:p>
    <w:p w14:paraId="15DE15D7" w14:textId="77777777" w:rsidR="00E31DE7" w:rsidRPr="00E31DE7" w:rsidRDefault="00E31DE7" w:rsidP="00E97A8C">
      <w:pPr>
        <w:spacing w:line="360" w:lineRule="auto"/>
        <w:rPr>
          <w:rFonts w:ascii="Arial" w:hAnsi="Arial" w:cs="Arial"/>
          <w:b/>
          <w:bCs/>
        </w:rPr>
      </w:pPr>
      <w:r w:rsidRPr="00E31DE7">
        <w:rPr>
          <w:rFonts w:ascii="Arial" w:hAnsi="Arial" w:cs="Arial"/>
          <w:b/>
          <w:bCs/>
        </w:rPr>
        <w:lastRenderedPageBreak/>
        <w:t>References (Harvard Style)</w:t>
      </w:r>
    </w:p>
    <w:p w14:paraId="1B082B74" w14:textId="77777777" w:rsidR="00EC2157" w:rsidRPr="00080139" w:rsidRDefault="00EC2157" w:rsidP="00080139">
      <w:pPr>
        <w:spacing w:line="360" w:lineRule="auto"/>
        <w:rPr>
          <w:rFonts w:ascii="Arial" w:hAnsi="Arial" w:cs="Arial"/>
        </w:rPr>
      </w:pPr>
      <w:r w:rsidRPr="00474E41">
        <w:rPr>
          <w:rFonts w:ascii="Arial" w:hAnsi="Arial" w:cs="Arial"/>
        </w:rPr>
        <w:t>‌</w:t>
      </w:r>
      <w:r w:rsidRPr="00080139">
        <w:rPr>
          <w:rFonts w:ascii="Arial" w:hAnsi="Arial" w:cs="Arial"/>
        </w:rPr>
        <w:t xml:space="preserve">Alomar, D., Almashmoum, M., Eleftheriou, I., Whelan, P. and </w:t>
      </w:r>
      <w:proofErr w:type="spellStart"/>
      <w:r w:rsidRPr="00080139">
        <w:rPr>
          <w:rFonts w:ascii="Arial" w:hAnsi="Arial" w:cs="Arial"/>
        </w:rPr>
        <w:t>Anisworth</w:t>
      </w:r>
      <w:proofErr w:type="spellEnd"/>
      <w:r w:rsidRPr="00080139">
        <w:rPr>
          <w:rFonts w:ascii="Arial" w:hAnsi="Arial" w:cs="Arial"/>
        </w:rPr>
        <w:t xml:space="preserve">, J. (2024). </w:t>
      </w:r>
      <w:r>
        <w:rPr>
          <w:rFonts w:ascii="Arial" w:hAnsi="Arial" w:cs="Arial"/>
        </w:rPr>
        <w:t>‘</w:t>
      </w:r>
      <w:r w:rsidRPr="00080139">
        <w:rPr>
          <w:rFonts w:ascii="Arial" w:hAnsi="Arial" w:cs="Arial"/>
        </w:rPr>
        <w:t>The Influence of Patient Access to Electronic Health Records on Health Care Engagement: A Systematic Review</w:t>
      </w:r>
      <w:r>
        <w:rPr>
          <w:rFonts w:ascii="Arial" w:hAnsi="Arial" w:cs="Arial"/>
        </w:rPr>
        <w:t>’</w:t>
      </w:r>
      <w:r w:rsidRPr="00080139">
        <w:rPr>
          <w:rFonts w:ascii="Arial" w:hAnsi="Arial" w:cs="Arial"/>
        </w:rPr>
        <w:t>. </w:t>
      </w:r>
      <w:r w:rsidRPr="00080139">
        <w:rPr>
          <w:rFonts w:ascii="Arial" w:hAnsi="Arial" w:cs="Arial"/>
          <w:i/>
          <w:iCs/>
        </w:rPr>
        <w:t>Journal of Medical Internet Research</w:t>
      </w:r>
      <w:r w:rsidRPr="00080139">
        <w:rPr>
          <w:rFonts w:ascii="Arial" w:hAnsi="Arial" w:cs="Arial"/>
        </w:rPr>
        <w:t xml:space="preserve">, 26. </w:t>
      </w:r>
      <w:r>
        <w:rPr>
          <w:rFonts w:ascii="Arial" w:hAnsi="Arial" w:cs="Arial"/>
        </w:rPr>
        <w:t>Available at</w:t>
      </w:r>
      <w:r w:rsidRPr="00080139">
        <w:rPr>
          <w:rFonts w:ascii="Arial" w:hAnsi="Arial" w:cs="Arial"/>
        </w:rPr>
        <w:t>:</w:t>
      </w:r>
      <w:r>
        <w:rPr>
          <w:rFonts w:ascii="Arial" w:hAnsi="Arial" w:cs="Arial"/>
        </w:rPr>
        <w:t xml:space="preserve"> </w:t>
      </w:r>
      <w:hyperlink r:id="rId8" w:history="1">
        <w:r w:rsidRPr="00A716F3">
          <w:rPr>
            <w:rStyle w:val="Hyperlink"/>
            <w:rFonts w:ascii="Arial" w:hAnsi="Arial" w:cs="Arial"/>
          </w:rPr>
          <w:t>https://doi.org/1</w:t>
        </w:r>
        <w:r w:rsidRPr="00A716F3">
          <w:rPr>
            <w:rStyle w:val="Hyperlink"/>
            <w:rFonts w:ascii="Arial" w:hAnsi="Arial" w:cs="Arial"/>
          </w:rPr>
          <w:t>0</w:t>
        </w:r>
        <w:r w:rsidRPr="00A716F3">
          <w:rPr>
            <w:rStyle w:val="Hyperlink"/>
            <w:rFonts w:ascii="Arial" w:hAnsi="Arial" w:cs="Arial"/>
          </w:rPr>
          <w:t>.2196/56473</w:t>
        </w:r>
      </w:hyperlink>
      <w:r w:rsidRPr="00080139">
        <w:rPr>
          <w:rFonts w:ascii="Arial" w:hAnsi="Arial" w:cs="Arial"/>
        </w:rPr>
        <w:t>.</w:t>
      </w:r>
      <w:r>
        <w:rPr>
          <w:rFonts w:ascii="Arial" w:hAnsi="Arial" w:cs="Arial"/>
        </w:rPr>
        <w:t xml:space="preserve"> (</w:t>
      </w:r>
      <w:r w:rsidRPr="00366F9B">
        <w:rPr>
          <w:rFonts w:ascii="Arial" w:hAnsi="Arial" w:cs="Arial"/>
        </w:rPr>
        <w:t>Accessed 22</w:t>
      </w:r>
      <w:r>
        <w:rPr>
          <w:rFonts w:ascii="Arial" w:hAnsi="Arial" w:cs="Arial"/>
        </w:rPr>
        <w:t>/02/</w:t>
      </w:r>
      <w:r w:rsidRPr="00366F9B">
        <w:rPr>
          <w:rFonts w:ascii="Arial" w:hAnsi="Arial" w:cs="Arial"/>
        </w:rPr>
        <w:t>26</w:t>
      </w:r>
      <w:r>
        <w:rPr>
          <w:rFonts w:ascii="Arial" w:hAnsi="Arial" w:cs="Arial"/>
        </w:rPr>
        <w:t>)</w:t>
      </w:r>
      <w:r w:rsidRPr="00366F9B">
        <w:rPr>
          <w:rFonts w:ascii="Arial" w:hAnsi="Arial" w:cs="Arial"/>
        </w:rPr>
        <w:t>.</w:t>
      </w:r>
    </w:p>
    <w:p w14:paraId="2377AF13" w14:textId="77777777" w:rsidR="00EC2157" w:rsidRPr="00080139" w:rsidRDefault="00EC2157" w:rsidP="00080139">
      <w:pPr>
        <w:spacing w:line="360" w:lineRule="auto"/>
        <w:rPr>
          <w:rFonts w:ascii="Arial" w:hAnsi="Arial" w:cs="Arial"/>
        </w:rPr>
      </w:pPr>
      <w:r w:rsidRPr="00080139">
        <w:rPr>
          <w:rFonts w:ascii="Arial" w:hAnsi="Arial" w:cs="Arial"/>
        </w:rPr>
        <w:t xml:space="preserve"> </w:t>
      </w:r>
      <w:r w:rsidRPr="00080139">
        <w:rPr>
          <w:rFonts w:ascii="Arial" w:hAnsi="Arial" w:cs="Arial"/>
        </w:rPr>
        <w:t xml:space="preserve">Atherton, H., Brant, H., </w:t>
      </w:r>
      <w:proofErr w:type="spellStart"/>
      <w:r w:rsidRPr="00080139">
        <w:rPr>
          <w:rFonts w:ascii="Arial" w:hAnsi="Arial" w:cs="Arial"/>
        </w:rPr>
        <w:t>Ziebland</w:t>
      </w:r>
      <w:proofErr w:type="spellEnd"/>
      <w:r w:rsidRPr="00080139">
        <w:rPr>
          <w:rFonts w:ascii="Arial" w:hAnsi="Arial" w:cs="Arial"/>
        </w:rPr>
        <w:t xml:space="preserve">, S., Bikker, A., Campbell, J. </w:t>
      </w:r>
      <w:r>
        <w:rPr>
          <w:rFonts w:ascii="Arial" w:hAnsi="Arial" w:cs="Arial"/>
        </w:rPr>
        <w:t>and</w:t>
      </w:r>
      <w:r w:rsidRPr="00080139">
        <w:rPr>
          <w:rFonts w:ascii="Arial" w:hAnsi="Arial" w:cs="Arial"/>
        </w:rPr>
        <w:t xml:space="preserve"> Gibson, A. (2018) </w:t>
      </w:r>
      <w:r>
        <w:rPr>
          <w:rFonts w:ascii="Arial" w:hAnsi="Arial" w:cs="Arial"/>
        </w:rPr>
        <w:t>‘</w:t>
      </w:r>
      <w:r w:rsidRPr="00080139">
        <w:rPr>
          <w:rFonts w:ascii="Arial" w:hAnsi="Arial" w:cs="Arial"/>
        </w:rPr>
        <w:t>Alternatives to the face-to-face consultation in general practice: focused ethnographic case study</w:t>
      </w:r>
      <w:r>
        <w:rPr>
          <w:rFonts w:ascii="Arial" w:hAnsi="Arial" w:cs="Arial"/>
        </w:rPr>
        <w:t>’</w:t>
      </w:r>
      <w:r w:rsidRPr="00080139">
        <w:rPr>
          <w:rFonts w:ascii="Arial" w:hAnsi="Arial" w:cs="Arial"/>
        </w:rPr>
        <w:t xml:space="preserve">. </w:t>
      </w:r>
      <w:r w:rsidRPr="00080139">
        <w:rPr>
          <w:rFonts w:ascii="Arial" w:hAnsi="Arial" w:cs="Arial"/>
          <w:i/>
          <w:iCs/>
        </w:rPr>
        <w:t>Health Services and Delivery Research</w:t>
      </w:r>
      <w:r w:rsidRPr="00080139">
        <w:rPr>
          <w:rFonts w:ascii="Arial" w:hAnsi="Arial" w:cs="Arial"/>
        </w:rPr>
        <w:t>, 6(20), pp.1–200.</w:t>
      </w:r>
      <w:r>
        <w:rPr>
          <w:rFonts w:ascii="Arial" w:hAnsi="Arial" w:cs="Arial"/>
        </w:rPr>
        <w:t xml:space="preserve">Avaibale at: </w:t>
      </w:r>
      <w:hyperlink r:id="rId9" w:history="1">
        <w:r w:rsidRPr="00A716F3">
          <w:rPr>
            <w:rStyle w:val="Hyperlink"/>
            <w:rFonts w:ascii="Arial" w:hAnsi="Arial" w:cs="Arial"/>
          </w:rPr>
          <w:t>https://research-information.bris.ac.uk/ws</w:t>
        </w:r>
        <w:r w:rsidRPr="00A716F3">
          <w:rPr>
            <w:rStyle w:val="Hyperlink"/>
            <w:rFonts w:ascii="Arial" w:hAnsi="Arial" w:cs="Arial"/>
          </w:rPr>
          <w:t>/</w:t>
        </w:r>
        <w:r w:rsidRPr="00A716F3">
          <w:rPr>
            <w:rStyle w:val="Hyperlink"/>
            <w:rFonts w:ascii="Arial" w:hAnsi="Arial" w:cs="Arial"/>
          </w:rPr>
          <w:t>portalfiles/portal/156823098/e293.</w:t>
        </w:r>
        <w:r w:rsidRPr="00A716F3">
          <w:rPr>
            <w:rStyle w:val="Hyperlink"/>
            <w:rFonts w:ascii="Arial" w:hAnsi="Arial" w:cs="Arial"/>
          </w:rPr>
          <w:t>f</w:t>
        </w:r>
        <w:r w:rsidRPr="00A716F3">
          <w:rPr>
            <w:rStyle w:val="Hyperlink"/>
            <w:rFonts w:ascii="Arial" w:hAnsi="Arial" w:cs="Arial"/>
          </w:rPr>
          <w:t>ull.pdf</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22/02/</w:t>
      </w:r>
      <w:r w:rsidRPr="00366F9B">
        <w:rPr>
          <w:rFonts w:ascii="Arial" w:hAnsi="Arial" w:cs="Arial"/>
        </w:rPr>
        <w:t>26</w:t>
      </w:r>
      <w:r>
        <w:rPr>
          <w:rFonts w:ascii="Arial" w:hAnsi="Arial" w:cs="Arial"/>
        </w:rPr>
        <w:t>)</w:t>
      </w:r>
      <w:r w:rsidRPr="00366F9B">
        <w:rPr>
          <w:rFonts w:ascii="Arial" w:hAnsi="Arial" w:cs="Arial"/>
        </w:rPr>
        <w:t>.</w:t>
      </w:r>
      <w:r w:rsidRPr="00080139">
        <w:rPr>
          <w:rFonts w:ascii="Arial" w:hAnsi="Arial" w:cs="Arial"/>
        </w:rPr>
        <w:t xml:space="preserve"> </w:t>
      </w:r>
    </w:p>
    <w:p w14:paraId="41842CA4" w14:textId="77777777" w:rsidR="00EC2157" w:rsidRPr="00080139" w:rsidRDefault="00EC2157" w:rsidP="00080139">
      <w:pPr>
        <w:spacing w:line="360" w:lineRule="auto"/>
        <w:rPr>
          <w:rFonts w:ascii="Arial" w:hAnsi="Arial" w:cs="Arial"/>
        </w:rPr>
      </w:pPr>
      <w:r w:rsidRPr="00080139">
        <w:rPr>
          <w:rFonts w:ascii="Arial" w:hAnsi="Arial" w:cs="Arial"/>
        </w:rPr>
        <w:t xml:space="preserve">Bolli, T., </w:t>
      </w:r>
      <w:r>
        <w:rPr>
          <w:rFonts w:ascii="Arial" w:hAnsi="Arial" w:cs="Arial"/>
        </w:rPr>
        <w:t>and.</w:t>
      </w:r>
      <w:r w:rsidRPr="00080139">
        <w:rPr>
          <w:rFonts w:ascii="Arial" w:hAnsi="Arial" w:cs="Arial"/>
        </w:rPr>
        <w:t xml:space="preserve"> </w:t>
      </w:r>
      <w:proofErr w:type="spellStart"/>
      <w:r w:rsidRPr="00080139">
        <w:rPr>
          <w:rFonts w:ascii="Arial" w:hAnsi="Arial" w:cs="Arial"/>
        </w:rPr>
        <w:t>Pusterla</w:t>
      </w:r>
      <w:proofErr w:type="spellEnd"/>
      <w:r w:rsidRPr="00080139">
        <w:rPr>
          <w:rFonts w:ascii="Arial" w:hAnsi="Arial" w:cs="Arial"/>
        </w:rPr>
        <w:t xml:space="preserve">, F. (2022). </w:t>
      </w:r>
      <w:r>
        <w:rPr>
          <w:rFonts w:ascii="Arial" w:hAnsi="Arial" w:cs="Arial"/>
        </w:rPr>
        <w:t>‘</w:t>
      </w:r>
      <w:r w:rsidRPr="00080139">
        <w:rPr>
          <w:rFonts w:ascii="Arial" w:hAnsi="Arial" w:cs="Arial"/>
        </w:rPr>
        <w:t>Decomposing the effects of digitalization on workers' job satisfaction</w:t>
      </w:r>
      <w:r>
        <w:rPr>
          <w:rFonts w:ascii="Arial" w:hAnsi="Arial" w:cs="Arial"/>
        </w:rPr>
        <w:t>’</w:t>
      </w:r>
      <w:r w:rsidRPr="00080139">
        <w:rPr>
          <w:rFonts w:ascii="Arial" w:hAnsi="Arial" w:cs="Arial"/>
        </w:rPr>
        <w:t>. </w:t>
      </w:r>
      <w:r w:rsidRPr="00080139">
        <w:rPr>
          <w:rFonts w:ascii="Arial" w:hAnsi="Arial" w:cs="Arial"/>
          <w:i/>
          <w:iCs/>
        </w:rPr>
        <w:t>International review of economics</w:t>
      </w:r>
      <w:r w:rsidRPr="00080139">
        <w:rPr>
          <w:rFonts w:ascii="Arial" w:hAnsi="Arial" w:cs="Arial"/>
        </w:rPr>
        <w:t>, </w:t>
      </w:r>
      <w:r w:rsidRPr="00080139">
        <w:rPr>
          <w:rFonts w:ascii="Arial" w:hAnsi="Arial" w:cs="Arial"/>
          <w:i/>
          <w:iCs/>
        </w:rPr>
        <w:t>69</w:t>
      </w:r>
      <w:r w:rsidRPr="00080139">
        <w:rPr>
          <w:rFonts w:ascii="Arial" w:hAnsi="Arial" w:cs="Arial"/>
        </w:rPr>
        <w:t xml:space="preserve">(2), 263–300. </w:t>
      </w:r>
      <w:r>
        <w:rPr>
          <w:rFonts w:ascii="Arial" w:hAnsi="Arial" w:cs="Arial"/>
        </w:rPr>
        <w:t xml:space="preserve">Available at: </w:t>
      </w:r>
      <w:hyperlink r:id="rId10" w:history="1">
        <w:r w:rsidRPr="00A716F3">
          <w:rPr>
            <w:rStyle w:val="Hyperlink"/>
            <w:rFonts w:ascii="Arial" w:hAnsi="Arial" w:cs="Arial"/>
          </w:rPr>
          <w:t>https://doi.org/10.1007/s12232-022-0</w:t>
        </w:r>
        <w:r w:rsidRPr="00A716F3">
          <w:rPr>
            <w:rStyle w:val="Hyperlink"/>
            <w:rFonts w:ascii="Arial" w:hAnsi="Arial" w:cs="Arial"/>
          </w:rPr>
          <w:t>0</w:t>
        </w:r>
        <w:r w:rsidRPr="00A716F3">
          <w:rPr>
            <w:rStyle w:val="Hyperlink"/>
            <w:rFonts w:ascii="Arial" w:hAnsi="Arial" w:cs="Arial"/>
          </w:rPr>
          <w:t>392-6</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20</w:t>
      </w:r>
      <w:r>
        <w:rPr>
          <w:rFonts w:ascii="Arial" w:hAnsi="Arial" w:cs="Arial"/>
        </w:rPr>
        <w:t>/02/</w:t>
      </w:r>
      <w:r w:rsidRPr="00366F9B">
        <w:rPr>
          <w:rFonts w:ascii="Arial" w:hAnsi="Arial" w:cs="Arial"/>
        </w:rPr>
        <w:t>26</w:t>
      </w:r>
      <w:r>
        <w:rPr>
          <w:rFonts w:ascii="Arial" w:hAnsi="Arial" w:cs="Arial"/>
        </w:rPr>
        <w:t>)</w:t>
      </w:r>
      <w:r w:rsidRPr="00366F9B">
        <w:rPr>
          <w:rFonts w:ascii="Arial" w:hAnsi="Arial" w:cs="Arial"/>
        </w:rPr>
        <w:t>.</w:t>
      </w:r>
    </w:p>
    <w:p w14:paraId="06B16706" w14:textId="77777777" w:rsidR="00EC2157" w:rsidRPr="00080139" w:rsidRDefault="00EC2157" w:rsidP="00080139">
      <w:pPr>
        <w:spacing w:line="360" w:lineRule="auto"/>
        <w:rPr>
          <w:rFonts w:ascii="Arial" w:hAnsi="Arial" w:cs="Arial"/>
        </w:rPr>
      </w:pPr>
      <w:r w:rsidRPr="00FA342D">
        <w:rPr>
          <w:rFonts w:ascii="Arial" w:hAnsi="Arial" w:cs="Arial"/>
          <w:lang w:val="it-IT"/>
        </w:rPr>
        <w:t>‌</w:t>
      </w:r>
      <w:r w:rsidRPr="00EC2157">
        <w:rPr>
          <w:rFonts w:ascii="Arial" w:hAnsi="Arial" w:cs="Arial"/>
          <w:lang w:val="it-IT"/>
        </w:rPr>
        <w:t xml:space="preserve">Bondanini, G., Giovanelli, C., Mucci, N., </w:t>
      </w:r>
      <w:r w:rsidRPr="00EC2157">
        <w:rPr>
          <w:rFonts w:ascii="Arial" w:hAnsi="Arial" w:cs="Arial"/>
          <w:lang w:val="it-IT"/>
        </w:rPr>
        <w:t>and</w:t>
      </w:r>
      <w:r w:rsidRPr="00EC2157">
        <w:rPr>
          <w:rFonts w:ascii="Arial" w:hAnsi="Arial" w:cs="Arial"/>
          <w:lang w:val="it-IT"/>
        </w:rPr>
        <w:t xml:space="preserve"> Giorgi, G. (2025). </w:t>
      </w:r>
      <w:r>
        <w:rPr>
          <w:rFonts w:ascii="Arial" w:hAnsi="Arial" w:cs="Arial"/>
        </w:rPr>
        <w:t>‘</w:t>
      </w:r>
      <w:r w:rsidRPr="00EC2157">
        <w:rPr>
          <w:rFonts w:ascii="Arial" w:hAnsi="Arial" w:cs="Arial"/>
        </w:rPr>
        <w:t>The Dual Impact of Digital Connectivity: Balancing Productivity and Well-Being in the Modern Workplace</w:t>
      </w:r>
      <w:r>
        <w:rPr>
          <w:rFonts w:ascii="Arial" w:hAnsi="Arial" w:cs="Arial"/>
        </w:rPr>
        <w:t>’</w:t>
      </w:r>
      <w:r w:rsidRPr="00EC2157">
        <w:rPr>
          <w:rFonts w:ascii="Arial" w:hAnsi="Arial" w:cs="Arial"/>
        </w:rPr>
        <w:t>. </w:t>
      </w:r>
      <w:r w:rsidRPr="00EC2157">
        <w:rPr>
          <w:rFonts w:ascii="Arial" w:hAnsi="Arial" w:cs="Arial"/>
          <w:i/>
          <w:iCs/>
        </w:rPr>
        <w:t>International Journal of Environmental Research and Public Health</w:t>
      </w:r>
      <w:r w:rsidRPr="00EC2157">
        <w:rPr>
          <w:rFonts w:ascii="Arial" w:hAnsi="Arial" w:cs="Arial"/>
        </w:rPr>
        <w:t>, </w:t>
      </w:r>
      <w:r w:rsidRPr="00EC2157">
        <w:rPr>
          <w:rFonts w:ascii="Arial" w:hAnsi="Arial" w:cs="Arial"/>
          <w:i/>
          <w:iCs/>
        </w:rPr>
        <w:t>22</w:t>
      </w:r>
      <w:r w:rsidRPr="00EC2157">
        <w:rPr>
          <w:rFonts w:ascii="Arial" w:hAnsi="Arial" w:cs="Arial"/>
        </w:rPr>
        <w:t xml:space="preserve">(6), 845. </w:t>
      </w:r>
      <w:r>
        <w:rPr>
          <w:rFonts w:ascii="Arial" w:hAnsi="Arial" w:cs="Arial"/>
        </w:rPr>
        <w:t xml:space="preserve"> </w:t>
      </w:r>
      <w:proofErr w:type="spellStart"/>
      <w:r>
        <w:rPr>
          <w:rFonts w:ascii="Arial" w:hAnsi="Arial" w:cs="Arial"/>
        </w:rPr>
        <w:t>Availabel</w:t>
      </w:r>
      <w:proofErr w:type="spellEnd"/>
      <w:r>
        <w:rPr>
          <w:rFonts w:ascii="Arial" w:hAnsi="Arial" w:cs="Arial"/>
        </w:rPr>
        <w:t xml:space="preserve"> at: </w:t>
      </w:r>
      <w:hyperlink r:id="rId11" w:history="1">
        <w:r w:rsidRPr="00A716F3">
          <w:rPr>
            <w:rStyle w:val="Hyperlink"/>
            <w:rFonts w:ascii="Arial" w:hAnsi="Arial" w:cs="Arial"/>
          </w:rPr>
          <w:t>https://doi.org/10.3390/ijerph22060845</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21/02/</w:t>
      </w:r>
      <w:r w:rsidRPr="00366F9B">
        <w:rPr>
          <w:rFonts w:ascii="Arial" w:hAnsi="Arial" w:cs="Arial"/>
        </w:rPr>
        <w:t>26</w:t>
      </w:r>
      <w:r>
        <w:rPr>
          <w:rFonts w:ascii="Arial" w:hAnsi="Arial" w:cs="Arial"/>
        </w:rPr>
        <w:t>)</w:t>
      </w:r>
      <w:r w:rsidRPr="00366F9B">
        <w:rPr>
          <w:rFonts w:ascii="Arial" w:hAnsi="Arial" w:cs="Arial"/>
        </w:rPr>
        <w:t>.</w:t>
      </w:r>
      <w:r w:rsidRPr="00080139">
        <w:rPr>
          <w:rFonts w:ascii="Arial" w:hAnsi="Arial" w:cs="Arial"/>
        </w:rPr>
        <w:t xml:space="preserve"> </w:t>
      </w:r>
      <w:r>
        <w:rPr>
          <w:rFonts w:ascii="Arial" w:hAnsi="Arial" w:cs="Arial"/>
        </w:rPr>
        <w:t xml:space="preserve"> </w:t>
      </w:r>
    </w:p>
    <w:p w14:paraId="5ECA03AE" w14:textId="77777777" w:rsidR="00EC2157" w:rsidRPr="00080139" w:rsidRDefault="00EC2157" w:rsidP="00080139">
      <w:pPr>
        <w:spacing w:line="360" w:lineRule="auto"/>
        <w:rPr>
          <w:rFonts w:ascii="Arial" w:hAnsi="Arial" w:cs="Arial"/>
        </w:rPr>
      </w:pPr>
      <w:r w:rsidRPr="00080139">
        <w:rPr>
          <w:rFonts w:ascii="Arial" w:hAnsi="Arial" w:cs="Arial"/>
        </w:rPr>
        <w:t xml:space="preserve">Campbell, J., Atherton, H., Abel, G., </w:t>
      </w:r>
      <w:r>
        <w:rPr>
          <w:rFonts w:ascii="Arial" w:hAnsi="Arial" w:cs="Arial"/>
        </w:rPr>
        <w:t>and</w:t>
      </w:r>
      <w:r w:rsidRPr="00080139">
        <w:rPr>
          <w:rFonts w:ascii="Arial" w:hAnsi="Arial" w:cs="Arial"/>
        </w:rPr>
        <w:t xml:space="preserve"> Sussex, J. (2024). </w:t>
      </w:r>
      <w:r>
        <w:rPr>
          <w:rFonts w:ascii="Arial" w:hAnsi="Arial" w:cs="Arial"/>
        </w:rPr>
        <w:t>‘</w:t>
      </w:r>
      <w:r w:rsidRPr="00080139">
        <w:rPr>
          <w:rFonts w:ascii="Arial" w:hAnsi="Arial" w:cs="Arial"/>
        </w:rPr>
        <w:t>Digital facilitation: supporting the use of NHS digital and online services</w:t>
      </w:r>
      <w:r>
        <w:rPr>
          <w:rFonts w:ascii="Arial" w:hAnsi="Arial" w:cs="Arial"/>
        </w:rPr>
        <w:t>’</w:t>
      </w:r>
      <w:r w:rsidRPr="00080139">
        <w:rPr>
          <w:rFonts w:ascii="Arial" w:hAnsi="Arial" w:cs="Arial"/>
        </w:rPr>
        <w:t>. </w:t>
      </w:r>
      <w:r w:rsidRPr="00080139">
        <w:rPr>
          <w:rFonts w:ascii="Arial" w:hAnsi="Arial" w:cs="Arial"/>
          <w:i/>
          <w:iCs/>
        </w:rPr>
        <w:t>The British journal of general practice : the journal of the Royal College of General Practitioners</w:t>
      </w:r>
      <w:r w:rsidRPr="00080139">
        <w:rPr>
          <w:rFonts w:ascii="Arial" w:hAnsi="Arial" w:cs="Arial"/>
        </w:rPr>
        <w:t>, </w:t>
      </w:r>
      <w:r w:rsidRPr="00080139">
        <w:rPr>
          <w:rFonts w:ascii="Arial" w:hAnsi="Arial" w:cs="Arial"/>
          <w:i/>
          <w:iCs/>
        </w:rPr>
        <w:t>74</w:t>
      </w:r>
      <w:r w:rsidRPr="00080139">
        <w:rPr>
          <w:rFonts w:ascii="Arial" w:hAnsi="Arial" w:cs="Arial"/>
        </w:rPr>
        <w:t xml:space="preserve">(741), 150–151. </w:t>
      </w:r>
      <w:r>
        <w:rPr>
          <w:rFonts w:ascii="Arial" w:hAnsi="Arial" w:cs="Arial"/>
        </w:rPr>
        <w:t xml:space="preserve">Available at: </w:t>
      </w:r>
      <w:hyperlink r:id="rId12" w:history="1">
        <w:r w:rsidRPr="00A716F3">
          <w:rPr>
            <w:rStyle w:val="Hyperlink"/>
            <w:rFonts w:ascii="Arial" w:hAnsi="Arial" w:cs="Arial"/>
          </w:rPr>
          <w:t>https://doi.org/10.3399/bjgp24X</w:t>
        </w:r>
        <w:r w:rsidRPr="00A716F3">
          <w:rPr>
            <w:rStyle w:val="Hyperlink"/>
            <w:rFonts w:ascii="Arial" w:hAnsi="Arial" w:cs="Arial"/>
          </w:rPr>
          <w:t>7</w:t>
        </w:r>
        <w:r w:rsidRPr="00A716F3">
          <w:rPr>
            <w:rStyle w:val="Hyperlink"/>
            <w:rFonts w:ascii="Arial" w:hAnsi="Arial" w:cs="Arial"/>
          </w:rPr>
          <w:t>36749</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20/02/</w:t>
      </w:r>
      <w:r w:rsidRPr="00366F9B">
        <w:rPr>
          <w:rFonts w:ascii="Arial" w:hAnsi="Arial" w:cs="Arial"/>
        </w:rPr>
        <w:t>26</w:t>
      </w:r>
      <w:r>
        <w:rPr>
          <w:rFonts w:ascii="Arial" w:hAnsi="Arial" w:cs="Arial"/>
        </w:rPr>
        <w:t>)</w:t>
      </w:r>
      <w:r w:rsidRPr="00366F9B">
        <w:rPr>
          <w:rFonts w:ascii="Arial" w:hAnsi="Arial" w:cs="Arial"/>
        </w:rPr>
        <w:t>.</w:t>
      </w:r>
    </w:p>
    <w:p w14:paraId="06FC1463" w14:textId="77777777" w:rsidR="00EC2157" w:rsidRPr="00E31DE7" w:rsidRDefault="00EC2157" w:rsidP="00080139">
      <w:pPr>
        <w:spacing w:line="360" w:lineRule="auto"/>
        <w:rPr>
          <w:rFonts w:ascii="Arial" w:hAnsi="Arial" w:cs="Arial"/>
        </w:rPr>
      </w:pPr>
      <w:r w:rsidRPr="00E31DE7">
        <w:rPr>
          <w:rFonts w:ascii="Arial" w:hAnsi="Arial" w:cs="Arial"/>
        </w:rPr>
        <w:t xml:space="preserve">Department of Health and Social Care  (2022) </w:t>
      </w:r>
      <w:r w:rsidRPr="00E31DE7">
        <w:rPr>
          <w:rFonts w:ascii="Arial" w:hAnsi="Arial" w:cs="Arial"/>
          <w:i/>
          <w:iCs/>
        </w:rPr>
        <w:t>Data security and protection guidance</w:t>
      </w:r>
      <w:r w:rsidRPr="00E31DE7">
        <w:rPr>
          <w:rFonts w:ascii="Arial" w:hAnsi="Arial" w:cs="Arial"/>
        </w:rPr>
        <w:t xml:space="preserve">. London: Department of Health and Social Care. Available at: </w:t>
      </w:r>
      <w:hyperlink r:id="rId13" w:history="1">
        <w:r w:rsidRPr="00080139">
          <w:rPr>
            <w:rStyle w:val="Hyperlink"/>
            <w:rFonts w:ascii="Arial" w:hAnsi="Arial" w:cs="Arial"/>
          </w:rPr>
          <w:t>https://</w:t>
        </w:r>
        <w:r w:rsidRPr="00080139">
          <w:rPr>
            <w:rStyle w:val="Hyperlink"/>
            <w:rFonts w:ascii="Arial" w:hAnsi="Arial" w:cs="Arial"/>
          </w:rPr>
          <w:t>w</w:t>
        </w:r>
        <w:r w:rsidRPr="00080139">
          <w:rPr>
            <w:rStyle w:val="Hyperlink"/>
            <w:rFonts w:ascii="Arial" w:hAnsi="Arial" w:cs="Arial"/>
          </w:rPr>
          <w:t>ww.gov.uk/government/publications/secure-data-environment-policy-guidelines/secure-d</w:t>
        </w:r>
        <w:r w:rsidRPr="00080139">
          <w:rPr>
            <w:rStyle w:val="Hyperlink"/>
            <w:rFonts w:ascii="Arial" w:hAnsi="Arial" w:cs="Arial"/>
          </w:rPr>
          <w:t>a</w:t>
        </w:r>
        <w:r w:rsidRPr="00080139">
          <w:rPr>
            <w:rStyle w:val="Hyperlink"/>
            <w:rFonts w:ascii="Arial" w:hAnsi="Arial" w:cs="Arial"/>
          </w:rPr>
          <w:t>ta-environment-for-nhs-health-and-social-care-data-policy-guidelines</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20/02/</w:t>
      </w:r>
      <w:r w:rsidRPr="00366F9B">
        <w:rPr>
          <w:rFonts w:ascii="Arial" w:hAnsi="Arial" w:cs="Arial"/>
        </w:rPr>
        <w:t>26</w:t>
      </w:r>
      <w:r>
        <w:rPr>
          <w:rFonts w:ascii="Arial" w:hAnsi="Arial" w:cs="Arial"/>
        </w:rPr>
        <w:t>)</w:t>
      </w:r>
      <w:r w:rsidRPr="00366F9B">
        <w:rPr>
          <w:rFonts w:ascii="Arial" w:hAnsi="Arial" w:cs="Arial"/>
        </w:rPr>
        <w:t>.</w:t>
      </w:r>
      <w:r w:rsidRPr="00080139">
        <w:rPr>
          <w:rFonts w:ascii="Arial" w:hAnsi="Arial" w:cs="Arial"/>
        </w:rPr>
        <w:t xml:space="preserve"> </w:t>
      </w:r>
    </w:p>
    <w:p w14:paraId="0FA6DC34" w14:textId="77777777" w:rsidR="00EC2157" w:rsidRPr="00E31DE7" w:rsidRDefault="00EC2157" w:rsidP="00080139">
      <w:pPr>
        <w:spacing w:line="360" w:lineRule="auto"/>
        <w:rPr>
          <w:rFonts w:ascii="Arial" w:hAnsi="Arial" w:cs="Arial"/>
        </w:rPr>
      </w:pPr>
      <w:r w:rsidRPr="00E31DE7">
        <w:rPr>
          <w:rFonts w:ascii="Arial" w:hAnsi="Arial" w:cs="Arial"/>
        </w:rPr>
        <w:t xml:space="preserve">Department of Health and Social Care (2022) </w:t>
      </w:r>
      <w:r w:rsidRPr="00E31DE7">
        <w:rPr>
          <w:rFonts w:ascii="Arial" w:hAnsi="Arial" w:cs="Arial"/>
          <w:i/>
          <w:iCs/>
        </w:rPr>
        <w:t>A plan for digital health and social care</w:t>
      </w:r>
      <w:r w:rsidRPr="00E31DE7">
        <w:rPr>
          <w:rFonts w:ascii="Arial" w:hAnsi="Arial" w:cs="Arial"/>
        </w:rPr>
        <w:t xml:space="preserve">. London: DHSC. Available at: </w:t>
      </w:r>
      <w:hyperlink r:id="rId14" w:history="1">
        <w:r w:rsidRPr="00080139">
          <w:rPr>
            <w:rStyle w:val="Hyperlink"/>
            <w:rFonts w:ascii="Arial" w:hAnsi="Arial" w:cs="Arial"/>
          </w:rPr>
          <w:t>https://www.gov.uk/government/publications/a-plan-for-digital-health-and-social-ca</w:t>
        </w:r>
        <w:r w:rsidRPr="00080139">
          <w:rPr>
            <w:rStyle w:val="Hyperlink"/>
            <w:rFonts w:ascii="Arial" w:hAnsi="Arial" w:cs="Arial"/>
          </w:rPr>
          <w:t>r</w:t>
        </w:r>
        <w:r w:rsidRPr="00080139">
          <w:rPr>
            <w:rStyle w:val="Hyperlink"/>
            <w:rFonts w:ascii="Arial" w:hAnsi="Arial" w:cs="Arial"/>
          </w:rPr>
          <w:t>e/a-plan-for-</w:t>
        </w:r>
        <w:r w:rsidRPr="00080139">
          <w:rPr>
            <w:rStyle w:val="Hyperlink"/>
            <w:rFonts w:ascii="Arial" w:hAnsi="Arial" w:cs="Arial"/>
          </w:rPr>
          <w:t>d</w:t>
        </w:r>
        <w:r w:rsidRPr="00080139">
          <w:rPr>
            <w:rStyle w:val="Hyperlink"/>
            <w:rFonts w:ascii="Arial" w:hAnsi="Arial" w:cs="Arial"/>
          </w:rPr>
          <w:t>igital-health-and-social-care</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22</w:t>
      </w:r>
      <w:r>
        <w:rPr>
          <w:rFonts w:ascii="Arial" w:hAnsi="Arial" w:cs="Arial"/>
        </w:rPr>
        <w:t>/02/</w:t>
      </w:r>
      <w:r w:rsidRPr="00366F9B">
        <w:rPr>
          <w:rFonts w:ascii="Arial" w:hAnsi="Arial" w:cs="Arial"/>
        </w:rPr>
        <w:t>26</w:t>
      </w:r>
      <w:r>
        <w:rPr>
          <w:rFonts w:ascii="Arial" w:hAnsi="Arial" w:cs="Arial"/>
        </w:rPr>
        <w:t>)</w:t>
      </w:r>
      <w:r w:rsidRPr="00366F9B">
        <w:rPr>
          <w:rFonts w:ascii="Arial" w:hAnsi="Arial" w:cs="Arial"/>
        </w:rPr>
        <w:t>.</w:t>
      </w:r>
      <w:r w:rsidRPr="00080139">
        <w:rPr>
          <w:rFonts w:ascii="Arial" w:hAnsi="Arial" w:cs="Arial"/>
        </w:rPr>
        <w:t xml:space="preserve"> </w:t>
      </w:r>
    </w:p>
    <w:p w14:paraId="0F5A8040" w14:textId="77777777" w:rsidR="00EC2157" w:rsidRPr="00080139" w:rsidRDefault="00EC2157" w:rsidP="00080139">
      <w:pPr>
        <w:spacing w:line="360" w:lineRule="auto"/>
        <w:rPr>
          <w:rFonts w:ascii="Arial" w:hAnsi="Arial" w:cs="Arial"/>
        </w:rPr>
      </w:pPr>
      <w:r w:rsidRPr="00080139">
        <w:rPr>
          <w:rFonts w:ascii="Arial" w:hAnsi="Arial" w:cs="Arial"/>
        </w:rPr>
        <w:t>Fang, M</w:t>
      </w:r>
      <w:r>
        <w:rPr>
          <w:rFonts w:ascii="Arial" w:hAnsi="Arial" w:cs="Arial"/>
        </w:rPr>
        <w:t>,</w:t>
      </w:r>
      <w:r w:rsidRPr="00080139">
        <w:rPr>
          <w:rFonts w:ascii="Arial" w:hAnsi="Arial" w:cs="Arial"/>
        </w:rPr>
        <w:t xml:space="preserve"> L., Walker, M., Wong, K</w:t>
      </w:r>
      <w:r>
        <w:rPr>
          <w:rFonts w:ascii="Arial" w:hAnsi="Arial" w:cs="Arial"/>
        </w:rPr>
        <w:t>,</w:t>
      </w:r>
      <w:r w:rsidRPr="00080139">
        <w:rPr>
          <w:rFonts w:ascii="Arial" w:hAnsi="Arial" w:cs="Arial"/>
        </w:rPr>
        <w:t xml:space="preserve"> L</w:t>
      </w:r>
      <w:r>
        <w:rPr>
          <w:rFonts w:ascii="Arial" w:hAnsi="Arial" w:cs="Arial"/>
        </w:rPr>
        <w:t>,</w:t>
      </w:r>
      <w:r w:rsidRPr="00080139">
        <w:rPr>
          <w:rFonts w:ascii="Arial" w:hAnsi="Arial" w:cs="Arial"/>
        </w:rPr>
        <w:t xml:space="preserve"> Y., Sixsmith, J., Remund, L., </w:t>
      </w:r>
      <w:r>
        <w:rPr>
          <w:rFonts w:ascii="Arial" w:hAnsi="Arial" w:cs="Arial"/>
        </w:rPr>
        <w:t>and</w:t>
      </w:r>
      <w:r w:rsidRPr="00080139">
        <w:rPr>
          <w:rFonts w:ascii="Arial" w:hAnsi="Arial" w:cs="Arial"/>
        </w:rPr>
        <w:t xml:space="preserve"> Sixsmith, A. (2022). </w:t>
      </w:r>
      <w:r>
        <w:rPr>
          <w:rFonts w:ascii="Arial" w:hAnsi="Arial" w:cs="Arial"/>
        </w:rPr>
        <w:t>‘</w:t>
      </w:r>
      <w:r w:rsidRPr="00080139">
        <w:rPr>
          <w:rFonts w:ascii="Arial" w:hAnsi="Arial" w:cs="Arial"/>
        </w:rPr>
        <w:t>Future of digital health and community care: Exploring intended positive impacts and unintended negative consequences of COVID-19</w:t>
      </w:r>
      <w:r>
        <w:rPr>
          <w:rFonts w:ascii="Arial" w:hAnsi="Arial" w:cs="Arial"/>
        </w:rPr>
        <w:t>’</w:t>
      </w:r>
      <w:r w:rsidRPr="00080139">
        <w:rPr>
          <w:rFonts w:ascii="Arial" w:hAnsi="Arial" w:cs="Arial"/>
        </w:rPr>
        <w:t>. </w:t>
      </w:r>
      <w:r w:rsidRPr="00080139">
        <w:rPr>
          <w:rFonts w:ascii="Arial" w:hAnsi="Arial" w:cs="Arial"/>
          <w:i/>
          <w:iCs/>
        </w:rPr>
        <w:t>Healthcare management forum</w:t>
      </w:r>
      <w:r w:rsidRPr="00080139">
        <w:rPr>
          <w:rFonts w:ascii="Arial" w:hAnsi="Arial" w:cs="Arial"/>
        </w:rPr>
        <w:t>, </w:t>
      </w:r>
      <w:r w:rsidRPr="00080139">
        <w:rPr>
          <w:rFonts w:ascii="Arial" w:hAnsi="Arial" w:cs="Arial"/>
          <w:i/>
          <w:iCs/>
        </w:rPr>
        <w:t>35</w:t>
      </w:r>
      <w:r w:rsidRPr="00080139">
        <w:rPr>
          <w:rFonts w:ascii="Arial" w:hAnsi="Arial" w:cs="Arial"/>
        </w:rPr>
        <w:t>(5), 279–285.</w:t>
      </w:r>
      <w:r>
        <w:rPr>
          <w:rFonts w:ascii="Arial" w:hAnsi="Arial" w:cs="Arial"/>
        </w:rPr>
        <w:t xml:space="preserve"> Available at: </w:t>
      </w:r>
      <w:hyperlink r:id="rId15" w:history="1">
        <w:r w:rsidRPr="00080139">
          <w:rPr>
            <w:rStyle w:val="Hyperlink"/>
            <w:rFonts w:ascii="Arial" w:hAnsi="Arial" w:cs="Arial"/>
          </w:rPr>
          <w:t>https://doi.org/10.1177/08404704221107362</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21</w:t>
      </w:r>
      <w:r>
        <w:rPr>
          <w:rFonts w:ascii="Arial" w:hAnsi="Arial" w:cs="Arial"/>
        </w:rPr>
        <w:t>/02/</w:t>
      </w:r>
      <w:r w:rsidRPr="00366F9B">
        <w:rPr>
          <w:rFonts w:ascii="Arial" w:hAnsi="Arial" w:cs="Arial"/>
        </w:rPr>
        <w:t>26</w:t>
      </w:r>
      <w:r>
        <w:rPr>
          <w:rFonts w:ascii="Arial" w:hAnsi="Arial" w:cs="Arial"/>
        </w:rPr>
        <w:t>)</w:t>
      </w:r>
      <w:r w:rsidRPr="00366F9B">
        <w:rPr>
          <w:rFonts w:ascii="Arial" w:hAnsi="Arial" w:cs="Arial"/>
        </w:rPr>
        <w:t>.</w:t>
      </w:r>
      <w:r w:rsidRPr="00080139">
        <w:rPr>
          <w:rFonts w:ascii="Arial" w:hAnsi="Arial" w:cs="Arial"/>
        </w:rPr>
        <w:t xml:space="preserve"> </w:t>
      </w:r>
    </w:p>
    <w:p w14:paraId="1DF6C40F" w14:textId="77777777" w:rsidR="00EC2157" w:rsidRPr="005E6C03" w:rsidRDefault="00EC2157" w:rsidP="00080139">
      <w:pPr>
        <w:spacing w:line="360" w:lineRule="auto"/>
        <w:rPr>
          <w:rFonts w:ascii="Arial" w:hAnsi="Arial" w:cs="Arial"/>
        </w:rPr>
      </w:pPr>
      <w:r w:rsidRPr="005E6C03">
        <w:rPr>
          <w:rFonts w:ascii="Arial" w:hAnsi="Arial" w:cs="Arial"/>
        </w:rPr>
        <w:lastRenderedPageBreak/>
        <w:t xml:space="preserve">Hardie , T., Hall , J., Fozzard , K. and Watt, A. (2025). </w:t>
      </w:r>
      <w:r w:rsidRPr="005E6C03">
        <w:rPr>
          <w:rFonts w:ascii="Arial" w:hAnsi="Arial" w:cs="Arial"/>
          <w:i/>
          <w:iCs/>
        </w:rPr>
        <w:t>Digitising the NHS and adult social care</w:t>
      </w:r>
      <w:r w:rsidRPr="005E6C03">
        <w:rPr>
          <w:rFonts w:ascii="Arial" w:hAnsi="Arial" w:cs="Arial"/>
        </w:rPr>
        <w:t xml:space="preserve">. [online] The Health Foundation. Available at: </w:t>
      </w:r>
      <w:hyperlink r:id="rId16" w:history="1">
        <w:r w:rsidRPr="005E6C03">
          <w:rPr>
            <w:rStyle w:val="Hyperlink"/>
            <w:rFonts w:ascii="Arial" w:hAnsi="Arial" w:cs="Arial"/>
          </w:rPr>
          <w:t>https://www.health.org.uk/reports-and-analysis/analysis/digitising-the-nhs-and-adult-social-care-what-could-it-cost</w:t>
        </w:r>
      </w:hyperlink>
      <w:r w:rsidRPr="005E6C03">
        <w:rPr>
          <w:rFonts w:ascii="Arial" w:hAnsi="Arial" w:cs="Arial"/>
        </w:rPr>
        <w:t>.</w:t>
      </w:r>
      <w:r w:rsidRPr="00080139">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22</w:t>
      </w:r>
      <w:r>
        <w:rPr>
          <w:rFonts w:ascii="Arial" w:hAnsi="Arial" w:cs="Arial"/>
        </w:rPr>
        <w:t>/02/</w:t>
      </w:r>
      <w:r w:rsidRPr="00366F9B">
        <w:rPr>
          <w:rFonts w:ascii="Arial" w:hAnsi="Arial" w:cs="Arial"/>
        </w:rPr>
        <w:t>26</w:t>
      </w:r>
      <w:r>
        <w:rPr>
          <w:rFonts w:ascii="Arial" w:hAnsi="Arial" w:cs="Arial"/>
        </w:rPr>
        <w:t>)</w:t>
      </w:r>
      <w:r w:rsidRPr="00366F9B">
        <w:rPr>
          <w:rFonts w:ascii="Arial" w:hAnsi="Arial" w:cs="Arial"/>
        </w:rPr>
        <w:t>.</w:t>
      </w:r>
      <w:r w:rsidRPr="00080139">
        <w:rPr>
          <w:rFonts w:ascii="Arial" w:hAnsi="Arial" w:cs="Arial"/>
        </w:rPr>
        <w:t xml:space="preserve"> </w:t>
      </w:r>
    </w:p>
    <w:p w14:paraId="1C903AA5" w14:textId="3DE5F028" w:rsidR="00EC2157" w:rsidRPr="000A4123" w:rsidRDefault="00EC2157" w:rsidP="00080139">
      <w:pPr>
        <w:spacing w:line="360" w:lineRule="auto"/>
        <w:rPr>
          <w:rFonts w:ascii="Arial" w:hAnsi="Arial" w:cs="Arial"/>
        </w:rPr>
      </w:pPr>
      <w:proofErr w:type="spellStart"/>
      <w:r w:rsidRPr="00080139">
        <w:rPr>
          <w:rFonts w:ascii="Arial" w:hAnsi="Arial" w:cs="Arial"/>
        </w:rPr>
        <w:t>Manuti</w:t>
      </w:r>
      <w:proofErr w:type="spellEnd"/>
      <w:r w:rsidRPr="00080139">
        <w:rPr>
          <w:rFonts w:ascii="Arial" w:hAnsi="Arial" w:cs="Arial"/>
        </w:rPr>
        <w:t xml:space="preserve">, A., Pastore, S., Scardigno, A.F., Giancaspro, M.L. and Morciano, D. (2015), </w:t>
      </w:r>
      <w:r>
        <w:rPr>
          <w:rFonts w:ascii="Arial" w:hAnsi="Arial" w:cs="Arial"/>
        </w:rPr>
        <w:t>‘</w:t>
      </w:r>
      <w:r w:rsidRPr="00080139">
        <w:rPr>
          <w:rFonts w:ascii="Arial" w:hAnsi="Arial" w:cs="Arial"/>
        </w:rPr>
        <w:t>Formal and informal learning in the workplace</w:t>
      </w:r>
      <w:r>
        <w:rPr>
          <w:rFonts w:ascii="Arial" w:hAnsi="Arial" w:cs="Arial"/>
        </w:rPr>
        <w:t>’</w:t>
      </w:r>
      <w:r w:rsidRPr="00080139">
        <w:rPr>
          <w:rFonts w:ascii="Arial" w:hAnsi="Arial" w:cs="Arial"/>
        </w:rPr>
        <w:t xml:space="preserve">. </w:t>
      </w:r>
      <w:r w:rsidRPr="00EC2157">
        <w:rPr>
          <w:rFonts w:ascii="Arial" w:hAnsi="Arial" w:cs="Arial"/>
          <w:i/>
          <w:iCs/>
        </w:rPr>
        <w:t>International Journal of Training and Development,</w:t>
      </w:r>
      <w:r w:rsidRPr="00080139">
        <w:rPr>
          <w:rFonts w:ascii="Arial" w:hAnsi="Arial" w:cs="Arial"/>
        </w:rPr>
        <w:t xml:space="preserve"> 19: 1-17. </w:t>
      </w:r>
      <w:r>
        <w:rPr>
          <w:rFonts w:ascii="Arial" w:hAnsi="Arial" w:cs="Arial"/>
        </w:rPr>
        <w:t xml:space="preserve">Available at: </w:t>
      </w:r>
      <w:hyperlink r:id="rId17" w:history="1">
        <w:r w:rsidRPr="00A716F3">
          <w:rPr>
            <w:rStyle w:val="Hyperlink"/>
            <w:rFonts w:ascii="Arial" w:hAnsi="Arial" w:cs="Arial"/>
          </w:rPr>
          <w:t>https://doi.org/10.1111/ijtd.12044</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22/02/</w:t>
      </w:r>
      <w:r w:rsidRPr="00366F9B">
        <w:rPr>
          <w:rFonts w:ascii="Arial" w:hAnsi="Arial" w:cs="Arial"/>
        </w:rPr>
        <w:t>26</w:t>
      </w:r>
      <w:r>
        <w:rPr>
          <w:rFonts w:ascii="Arial" w:hAnsi="Arial" w:cs="Arial"/>
        </w:rPr>
        <w:t>)</w:t>
      </w:r>
      <w:r w:rsidRPr="00366F9B">
        <w:rPr>
          <w:rFonts w:ascii="Arial" w:hAnsi="Arial" w:cs="Arial"/>
        </w:rPr>
        <w:t>.</w:t>
      </w:r>
      <w:r w:rsidRPr="00080139">
        <w:rPr>
          <w:rFonts w:ascii="Arial" w:hAnsi="Arial" w:cs="Arial"/>
        </w:rPr>
        <w:t xml:space="preserve"> </w:t>
      </w:r>
    </w:p>
    <w:p w14:paraId="64269F2F" w14:textId="77777777" w:rsidR="00EC2157" w:rsidRDefault="00EC2157" w:rsidP="00EC2157">
      <w:pPr>
        <w:spacing w:line="360" w:lineRule="auto"/>
        <w:rPr>
          <w:rFonts w:ascii="Arial" w:hAnsi="Arial" w:cs="Arial"/>
        </w:rPr>
      </w:pPr>
      <w:r w:rsidRPr="00EC2157">
        <w:rPr>
          <w:rFonts w:ascii="Arial" w:hAnsi="Arial" w:cs="Arial"/>
        </w:rPr>
        <w:t>Marsh</w:t>
      </w:r>
      <w:r>
        <w:rPr>
          <w:rFonts w:ascii="Arial" w:hAnsi="Arial" w:cs="Arial"/>
        </w:rPr>
        <w:t>,</w:t>
      </w:r>
      <w:r w:rsidRPr="00EC2157">
        <w:rPr>
          <w:rFonts w:ascii="Arial" w:hAnsi="Arial" w:cs="Arial"/>
        </w:rPr>
        <w:t xml:space="preserve"> E</w:t>
      </w:r>
      <w:r>
        <w:rPr>
          <w:rFonts w:ascii="Arial" w:hAnsi="Arial" w:cs="Arial"/>
        </w:rPr>
        <w:t>.</w:t>
      </w:r>
      <w:r w:rsidRPr="00EC2157">
        <w:rPr>
          <w:rFonts w:ascii="Arial" w:hAnsi="Arial" w:cs="Arial"/>
        </w:rPr>
        <w:t>, E</w:t>
      </w:r>
      <w:r>
        <w:rPr>
          <w:rFonts w:ascii="Arial" w:hAnsi="Arial" w:cs="Arial"/>
        </w:rPr>
        <w:t>,</w:t>
      </w:r>
      <w:r w:rsidRPr="00EC2157">
        <w:rPr>
          <w:rFonts w:ascii="Arial" w:hAnsi="Arial" w:cs="Arial"/>
        </w:rPr>
        <w:t xml:space="preserve"> P</w:t>
      </w:r>
      <w:r>
        <w:rPr>
          <w:rFonts w:ascii="Arial" w:hAnsi="Arial" w:cs="Arial"/>
        </w:rPr>
        <w:t>,</w:t>
      </w:r>
      <w:r w:rsidRPr="00EC2157">
        <w:rPr>
          <w:rFonts w:ascii="Arial" w:hAnsi="Arial" w:cs="Arial"/>
        </w:rPr>
        <w:t xml:space="preserve"> Vallejos</w:t>
      </w:r>
      <w:r>
        <w:rPr>
          <w:rFonts w:ascii="Arial" w:hAnsi="Arial" w:cs="Arial"/>
        </w:rPr>
        <w:t>.,</w:t>
      </w:r>
      <w:r w:rsidRPr="00EC2157">
        <w:rPr>
          <w:rFonts w:ascii="Arial" w:hAnsi="Arial" w:cs="Arial"/>
        </w:rPr>
        <w:t xml:space="preserve"> and Spence</w:t>
      </w:r>
      <w:r>
        <w:rPr>
          <w:rFonts w:ascii="Arial" w:hAnsi="Arial" w:cs="Arial"/>
        </w:rPr>
        <w:t>,</w:t>
      </w:r>
      <w:r w:rsidRPr="00EC2157">
        <w:rPr>
          <w:rFonts w:ascii="Arial" w:hAnsi="Arial" w:cs="Arial"/>
        </w:rPr>
        <w:t xml:space="preserve"> A (2024)</w:t>
      </w:r>
      <w:r>
        <w:rPr>
          <w:rFonts w:ascii="Arial" w:hAnsi="Arial" w:cs="Arial"/>
        </w:rPr>
        <w:t>.</w:t>
      </w:r>
      <w:r w:rsidRPr="00EC2157">
        <w:rPr>
          <w:rFonts w:ascii="Arial" w:hAnsi="Arial" w:cs="Arial"/>
        </w:rPr>
        <w:t xml:space="preserve"> </w:t>
      </w:r>
      <w:r>
        <w:rPr>
          <w:rFonts w:ascii="Arial" w:hAnsi="Arial" w:cs="Arial"/>
        </w:rPr>
        <w:t>‘</w:t>
      </w:r>
      <w:r w:rsidRPr="00EC2157">
        <w:rPr>
          <w:rFonts w:ascii="Arial" w:hAnsi="Arial" w:cs="Arial"/>
        </w:rPr>
        <w:t>Digital workplace technology intensity: qualitative insights on employee wellbeing impacts of digital workplace job demands</w:t>
      </w:r>
      <w:r>
        <w:rPr>
          <w:rFonts w:ascii="Arial" w:hAnsi="Arial" w:cs="Arial"/>
        </w:rPr>
        <w:t>’</w:t>
      </w:r>
      <w:r w:rsidRPr="00EC2157">
        <w:rPr>
          <w:rFonts w:ascii="Arial" w:hAnsi="Arial" w:cs="Arial"/>
        </w:rPr>
        <w:t xml:space="preserve">. </w:t>
      </w:r>
      <w:r w:rsidRPr="00813BBB">
        <w:rPr>
          <w:rFonts w:ascii="Arial" w:hAnsi="Arial" w:cs="Arial"/>
          <w:i/>
          <w:iCs/>
        </w:rPr>
        <w:t>Frontiers in Organizational Psychology</w:t>
      </w:r>
      <w:r>
        <w:rPr>
          <w:rFonts w:ascii="Arial" w:hAnsi="Arial" w:cs="Arial"/>
        </w:rPr>
        <w:t>. (</w:t>
      </w:r>
      <w:r w:rsidRPr="00EC2157">
        <w:rPr>
          <w:rFonts w:ascii="Arial" w:hAnsi="Arial" w:cs="Arial"/>
        </w:rPr>
        <w:t>2</w:t>
      </w:r>
      <w:r>
        <w:rPr>
          <w:rFonts w:ascii="Arial" w:hAnsi="Arial" w:cs="Arial"/>
        </w:rPr>
        <w:t xml:space="preserve">) </w:t>
      </w:r>
      <w:r w:rsidRPr="00EC2157">
        <w:rPr>
          <w:rFonts w:ascii="Arial" w:hAnsi="Arial" w:cs="Arial"/>
        </w:rPr>
        <w:t xml:space="preserve">1392997. </w:t>
      </w:r>
      <w:r>
        <w:rPr>
          <w:rFonts w:ascii="Arial" w:hAnsi="Arial" w:cs="Arial"/>
        </w:rPr>
        <w:t>Available at</w:t>
      </w:r>
      <w:r w:rsidRPr="00EC2157">
        <w:rPr>
          <w:rFonts w:ascii="Arial" w:hAnsi="Arial" w:cs="Arial"/>
        </w:rPr>
        <w:t>:</w:t>
      </w:r>
      <w:r>
        <w:rPr>
          <w:rFonts w:ascii="Arial" w:hAnsi="Arial" w:cs="Arial"/>
        </w:rPr>
        <w:t xml:space="preserve"> </w:t>
      </w:r>
      <w:hyperlink r:id="rId18" w:tgtFrame="_blank" w:history="1">
        <w:r w:rsidRPr="00813BBB">
          <w:rPr>
            <w:rStyle w:val="Hyperlink"/>
            <w:rFonts w:ascii="Arial" w:hAnsi="Arial" w:cs="Arial"/>
          </w:rPr>
          <w:t>10.3389/forgp.2024.1392997</w:t>
        </w:r>
      </w:hyperlink>
      <w:r>
        <w:rPr>
          <w:rFonts w:ascii="Arial" w:hAnsi="Arial" w:cs="Arial"/>
        </w:rPr>
        <w:t xml:space="preserve">. </w:t>
      </w:r>
      <w:r>
        <w:rPr>
          <w:rFonts w:ascii="Arial" w:hAnsi="Arial" w:cs="Arial"/>
        </w:rPr>
        <w:t>(</w:t>
      </w:r>
      <w:r w:rsidRPr="00366F9B">
        <w:rPr>
          <w:rFonts w:ascii="Arial" w:hAnsi="Arial" w:cs="Arial"/>
        </w:rPr>
        <w:t xml:space="preserve">Accessed </w:t>
      </w:r>
      <w:r>
        <w:rPr>
          <w:rFonts w:ascii="Arial" w:hAnsi="Arial" w:cs="Arial"/>
        </w:rPr>
        <w:t>20/02/</w:t>
      </w:r>
      <w:r w:rsidRPr="00366F9B">
        <w:rPr>
          <w:rFonts w:ascii="Arial" w:hAnsi="Arial" w:cs="Arial"/>
        </w:rPr>
        <w:t>26</w:t>
      </w:r>
      <w:r>
        <w:rPr>
          <w:rFonts w:ascii="Arial" w:hAnsi="Arial" w:cs="Arial"/>
        </w:rPr>
        <w:t>)</w:t>
      </w:r>
      <w:r w:rsidRPr="00366F9B">
        <w:rPr>
          <w:rFonts w:ascii="Arial" w:hAnsi="Arial" w:cs="Arial"/>
        </w:rPr>
        <w:t>.</w:t>
      </w:r>
      <w:r w:rsidRPr="00080139">
        <w:rPr>
          <w:rFonts w:ascii="Arial" w:hAnsi="Arial" w:cs="Arial"/>
        </w:rPr>
        <w:t xml:space="preserve"> </w:t>
      </w:r>
    </w:p>
    <w:p w14:paraId="3094F887" w14:textId="1EF1A1E7" w:rsidR="00EC2157" w:rsidRPr="00E31DE7" w:rsidRDefault="00EC2157" w:rsidP="00080139">
      <w:pPr>
        <w:spacing w:line="360" w:lineRule="auto"/>
        <w:rPr>
          <w:rFonts w:ascii="Arial" w:hAnsi="Arial" w:cs="Arial"/>
          <w:i/>
          <w:iCs/>
        </w:rPr>
      </w:pPr>
      <w:r w:rsidRPr="00E31DE7">
        <w:rPr>
          <w:rFonts w:ascii="Arial" w:hAnsi="Arial" w:cs="Arial"/>
        </w:rPr>
        <w:t xml:space="preserve">NHS </w:t>
      </w:r>
      <w:r w:rsidRPr="00AA22B8">
        <w:rPr>
          <w:rFonts w:ascii="Arial" w:hAnsi="Arial" w:cs="Arial"/>
        </w:rPr>
        <w:t>England</w:t>
      </w:r>
      <w:r w:rsidRPr="00E31DE7">
        <w:rPr>
          <w:rFonts w:ascii="Arial" w:hAnsi="Arial" w:cs="Arial"/>
        </w:rPr>
        <w:t xml:space="preserve"> (</w:t>
      </w:r>
      <w:r w:rsidRPr="00AA22B8">
        <w:rPr>
          <w:rFonts w:ascii="Arial" w:hAnsi="Arial" w:cs="Arial"/>
        </w:rPr>
        <w:t>2019</w:t>
      </w:r>
      <w:r w:rsidRPr="00E31DE7">
        <w:rPr>
          <w:rFonts w:ascii="Arial" w:hAnsi="Arial" w:cs="Arial"/>
        </w:rPr>
        <w:t xml:space="preserve">) </w:t>
      </w:r>
      <w:r w:rsidRPr="00AA22B8">
        <w:rPr>
          <w:rFonts w:ascii="Arial" w:hAnsi="Arial" w:cs="Arial"/>
          <w:i/>
          <w:iCs/>
        </w:rPr>
        <w:t>NHS App begins public rollout</w:t>
      </w:r>
      <w:r w:rsidRPr="00E31DE7">
        <w:rPr>
          <w:rFonts w:ascii="Arial" w:hAnsi="Arial" w:cs="Arial"/>
        </w:rPr>
        <w:t xml:space="preserve">. Available at: </w:t>
      </w:r>
      <w:hyperlink r:id="rId19" w:history="1">
        <w:r w:rsidRPr="00AA22B8">
          <w:rPr>
            <w:rStyle w:val="Hyperlink"/>
            <w:rFonts w:ascii="Arial" w:hAnsi="Arial" w:cs="Arial"/>
          </w:rPr>
          <w:t>https://www.england.nhs.</w:t>
        </w:r>
        <w:r w:rsidRPr="00AA22B8">
          <w:rPr>
            <w:rStyle w:val="Hyperlink"/>
            <w:rFonts w:ascii="Arial" w:hAnsi="Arial" w:cs="Arial"/>
          </w:rPr>
          <w:t>u</w:t>
        </w:r>
        <w:r w:rsidRPr="00AA22B8">
          <w:rPr>
            <w:rStyle w:val="Hyperlink"/>
            <w:rFonts w:ascii="Arial" w:hAnsi="Arial" w:cs="Arial"/>
          </w:rPr>
          <w:t>k/2019/01/nhs-app-begins-public-rollout/</w:t>
        </w:r>
      </w:hyperlink>
      <w:r w:rsidRPr="00AA22B8">
        <w:rPr>
          <w:rFonts w:ascii="Arial" w:hAnsi="Arial" w:cs="Arial"/>
        </w:rPr>
        <w:t xml:space="preserve">. </w:t>
      </w:r>
      <w:r w:rsidRPr="00AA22B8">
        <w:rPr>
          <w:rFonts w:ascii="Arial" w:hAnsi="Arial" w:cs="Arial"/>
        </w:rPr>
        <w:t>(</w:t>
      </w:r>
      <w:r w:rsidRPr="00366F9B">
        <w:rPr>
          <w:rFonts w:ascii="Arial" w:hAnsi="Arial" w:cs="Arial"/>
        </w:rPr>
        <w:t xml:space="preserve">Accessed </w:t>
      </w:r>
      <w:r w:rsidRPr="00AA22B8">
        <w:rPr>
          <w:rFonts w:ascii="Arial" w:hAnsi="Arial" w:cs="Arial"/>
        </w:rPr>
        <w:t>20/02/</w:t>
      </w:r>
      <w:r w:rsidRPr="00366F9B">
        <w:rPr>
          <w:rFonts w:ascii="Arial" w:hAnsi="Arial" w:cs="Arial"/>
        </w:rPr>
        <w:t>26</w:t>
      </w:r>
      <w:r w:rsidRPr="00AA22B8">
        <w:rPr>
          <w:rFonts w:ascii="Arial" w:hAnsi="Arial" w:cs="Arial"/>
        </w:rPr>
        <w:t>)</w:t>
      </w:r>
      <w:r w:rsidRPr="00366F9B">
        <w:rPr>
          <w:rFonts w:ascii="Arial" w:hAnsi="Arial" w:cs="Arial"/>
        </w:rPr>
        <w:t>.</w:t>
      </w:r>
      <w:r w:rsidRPr="00AA22B8">
        <w:rPr>
          <w:rFonts w:ascii="Arial" w:hAnsi="Arial" w:cs="Arial"/>
        </w:rPr>
        <w:t xml:space="preserve"> </w:t>
      </w:r>
      <w:r w:rsidRPr="00AA22B8">
        <w:rPr>
          <w:rFonts w:ascii="Arial" w:hAnsi="Arial" w:cs="Arial"/>
        </w:rPr>
        <w:t xml:space="preserve"> </w:t>
      </w:r>
    </w:p>
    <w:p w14:paraId="5E0F26A9" w14:textId="36DCDF1B" w:rsidR="00EC2157" w:rsidRPr="00AA22B8" w:rsidRDefault="00EC2157" w:rsidP="00080139">
      <w:pPr>
        <w:spacing w:line="360" w:lineRule="auto"/>
        <w:rPr>
          <w:rFonts w:ascii="Arial" w:hAnsi="Arial" w:cs="Arial"/>
        </w:rPr>
      </w:pPr>
      <w:r w:rsidRPr="00E31DE7">
        <w:rPr>
          <w:rFonts w:ascii="Arial" w:hAnsi="Arial" w:cs="Arial"/>
        </w:rPr>
        <w:t xml:space="preserve">NHS England (2019) </w:t>
      </w:r>
      <w:r w:rsidRPr="00E31DE7">
        <w:rPr>
          <w:rFonts w:ascii="Arial" w:hAnsi="Arial" w:cs="Arial"/>
          <w:i/>
          <w:iCs/>
        </w:rPr>
        <w:t>The NHS Long Term Plan</w:t>
      </w:r>
      <w:r w:rsidRPr="00E31DE7">
        <w:rPr>
          <w:rFonts w:ascii="Arial" w:hAnsi="Arial" w:cs="Arial"/>
        </w:rPr>
        <w:t xml:space="preserve">. London: NHS England. Available at: </w:t>
      </w:r>
      <w:hyperlink r:id="rId20" w:history="1">
        <w:r w:rsidRPr="00AA22B8">
          <w:rPr>
            <w:rStyle w:val="Hyperlink"/>
            <w:rFonts w:ascii="Arial" w:hAnsi="Arial" w:cs="Arial"/>
          </w:rPr>
          <w:t>https://webarchive</w:t>
        </w:r>
        <w:r w:rsidRPr="00AA22B8">
          <w:rPr>
            <w:rStyle w:val="Hyperlink"/>
            <w:rFonts w:ascii="Arial" w:hAnsi="Arial" w:cs="Arial"/>
          </w:rPr>
          <w:t>.</w:t>
        </w:r>
        <w:r w:rsidRPr="00AA22B8">
          <w:rPr>
            <w:rStyle w:val="Hyperlink"/>
            <w:rFonts w:ascii="Arial" w:hAnsi="Arial" w:cs="Arial"/>
          </w:rPr>
          <w:t>nationalarchives.gov.uk/ukgwa/20230418155402/https:/www.longtermplan.nhs.uk/publication/nhs-long-term-plan/</w:t>
        </w:r>
      </w:hyperlink>
      <w:r w:rsidRPr="00AA22B8">
        <w:rPr>
          <w:rFonts w:ascii="Arial" w:hAnsi="Arial" w:cs="Arial"/>
        </w:rPr>
        <w:t xml:space="preserve"> </w:t>
      </w:r>
      <w:r w:rsidRPr="00AA22B8">
        <w:rPr>
          <w:rFonts w:ascii="Arial" w:hAnsi="Arial" w:cs="Arial"/>
        </w:rPr>
        <w:t>(</w:t>
      </w:r>
      <w:r w:rsidRPr="00366F9B">
        <w:rPr>
          <w:rFonts w:ascii="Arial" w:hAnsi="Arial" w:cs="Arial"/>
        </w:rPr>
        <w:t xml:space="preserve">Accessed </w:t>
      </w:r>
      <w:r w:rsidRPr="00AA22B8">
        <w:rPr>
          <w:rFonts w:ascii="Arial" w:hAnsi="Arial" w:cs="Arial"/>
        </w:rPr>
        <w:t>20/02/</w:t>
      </w:r>
      <w:r w:rsidRPr="00366F9B">
        <w:rPr>
          <w:rFonts w:ascii="Arial" w:hAnsi="Arial" w:cs="Arial"/>
        </w:rPr>
        <w:t>26</w:t>
      </w:r>
      <w:r w:rsidRPr="00AA22B8">
        <w:rPr>
          <w:rFonts w:ascii="Arial" w:hAnsi="Arial" w:cs="Arial"/>
        </w:rPr>
        <w:t>)</w:t>
      </w:r>
      <w:r w:rsidRPr="00366F9B">
        <w:rPr>
          <w:rFonts w:ascii="Arial" w:hAnsi="Arial" w:cs="Arial"/>
        </w:rPr>
        <w:t>.</w:t>
      </w:r>
      <w:r w:rsidRPr="00AA22B8">
        <w:rPr>
          <w:rFonts w:ascii="Arial" w:hAnsi="Arial" w:cs="Arial"/>
        </w:rPr>
        <w:t xml:space="preserve"> </w:t>
      </w:r>
    </w:p>
    <w:p w14:paraId="064B1683" w14:textId="15A3BB73" w:rsidR="00EC2157" w:rsidRPr="00AA22B8" w:rsidRDefault="00EC2157" w:rsidP="00080139">
      <w:pPr>
        <w:spacing w:line="360" w:lineRule="auto"/>
        <w:rPr>
          <w:rFonts w:ascii="Arial" w:hAnsi="Arial" w:cs="Arial"/>
        </w:rPr>
      </w:pPr>
      <w:r w:rsidRPr="00474E41">
        <w:rPr>
          <w:rFonts w:ascii="Arial" w:hAnsi="Arial" w:cs="Arial"/>
        </w:rPr>
        <w:t>‌</w:t>
      </w:r>
      <w:r w:rsidRPr="00AA22B8">
        <w:rPr>
          <w:rFonts w:ascii="Arial" w:hAnsi="Arial" w:cs="Arial"/>
        </w:rPr>
        <w:t>NHS England (2023). </w:t>
      </w:r>
      <w:r w:rsidRPr="00AA22B8">
        <w:rPr>
          <w:rFonts w:ascii="Arial" w:hAnsi="Arial" w:cs="Arial"/>
          <w:i/>
          <w:iCs/>
        </w:rPr>
        <w:t>Inclusive digital healthcare: a framework for NHS action on digital inclusion</w:t>
      </w:r>
      <w:r w:rsidR="00AA22B8" w:rsidRPr="00AA22B8">
        <w:rPr>
          <w:rFonts w:ascii="Arial" w:hAnsi="Arial" w:cs="Arial"/>
        </w:rPr>
        <w:t xml:space="preserve">. </w:t>
      </w:r>
      <w:r w:rsidRPr="00AA22B8">
        <w:rPr>
          <w:rFonts w:ascii="Arial" w:hAnsi="Arial" w:cs="Arial"/>
        </w:rPr>
        <w:t xml:space="preserve">Available at: </w:t>
      </w:r>
      <w:hyperlink r:id="rId21" w:history="1">
        <w:r w:rsidR="00AA22B8" w:rsidRPr="00AA22B8">
          <w:rPr>
            <w:rStyle w:val="Hyperlink"/>
            <w:rFonts w:ascii="Arial" w:hAnsi="Arial" w:cs="Arial"/>
          </w:rPr>
          <w:t>https://www.england.nhs.uk/long-read/inclusive-digital-healthcare-a-framework-for-nhs-action-on-digital-inclusion/</w:t>
        </w:r>
      </w:hyperlink>
      <w:r w:rsidRPr="00AA22B8">
        <w:rPr>
          <w:rFonts w:ascii="Arial" w:hAnsi="Arial" w:cs="Arial"/>
        </w:rPr>
        <w:t>.</w:t>
      </w:r>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22</w:t>
      </w:r>
      <w:r w:rsidR="00AA22B8" w:rsidRPr="00AA22B8">
        <w:rPr>
          <w:rFonts w:ascii="Arial" w:hAnsi="Arial" w:cs="Arial"/>
        </w:rPr>
        <w:t>/02/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09AB4F66" w14:textId="2D7A906E" w:rsidR="00EC2157" w:rsidRPr="00474E41" w:rsidRDefault="00EC2157" w:rsidP="00080139">
      <w:pPr>
        <w:spacing w:line="360" w:lineRule="auto"/>
        <w:rPr>
          <w:rFonts w:ascii="Arial" w:hAnsi="Arial" w:cs="Arial"/>
        </w:rPr>
      </w:pPr>
      <w:r w:rsidRPr="00474E41">
        <w:rPr>
          <w:rFonts w:ascii="Arial" w:hAnsi="Arial" w:cs="Arial"/>
        </w:rPr>
        <w:t>NHS England (2023). </w:t>
      </w:r>
      <w:r w:rsidRPr="00474E41">
        <w:rPr>
          <w:rFonts w:ascii="Arial" w:hAnsi="Arial" w:cs="Arial"/>
          <w:i/>
          <w:iCs/>
        </w:rPr>
        <w:t>NHS England Supporting digital inclusion in general practice: 10 top tips</w:t>
      </w:r>
      <w:r w:rsidRPr="00474E41">
        <w:rPr>
          <w:rFonts w:ascii="Arial" w:hAnsi="Arial" w:cs="Arial"/>
        </w:rPr>
        <w:t xml:space="preserve">. Available at: </w:t>
      </w:r>
      <w:hyperlink r:id="rId22" w:history="1">
        <w:r w:rsidR="00AA22B8" w:rsidRPr="00474E41">
          <w:rPr>
            <w:rStyle w:val="Hyperlink"/>
            <w:rFonts w:ascii="Arial" w:hAnsi="Arial" w:cs="Arial"/>
          </w:rPr>
          <w:t>https://www.england.nhs.uk/long-read/supporting-digital-inclusion-in-general-practice-10-top-tips/</w:t>
        </w:r>
      </w:hyperlink>
      <w:r w:rsidRPr="00474E41">
        <w:rPr>
          <w:rFonts w:ascii="Arial" w:hAnsi="Arial" w:cs="Arial"/>
        </w:rPr>
        <w:t>.</w:t>
      </w:r>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20/02/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0C11AB30" w14:textId="38560A9B" w:rsidR="00EC2157" w:rsidRPr="00E31DE7" w:rsidRDefault="00EC2157" w:rsidP="00080139">
      <w:pPr>
        <w:spacing w:line="360" w:lineRule="auto"/>
        <w:rPr>
          <w:rFonts w:ascii="Arial" w:hAnsi="Arial" w:cs="Arial"/>
          <w:i/>
          <w:iCs/>
        </w:rPr>
      </w:pPr>
      <w:r w:rsidRPr="00E31DE7">
        <w:rPr>
          <w:rFonts w:ascii="Arial" w:hAnsi="Arial" w:cs="Arial"/>
        </w:rPr>
        <w:t xml:space="preserve">NHS </w:t>
      </w:r>
      <w:r w:rsidR="00AA22B8" w:rsidRPr="00AA22B8">
        <w:rPr>
          <w:rFonts w:ascii="Arial" w:hAnsi="Arial" w:cs="Arial"/>
        </w:rPr>
        <w:t>England</w:t>
      </w:r>
      <w:r w:rsidRPr="00E31DE7">
        <w:rPr>
          <w:rFonts w:ascii="Arial" w:hAnsi="Arial" w:cs="Arial"/>
        </w:rPr>
        <w:t xml:space="preserve"> (202</w:t>
      </w:r>
      <w:r w:rsidRPr="00AA22B8">
        <w:rPr>
          <w:rFonts w:ascii="Arial" w:hAnsi="Arial" w:cs="Arial"/>
        </w:rPr>
        <w:t>5</w:t>
      </w:r>
      <w:r w:rsidRPr="00E31DE7">
        <w:rPr>
          <w:rFonts w:ascii="Arial" w:hAnsi="Arial" w:cs="Arial"/>
        </w:rPr>
        <w:t xml:space="preserve">) </w:t>
      </w:r>
      <w:r w:rsidRPr="00AA22B8">
        <w:rPr>
          <w:rFonts w:ascii="Arial" w:hAnsi="Arial" w:cs="Arial"/>
          <w:i/>
          <w:iCs/>
        </w:rPr>
        <w:t>Record numbers using NHS App to manage health</w:t>
      </w:r>
      <w:r w:rsidRPr="00AA22B8">
        <w:rPr>
          <w:rFonts w:ascii="Arial" w:hAnsi="Arial" w:cs="Arial"/>
          <w:i/>
          <w:iCs/>
        </w:rPr>
        <w:t xml:space="preserve">. </w:t>
      </w:r>
      <w:r w:rsidRPr="00E31DE7">
        <w:rPr>
          <w:rFonts w:ascii="Arial" w:hAnsi="Arial" w:cs="Arial"/>
        </w:rPr>
        <w:t xml:space="preserve">Available at: </w:t>
      </w:r>
      <w:hyperlink r:id="rId23" w:history="1">
        <w:r w:rsidRPr="00AA22B8">
          <w:rPr>
            <w:rStyle w:val="Hyperlink"/>
            <w:rFonts w:ascii="Arial" w:hAnsi="Arial" w:cs="Arial"/>
          </w:rPr>
          <w:t>https://www.england.nhs.uk/2025/12/record-numbers-using-nhs-app-to-manage-health/</w:t>
        </w:r>
      </w:hyperlink>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22</w:t>
      </w:r>
      <w:r w:rsidR="00AA22B8" w:rsidRPr="00AA22B8">
        <w:rPr>
          <w:rFonts w:ascii="Arial" w:hAnsi="Arial" w:cs="Arial"/>
        </w:rPr>
        <w:t>/02/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r w:rsidRPr="00AA22B8">
        <w:rPr>
          <w:rFonts w:ascii="Arial" w:hAnsi="Arial" w:cs="Arial"/>
        </w:rPr>
        <w:t xml:space="preserve"> </w:t>
      </w:r>
    </w:p>
    <w:p w14:paraId="1CE10D95" w14:textId="44B67042" w:rsidR="00EC2157" w:rsidRPr="00AA22B8" w:rsidRDefault="00EC2157" w:rsidP="00080139">
      <w:pPr>
        <w:spacing w:line="360" w:lineRule="auto"/>
        <w:rPr>
          <w:rFonts w:ascii="Arial" w:hAnsi="Arial" w:cs="Arial"/>
        </w:rPr>
      </w:pPr>
      <w:r w:rsidRPr="000A4123">
        <w:rPr>
          <w:rFonts w:ascii="Arial" w:hAnsi="Arial" w:cs="Arial"/>
        </w:rPr>
        <w:t xml:space="preserve">NHS England (2025). </w:t>
      </w:r>
      <w:r w:rsidRPr="000A4123">
        <w:rPr>
          <w:rFonts w:ascii="Arial" w:hAnsi="Arial" w:cs="Arial"/>
          <w:i/>
          <w:iCs/>
        </w:rPr>
        <w:t>NHS App features</w:t>
      </w:r>
      <w:r w:rsidRPr="000A4123">
        <w:rPr>
          <w:rFonts w:ascii="Arial" w:hAnsi="Arial" w:cs="Arial"/>
        </w:rPr>
        <w:t xml:space="preserve">.  Available at: </w:t>
      </w:r>
      <w:hyperlink r:id="rId24" w:history="1">
        <w:r w:rsidRPr="000A4123">
          <w:rPr>
            <w:rStyle w:val="Hyperlink"/>
            <w:rFonts w:ascii="Arial" w:hAnsi="Arial" w:cs="Arial"/>
          </w:rPr>
          <w:t>https://digital.nhs.uk/services/nhs-app/nhs-app-features</w:t>
        </w:r>
      </w:hyperlink>
      <w:r w:rsidRPr="000A4123">
        <w:rPr>
          <w:rFonts w:ascii="Arial" w:hAnsi="Arial" w:cs="Arial"/>
        </w:rPr>
        <w:t>.</w:t>
      </w:r>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22</w:t>
      </w:r>
      <w:r w:rsidR="00AA22B8" w:rsidRPr="00AA22B8">
        <w:rPr>
          <w:rFonts w:ascii="Arial" w:hAnsi="Arial" w:cs="Arial"/>
        </w:rPr>
        <w:t>/02/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00D2C900" w14:textId="27FF0447" w:rsidR="00EC2157" w:rsidRPr="00AA22B8" w:rsidRDefault="00EC2157" w:rsidP="00080139">
      <w:pPr>
        <w:spacing w:line="360" w:lineRule="auto"/>
        <w:rPr>
          <w:rFonts w:ascii="Arial" w:hAnsi="Arial" w:cs="Arial"/>
        </w:rPr>
      </w:pPr>
      <w:r w:rsidRPr="00474E41">
        <w:rPr>
          <w:rFonts w:ascii="Arial" w:hAnsi="Arial" w:cs="Arial"/>
        </w:rPr>
        <w:t>‌</w:t>
      </w:r>
      <w:r w:rsidRPr="00AA22B8">
        <w:rPr>
          <w:rFonts w:ascii="Arial" w:hAnsi="Arial" w:cs="Arial"/>
        </w:rPr>
        <w:t xml:space="preserve">Novak, L.L., Holden, R.J., Anders, S.H., Hong, J.Y. and Karsh, B.-T. (2013). </w:t>
      </w:r>
      <w:r w:rsidR="00AA22B8" w:rsidRPr="00AA22B8">
        <w:rPr>
          <w:rFonts w:ascii="Arial" w:hAnsi="Arial" w:cs="Arial"/>
        </w:rPr>
        <w:t>‘</w:t>
      </w:r>
      <w:r w:rsidRPr="00AA22B8">
        <w:rPr>
          <w:rFonts w:ascii="Arial" w:hAnsi="Arial" w:cs="Arial"/>
        </w:rPr>
        <w:t>Using a sociotechnical framework to understand adaptations in health IT implementation</w:t>
      </w:r>
      <w:r w:rsidR="00AA22B8" w:rsidRPr="00AA22B8">
        <w:rPr>
          <w:rFonts w:ascii="Arial" w:hAnsi="Arial" w:cs="Arial"/>
        </w:rPr>
        <w:t>’</w:t>
      </w:r>
      <w:r w:rsidRPr="00AA22B8">
        <w:rPr>
          <w:rFonts w:ascii="Arial" w:hAnsi="Arial" w:cs="Arial"/>
        </w:rPr>
        <w:t>. </w:t>
      </w:r>
      <w:r w:rsidRPr="00AA22B8">
        <w:rPr>
          <w:rFonts w:ascii="Arial" w:hAnsi="Arial" w:cs="Arial"/>
          <w:i/>
          <w:iCs/>
        </w:rPr>
        <w:t>International Journal of Medical Informatics</w:t>
      </w:r>
      <w:r w:rsidRPr="00AA22B8">
        <w:rPr>
          <w:rFonts w:ascii="Arial" w:hAnsi="Arial" w:cs="Arial"/>
        </w:rPr>
        <w:t xml:space="preserve">, 82(12), pp.e331–e344. </w:t>
      </w:r>
      <w:r w:rsidR="00AA22B8" w:rsidRPr="00AA22B8">
        <w:rPr>
          <w:rFonts w:ascii="Arial" w:hAnsi="Arial" w:cs="Arial"/>
        </w:rPr>
        <w:t>Available at</w:t>
      </w:r>
      <w:r w:rsidRPr="00AA22B8">
        <w:rPr>
          <w:rFonts w:ascii="Arial" w:hAnsi="Arial" w:cs="Arial"/>
        </w:rPr>
        <w:t>:</w:t>
      </w:r>
      <w:r w:rsidR="00AA22B8" w:rsidRPr="00AA22B8">
        <w:rPr>
          <w:rFonts w:ascii="Arial" w:hAnsi="Arial" w:cs="Arial"/>
        </w:rPr>
        <w:t xml:space="preserve"> </w:t>
      </w:r>
      <w:hyperlink r:id="rId25" w:history="1">
        <w:r w:rsidR="00AA22B8" w:rsidRPr="00AA22B8">
          <w:rPr>
            <w:rStyle w:val="Hyperlink"/>
            <w:rFonts w:ascii="Arial" w:hAnsi="Arial" w:cs="Arial"/>
          </w:rPr>
          <w:t>https://doi.org/10.1016/j.ijmedinf.2013.01.009</w:t>
        </w:r>
      </w:hyperlink>
      <w:r w:rsidRPr="00AA22B8">
        <w:rPr>
          <w:rFonts w:ascii="Arial" w:hAnsi="Arial" w:cs="Arial"/>
        </w:rPr>
        <w:t>.</w:t>
      </w:r>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20/02/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3175BD7F" w14:textId="0A276C54" w:rsidR="00EC2157" w:rsidRPr="00AA22B8" w:rsidRDefault="00EC2157" w:rsidP="00080139">
      <w:pPr>
        <w:spacing w:line="360" w:lineRule="auto"/>
        <w:rPr>
          <w:rFonts w:ascii="Arial" w:hAnsi="Arial" w:cs="Arial"/>
        </w:rPr>
      </w:pPr>
      <w:r w:rsidRPr="00AA22B8">
        <w:rPr>
          <w:rFonts w:ascii="Arial" w:hAnsi="Arial" w:cs="Arial"/>
        </w:rPr>
        <w:lastRenderedPageBreak/>
        <w:t xml:space="preserve">Ravalier, J. M., McVicar, A., </w:t>
      </w:r>
      <w:r w:rsidR="00AA22B8" w:rsidRPr="00AA22B8">
        <w:rPr>
          <w:rFonts w:ascii="Arial" w:hAnsi="Arial" w:cs="Arial"/>
        </w:rPr>
        <w:t xml:space="preserve">and </w:t>
      </w:r>
      <w:proofErr w:type="spellStart"/>
      <w:r w:rsidRPr="00AA22B8">
        <w:rPr>
          <w:rFonts w:ascii="Arial" w:hAnsi="Arial" w:cs="Arial"/>
        </w:rPr>
        <w:t>Boichat</w:t>
      </w:r>
      <w:proofErr w:type="spellEnd"/>
      <w:r w:rsidRPr="00AA22B8">
        <w:rPr>
          <w:rFonts w:ascii="Arial" w:hAnsi="Arial" w:cs="Arial"/>
        </w:rPr>
        <w:t xml:space="preserve">, C. (2020). </w:t>
      </w:r>
      <w:r w:rsidR="00AA22B8" w:rsidRPr="00AA22B8">
        <w:rPr>
          <w:rFonts w:ascii="Arial" w:hAnsi="Arial" w:cs="Arial"/>
        </w:rPr>
        <w:t>‘</w:t>
      </w:r>
      <w:r w:rsidRPr="00AA22B8">
        <w:rPr>
          <w:rFonts w:ascii="Arial" w:hAnsi="Arial" w:cs="Arial"/>
        </w:rPr>
        <w:t>Work Stress in NHS Employees: A Mixed-Methods Study</w:t>
      </w:r>
      <w:r w:rsidR="00AA22B8" w:rsidRPr="00AA22B8">
        <w:rPr>
          <w:rFonts w:ascii="Arial" w:hAnsi="Arial" w:cs="Arial"/>
        </w:rPr>
        <w:t>’</w:t>
      </w:r>
      <w:r w:rsidRPr="00AA22B8">
        <w:rPr>
          <w:rFonts w:ascii="Arial" w:hAnsi="Arial" w:cs="Arial"/>
        </w:rPr>
        <w:t>. </w:t>
      </w:r>
      <w:r w:rsidRPr="00AA22B8">
        <w:rPr>
          <w:rFonts w:ascii="Arial" w:hAnsi="Arial" w:cs="Arial"/>
          <w:i/>
          <w:iCs/>
        </w:rPr>
        <w:t>International journal of environmental research and public health</w:t>
      </w:r>
      <w:r w:rsidRPr="00AA22B8">
        <w:rPr>
          <w:rFonts w:ascii="Arial" w:hAnsi="Arial" w:cs="Arial"/>
        </w:rPr>
        <w:t>, </w:t>
      </w:r>
      <w:r w:rsidRPr="00AA22B8">
        <w:rPr>
          <w:rFonts w:ascii="Arial" w:hAnsi="Arial" w:cs="Arial"/>
          <w:i/>
          <w:iCs/>
        </w:rPr>
        <w:t>17</w:t>
      </w:r>
      <w:r w:rsidRPr="00AA22B8">
        <w:rPr>
          <w:rFonts w:ascii="Arial" w:hAnsi="Arial" w:cs="Arial"/>
        </w:rPr>
        <w:t xml:space="preserve">(18), 6464. </w:t>
      </w:r>
      <w:r w:rsidR="00AA22B8" w:rsidRPr="00AA22B8">
        <w:rPr>
          <w:rFonts w:ascii="Arial" w:hAnsi="Arial" w:cs="Arial"/>
        </w:rPr>
        <w:t xml:space="preserve">Available at: </w:t>
      </w:r>
      <w:hyperlink r:id="rId26" w:history="1">
        <w:r w:rsidR="00AA22B8" w:rsidRPr="00AA22B8">
          <w:rPr>
            <w:rStyle w:val="Hyperlink"/>
            <w:rFonts w:ascii="Arial" w:hAnsi="Arial" w:cs="Arial"/>
          </w:rPr>
          <w:t>https://doi.org/10.3390/ijerph17186464</w:t>
        </w:r>
      </w:hyperlink>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20/02/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0CF38955" w14:textId="0FC1600B" w:rsidR="00EC2157" w:rsidRPr="00AA22B8" w:rsidRDefault="00EC2157" w:rsidP="00080139">
      <w:pPr>
        <w:spacing w:line="360" w:lineRule="auto"/>
        <w:rPr>
          <w:rFonts w:ascii="Arial" w:hAnsi="Arial" w:cs="Arial"/>
        </w:rPr>
      </w:pPr>
      <w:r w:rsidRPr="00AA22B8">
        <w:rPr>
          <w:rFonts w:ascii="Arial" w:hAnsi="Arial" w:cs="Arial"/>
        </w:rPr>
        <w:t xml:space="preserve">Reidy, C., Papoutsi, C., Kc, S., </w:t>
      </w:r>
      <w:proofErr w:type="spellStart"/>
      <w:r w:rsidRPr="00AA22B8">
        <w:rPr>
          <w:rFonts w:ascii="Arial" w:hAnsi="Arial" w:cs="Arial"/>
        </w:rPr>
        <w:t>Gudgin</w:t>
      </w:r>
      <w:proofErr w:type="spellEnd"/>
      <w:r w:rsidRPr="00AA22B8">
        <w:rPr>
          <w:rFonts w:ascii="Arial" w:hAnsi="Arial" w:cs="Arial"/>
        </w:rPr>
        <w:t xml:space="preserve">, B., Laverty, A. A., Greaves, F., </w:t>
      </w:r>
      <w:r w:rsidR="00AA22B8" w:rsidRPr="00AA22B8">
        <w:rPr>
          <w:rFonts w:ascii="Arial" w:hAnsi="Arial" w:cs="Arial"/>
        </w:rPr>
        <w:t>and</w:t>
      </w:r>
      <w:r w:rsidRPr="00AA22B8">
        <w:rPr>
          <w:rFonts w:ascii="Arial" w:hAnsi="Arial" w:cs="Arial"/>
        </w:rPr>
        <w:t xml:space="preserve"> Powell, J. (2025). </w:t>
      </w:r>
      <w:r w:rsidR="00AA22B8" w:rsidRPr="00AA22B8">
        <w:rPr>
          <w:rFonts w:ascii="Arial" w:hAnsi="Arial" w:cs="Arial"/>
        </w:rPr>
        <w:t>‘</w:t>
      </w:r>
      <w:r w:rsidRPr="00AA22B8">
        <w:rPr>
          <w:rFonts w:ascii="Arial" w:hAnsi="Arial" w:cs="Arial"/>
        </w:rPr>
        <w:t>Qualitative evaluation of the implementation and national roll-out of the NHS App in England</w:t>
      </w:r>
      <w:r w:rsidR="00AA22B8" w:rsidRPr="00AA22B8">
        <w:rPr>
          <w:rFonts w:ascii="Arial" w:hAnsi="Arial" w:cs="Arial"/>
        </w:rPr>
        <w:t>’</w:t>
      </w:r>
      <w:r w:rsidRPr="00AA22B8">
        <w:rPr>
          <w:rFonts w:ascii="Arial" w:hAnsi="Arial" w:cs="Arial"/>
        </w:rPr>
        <w:t>. </w:t>
      </w:r>
      <w:r w:rsidRPr="00AA22B8">
        <w:rPr>
          <w:rFonts w:ascii="Arial" w:hAnsi="Arial" w:cs="Arial"/>
          <w:i/>
          <w:iCs/>
        </w:rPr>
        <w:t>BMC medicine</w:t>
      </w:r>
      <w:r w:rsidRPr="00AA22B8">
        <w:rPr>
          <w:rFonts w:ascii="Arial" w:hAnsi="Arial" w:cs="Arial"/>
        </w:rPr>
        <w:t>, </w:t>
      </w:r>
      <w:r w:rsidRPr="00AA22B8">
        <w:rPr>
          <w:rFonts w:ascii="Arial" w:hAnsi="Arial" w:cs="Arial"/>
          <w:i/>
          <w:iCs/>
        </w:rPr>
        <w:t>23</w:t>
      </w:r>
      <w:r w:rsidRPr="00AA22B8">
        <w:rPr>
          <w:rFonts w:ascii="Arial" w:hAnsi="Arial" w:cs="Arial"/>
        </w:rPr>
        <w:t>(1), 20.</w:t>
      </w:r>
      <w:r w:rsidR="00AA22B8" w:rsidRPr="00AA22B8">
        <w:rPr>
          <w:rFonts w:ascii="Arial" w:hAnsi="Arial" w:cs="Arial"/>
        </w:rPr>
        <w:t xml:space="preserve"> Available at:</w:t>
      </w:r>
      <w:r w:rsidRPr="00AA22B8">
        <w:rPr>
          <w:rFonts w:ascii="Arial" w:hAnsi="Arial" w:cs="Arial"/>
        </w:rPr>
        <w:t xml:space="preserve"> </w:t>
      </w:r>
      <w:hyperlink r:id="rId27" w:history="1">
        <w:r w:rsidR="00AA22B8" w:rsidRPr="00AA22B8">
          <w:rPr>
            <w:rStyle w:val="Hyperlink"/>
            <w:rFonts w:ascii="Arial" w:hAnsi="Arial" w:cs="Arial"/>
          </w:rPr>
          <w:t>https://doi.org/10.1186/s12916-024-03842-w</w:t>
        </w:r>
      </w:hyperlink>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22</w:t>
      </w:r>
      <w:r w:rsidR="00AA22B8" w:rsidRPr="00AA22B8">
        <w:rPr>
          <w:rFonts w:ascii="Arial" w:hAnsi="Arial" w:cs="Arial"/>
        </w:rPr>
        <w:t>/02/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75E838D6" w14:textId="13F2CC7D" w:rsidR="00EC2157" w:rsidRPr="007239C9" w:rsidRDefault="00EC2157" w:rsidP="00080139">
      <w:pPr>
        <w:spacing w:line="360" w:lineRule="auto"/>
        <w:rPr>
          <w:rFonts w:ascii="Arial" w:hAnsi="Arial" w:cs="Arial"/>
        </w:rPr>
      </w:pPr>
      <w:r w:rsidRPr="007239C9">
        <w:rPr>
          <w:rFonts w:ascii="Arial" w:hAnsi="Arial" w:cs="Arial"/>
        </w:rPr>
        <w:t xml:space="preserve">Stockwell, S., Atherton, H., Bryce, C., Campbell, J., Marriott, C., Pitchforth, E., </w:t>
      </w:r>
      <w:proofErr w:type="spellStart"/>
      <w:r w:rsidRPr="007239C9">
        <w:rPr>
          <w:rFonts w:ascii="Arial" w:hAnsi="Arial" w:cs="Arial"/>
        </w:rPr>
        <w:t>Treadgold</w:t>
      </w:r>
      <w:proofErr w:type="spellEnd"/>
      <w:r w:rsidRPr="007239C9">
        <w:rPr>
          <w:rFonts w:ascii="Arial" w:hAnsi="Arial" w:cs="Arial"/>
        </w:rPr>
        <w:t xml:space="preserve">, B.M., Winder, R. and Newbould, J. (2025). </w:t>
      </w:r>
      <w:r w:rsidR="00AA22B8" w:rsidRPr="00AA22B8">
        <w:rPr>
          <w:rFonts w:ascii="Arial" w:hAnsi="Arial" w:cs="Arial"/>
        </w:rPr>
        <w:t>‘</w:t>
      </w:r>
      <w:r w:rsidRPr="007239C9">
        <w:rPr>
          <w:rFonts w:ascii="Arial" w:hAnsi="Arial" w:cs="Arial"/>
        </w:rPr>
        <w:t>Evolution of the general practice receptionist role and online services: qualitative study</w:t>
      </w:r>
      <w:r w:rsidR="00AA22B8" w:rsidRPr="00AA22B8">
        <w:rPr>
          <w:rFonts w:ascii="Arial" w:hAnsi="Arial" w:cs="Arial"/>
        </w:rPr>
        <w:t>’</w:t>
      </w:r>
      <w:r w:rsidRPr="007239C9">
        <w:rPr>
          <w:rFonts w:ascii="Arial" w:hAnsi="Arial" w:cs="Arial"/>
        </w:rPr>
        <w:t xml:space="preserve">. </w:t>
      </w:r>
      <w:r w:rsidRPr="007239C9">
        <w:rPr>
          <w:rFonts w:ascii="Arial" w:hAnsi="Arial" w:cs="Arial"/>
          <w:i/>
          <w:iCs/>
        </w:rPr>
        <w:t>British Journal of General Practice</w:t>
      </w:r>
      <w:r w:rsidRPr="007239C9">
        <w:rPr>
          <w:rFonts w:ascii="Arial" w:hAnsi="Arial" w:cs="Arial"/>
        </w:rPr>
        <w:t xml:space="preserve">, 75(759), p.BJGP.2024.0677. </w:t>
      </w:r>
      <w:r w:rsidR="00AA22B8" w:rsidRPr="00AA22B8">
        <w:rPr>
          <w:rFonts w:ascii="Arial" w:hAnsi="Arial" w:cs="Arial"/>
        </w:rPr>
        <w:t>Available at</w:t>
      </w:r>
      <w:r w:rsidRPr="007239C9">
        <w:rPr>
          <w:rFonts w:ascii="Arial" w:hAnsi="Arial" w:cs="Arial"/>
        </w:rPr>
        <w:t>:</w:t>
      </w:r>
      <w:r w:rsidRPr="00AA22B8">
        <w:rPr>
          <w:rFonts w:ascii="Arial" w:hAnsi="Arial" w:cs="Arial"/>
        </w:rPr>
        <w:t xml:space="preserve"> </w:t>
      </w:r>
      <w:hyperlink r:id="rId28" w:history="1">
        <w:r w:rsidRPr="007239C9">
          <w:rPr>
            <w:rStyle w:val="Hyperlink"/>
            <w:rFonts w:ascii="Arial" w:hAnsi="Arial" w:cs="Arial"/>
          </w:rPr>
          <w:t>https://doi.org/10.3399/bjgp.2024</w:t>
        </w:r>
        <w:r w:rsidRPr="007239C9">
          <w:rPr>
            <w:rStyle w:val="Hyperlink"/>
            <w:rFonts w:ascii="Arial" w:hAnsi="Arial" w:cs="Arial"/>
          </w:rPr>
          <w:t>.</w:t>
        </w:r>
        <w:r w:rsidRPr="007239C9">
          <w:rPr>
            <w:rStyle w:val="Hyperlink"/>
            <w:rFonts w:ascii="Arial" w:hAnsi="Arial" w:cs="Arial"/>
          </w:rPr>
          <w:t>0677</w:t>
        </w:r>
      </w:hyperlink>
      <w:r w:rsidRPr="00AA22B8">
        <w:rPr>
          <w:rFonts w:ascii="Arial" w:hAnsi="Arial" w:cs="Arial"/>
        </w:rPr>
        <w:t xml:space="preserve"> </w:t>
      </w:r>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22</w:t>
      </w:r>
      <w:r w:rsidR="00AA22B8" w:rsidRPr="00AA22B8">
        <w:rPr>
          <w:rFonts w:ascii="Arial" w:hAnsi="Arial" w:cs="Arial"/>
        </w:rPr>
        <w:t>/02/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68D95FB7" w14:textId="3E70F6D0" w:rsidR="00EC2157" w:rsidRPr="00AA22B8" w:rsidRDefault="00EC2157" w:rsidP="00080139">
      <w:pPr>
        <w:spacing w:line="360" w:lineRule="auto"/>
        <w:rPr>
          <w:rFonts w:ascii="Arial" w:hAnsi="Arial" w:cs="Arial"/>
        </w:rPr>
      </w:pPr>
      <w:r w:rsidRPr="000730E8">
        <w:rPr>
          <w:rFonts w:ascii="Arial" w:hAnsi="Arial" w:cs="Arial"/>
        </w:rPr>
        <w:t>‌</w:t>
      </w:r>
      <w:r w:rsidRPr="00AA22B8">
        <w:rPr>
          <w:rFonts w:ascii="Arial" w:hAnsi="Arial" w:cs="Arial"/>
        </w:rPr>
        <w:t xml:space="preserve">West, C.P., Dyrbye, L.N. and Shanafelt, T.D. (2018). </w:t>
      </w:r>
      <w:r w:rsidR="00AA22B8" w:rsidRPr="00AA22B8">
        <w:rPr>
          <w:rFonts w:ascii="Arial" w:hAnsi="Arial" w:cs="Arial"/>
        </w:rPr>
        <w:t>‘</w:t>
      </w:r>
      <w:r w:rsidRPr="00AA22B8">
        <w:rPr>
          <w:rFonts w:ascii="Arial" w:hAnsi="Arial" w:cs="Arial"/>
        </w:rPr>
        <w:t>Physician burnout: contributors, consequences and solutions</w:t>
      </w:r>
      <w:r w:rsidR="00AA22B8" w:rsidRPr="00AA22B8">
        <w:rPr>
          <w:rFonts w:ascii="Arial" w:hAnsi="Arial" w:cs="Arial"/>
        </w:rPr>
        <w:t>’</w:t>
      </w:r>
      <w:r w:rsidRPr="00AA22B8">
        <w:rPr>
          <w:rFonts w:ascii="Arial" w:hAnsi="Arial" w:cs="Arial"/>
        </w:rPr>
        <w:t>. </w:t>
      </w:r>
      <w:r w:rsidRPr="00AA22B8">
        <w:rPr>
          <w:rFonts w:ascii="Arial" w:hAnsi="Arial" w:cs="Arial"/>
          <w:i/>
          <w:iCs/>
        </w:rPr>
        <w:t>Journal of Internal Medicine</w:t>
      </w:r>
      <w:r w:rsidRPr="00AA22B8">
        <w:rPr>
          <w:rFonts w:ascii="Arial" w:hAnsi="Arial" w:cs="Arial"/>
        </w:rPr>
        <w:t xml:space="preserve">, 283(6), pp.516–529. </w:t>
      </w:r>
      <w:r w:rsidR="00AA22B8" w:rsidRPr="00AA22B8">
        <w:rPr>
          <w:rFonts w:ascii="Arial" w:hAnsi="Arial" w:cs="Arial"/>
        </w:rPr>
        <w:t xml:space="preserve">Available at: </w:t>
      </w:r>
      <w:hyperlink r:id="rId29" w:history="1">
        <w:r w:rsidR="00AA22B8" w:rsidRPr="00AA22B8">
          <w:rPr>
            <w:rStyle w:val="Hyperlink"/>
            <w:rFonts w:ascii="Arial" w:hAnsi="Arial" w:cs="Arial"/>
          </w:rPr>
          <w:t>https://doi.org/10.1111/joim.12752</w:t>
        </w:r>
      </w:hyperlink>
      <w:r w:rsidRPr="00AA22B8">
        <w:rPr>
          <w:rFonts w:ascii="Arial" w:hAnsi="Arial" w:cs="Arial"/>
        </w:rPr>
        <w:t>.</w:t>
      </w:r>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22</w:t>
      </w:r>
      <w:r w:rsidR="00AA22B8" w:rsidRPr="00AA22B8">
        <w:rPr>
          <w:rFonts w:ascii="Arial" w:hAnsi="Arial" w:cs="Arial"/>
        </w:rPr>
        <w:t>/02/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7639DC59" w14:textId="6EB18843" w:rsidR="00EC2157" w:rsidRPr="00366F9B" w:rsidRDefault="00EC2157" w:rsidP="00080139">
      <w:pPr>
        <w:spacing w:line="360" w:lineRule="auto"/>
        <w:rPr>
          <w:rFonts w:ascii="Arial" w:hAnsi="Arial" w:cs="Arial"/>
        </w:rPr>
      </w:pPr>
      <w:r w:rsidRPr="00366F9B">
        <w:rPr>
          <w:rFonts w:ascii="Arial" w:hAnsi="Arial" w:cs="Arial"/>
        </w:rPr>
        <w:t xml:space="preserve">Williams, G., Falkenbach, M. and Wismar, M. (2025). </w:t>
      </w:r>
      <w:r w:rsidR="00AA22B8" w:rsidRPr="00AA22B8">
        <w:rPr>
          <w:rFonts w:ascii="Arial" w:hAnsi="Arial" w:cs="Arial"/>
        </w:rPr>
        <w:t>‘Transforming digital skills and competencies in the health and care workforce’</w:t>
      </w:r>
      <w:r w:rsidRPr="00366F9B">
        <w:rPr>
          <w:rFonts w:ascii="Arial" w:hAnsi="Arial" w:cs="Arial"/>
        </w:rPr>
        <w:t>.</w:t>
      </w:r>
      <w:r w:rsidR="00AA22B8" w:rsidRPr="00AA22B8">
        <w:rPr>
          <w:rFonts w:ascii="Arial" w:hAnsi="Arial" w:cs="Arial"/>
        </w:rPr>
        <w:t xml:space="preserve"> </w:t>
      </w:r>
      <w:proofErr w:type="spellStart"/>
      <w:r w:rsidR="00AA22B8" w:rsidRPr="00AA22B8">
        <w:rPr>
          <w:rFonts w:ascii="Arial" w:hAnsi="Arial" w:cs="Arial"/>
          <w:i/>
          <w:iCs/>
        </w:rPr>
        <w:t>Eurohealth</w:t>
      </w:r>
      <w:proofErr w:type="spellEnd"/>
      <w:r w:rsidRPr="00366F9B">
        <w:rPr>
          <w:rFonts w:ascii="Arial" w:hAnsi="Arial" w:cs="Arial"/>
        </w:rPr>
        <w:t xml:space="preserve"> </w:t>
      </w:r>
      <w:r w:rsidR="00AA22B8" w:rsidRPr="00AA22B8">
        <w:rPr>
          <w:rFonts w:ascii="Arial" w:hAnsi="Arial" w:cs="Arial"/>
        </w:rPr>
        <w:t xml:space="preserve"> </w:t>
      </w:r>
      <w:r w:rsidRPr="00366F9B">
        <w:rPr>
          <w:rFonts w:ascii="Arial" w:hAnsi="Arial" w:cs="Arial"/>
        </w:rPr>
        <w:t xml:space="preserve">31(3). Available at: </w:t>
      </w:r>
      <w:hyperlink r:id="rId30" w:history="1">
        <w:r w:rsidR="00AA22B8" w:rsidRPr="00366F9B">
          <w:rPr>
            <w:rStyle w:val="Hyperlink"/>
            <w:rFonts w:ascii="Arial" w:hAnsi="Arial" w:cs="Arial"/>
          </w:rPr>
          <w:t>https://iris.who.int/server/api/core/bitstreams/69d08651-e69c-442e-aad2-5c732bb4655b/</w:t>
        </w:r>
        <w:r w:rsidR="00AA22B8" w:rsidRPr="00366F9B">
          <w:rPr>
            <w:rStyle w:val="Hyperlink"/>
            <w:rFonts w:ascii="Arial" w:hAnsi="Arial" w:cs="Arial"/>
          </w:rPr>
          <w:t>c</w:t>
        </w:r>
        <w:r w:rsidR="00AA22B8" w:rsidRPr="00366F9B">
          <w:rPr>
            <w:rStyle w:val="Hyperlink"/>
            <w:rFonts w:ascii="Arial" w:hAnsi="Arial" w:cs="Arial"/>
          </w:rPr>
          <w:t>ontent</w:t>
        </w:r>
      </w:hyperlink>
      <w:r w:rsidR="00AA22B8" w:rsidRPr="00AA22B8">
        <w:rPr>
          <w:rFonts w:ascii="Arial" w:hAnsi="Arial" w:cs="Arial"/>
        </w:rPr>
        <w:t xml:space="preserve"> </w:t>
      </w:r>
      <w:r w:rsidRPr="00366F9B">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20/02/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p>
    <w:p w14:paraId="24C73F9D" w14:textId="5044131F" w:rsidR="00EC2157" w:rsidRPr="00366F9B" w:rsidRDefault="00EC2157" w:rsidP="00080139">
      <w:pPr>
        <w:spacing w:line="360" w:lineRule="auto"/>
        <w:rPr>
          <w:rFonts w:ascii="Arial" w:hAnsi="Arial" w:cs="Arial"/>
        </w:rPr>
      </w:pPr>
      <w:r w:rsidRPr="00366F9B">
        <w:rPr>
          <w:rFonts w:ascii="Arial" w:hAnsi="Arial" w:cs="Arial"/>
        </w:rPr>
        <w:t>‌</w:t>
      </w:r>
      <w:r w:rsidRPr="00AA22B8">
        <w:rPr>
          <w:rFonts w:ascii="Arial" w:hAnsi="Arial" w:cs="Arial"/>
        </w:rPr>
        <w:t xml:space="preserve">Wills, E., Mistry, P. and </w:t>
      </w:r>
      <w:proofErr w:type="spellStart"/>
      <w:r w:rsidRPr="00AA22B8">
        <w:rPr>
          <w:rFonts w:ascii="Arial" w:hAnsi="Arial" w:cs="Arial"/>
        </w:rPr>
        <w:t>Gowar</w:t>
      </w:r>
      <w:proofErr w:type="spellEnd"/>
      <w:r w:rsidRPr="00AA22B8">
        <w:rPr>
          <w:rFonts w:ascii="Arial" w:hAnsi="Arial" w:cs="Arial"/>
        </w:rPr>
        <w:t xml:space="preserve">, C. (2025). </w:t>
      </w:r>
      <w:r w:rsidRPr="00AA22B8">
        <w:rPr>
          <w:rFonts w:ascii="Arial" w:hAnsi="Arial" w:cs="Arial"/>
          <w:i/>
          <w:iCs/>
        </w:rPr>
        <w:t>Designing inclusive and trusted digital health services with people and communities</w:t>
      </w:r>
      <w:r w:rsidRPr="00AA22B8">
        <w:rPr>
          <w:rFonts w:ascii="Arial" w:hAnsi="Arial" w:cs="Arial"/>
        </w:rPr>
        <w:t xml:space="preserve">.  Available at: </w:t>
      </w:r>
      <w:hyperlink r:id="rId31" w:history="1">
        <w:r w:rsidRPr="00AA22B8">
          <w:rPr>
            <w:rStyle w:val="Hyperlink"/>
            <w:rFonts w:ascii="Arial" w:hAnsi="Arial" w:cs="Arial"/>
          </w:rPr>
          <w:t>Designing Inclusive Digital Health Services With Communities | The King's Fund</w:t>
        </w:r>
      </w:hyperlink>
      <w:r w:rsidR="00AA22B8" w:rsidRPr="00AA22B8">
        <w:rPr>
          <w:rFonts w:ascii="Arial" w:hAnsi="Arial" w:cs="Arial"/>
        </w:rPr>
        <w:t xml:space="preserve">. </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20/02/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AA22B8">
        <w:rPr>
          <w:rFonts w:ascii="Arial" w:hAnsi="Arial" w:cs="Arial"/>
        </w:rPr>
        <w:t xml:space="preserve"> </w:t>
      </w:r>
      <w:r w:rsidRPr="00AA22B8">
        <w:rPr>
          <w:rFonts w:ascii="Arial" w:hAnsi="Arial" w:cs="Arial"/>
        </w:rPr>
        <w:t xml:space="preserve"> </w:t>
      </w:r>
    </w:p>
    <w:p w14:paraId="0AE0387D" w14:textId="2A40ED1F" w:rsidR="00EC2157" w:rsidRPr="00080139" w:rsidRDefault="00EC2157" w:rsidP="00080139">
      <w:pPr>
        <w:spacing w:line="360" w:lineRule="auto"/>
        <w:rPr>
          <w:rFonts w:ascii="Arial" w:hAnsi="Arial" w:cs="Arial"/>
        </w:rPr>
      </w:pPr>
      <w:r w:rsidRPr="000730E8">
        <w:rPr>
          <w:rFonts w:ascii="Arial" w:hAnsi="Arial" w:cs="Arial"/>
        </w:rPr>
        <w:t>‌</w:t>
      </w:r>
      <w:proofErr w:type="spellStart"/>
      <w:r w:rsidRPr="00AA22B8">
        <w:rPr>
          <w:rFonts w:ascii="Arial" w:hAnsi="Arial" w:cs="Arial"/>
        </w:rPr>
        <w:t>Wosny</w:t>
      </w:r>
      <w:proofErr w:type="spellEnd"/>
      <w:r w:rsidRPr="00AA22B8">
        <w:rPr>
          <w:rFonts w:ascii="Arial" w:hAnsi="Arial" w:cs="Arial"/>
        </w:rPr>
        <w:t xml:space="preserve">, M., Strasser, L.M. </w:t>
      </w:r>
      <w:r w:rsidR="00AA22B8" w:rsidRPr="00AA22B8">
        <w:rPr>
          <w:rFonts w:ascii="Arial" w:hAnsi="Arial" w:cs="Arial"/>
        </w:rPr>
        <w:t>and</w:t>
      </w:r>
      <w:r w:rsidRPr="00AA22B8">
        <w:rPr>
          <w:rFonts w:ascii="Arial" w:hAnsi="Arial" w:cs="Arial"/>
        </w:rPr>
        <w:t xml:space="preserve"> Hastings, J. </w:t>
      </w:r>
      <w:r w:rsidR="00AA22B8" w:rsidRPr="00AA22B8">
        <w:rPr>
          <w:rFonts w:ascii="Arial" w:hAnsi="Arial" w:cs="Arial"/>
        </w:rPr>
        <w:t>(</w:t>
      </w:r>
      <w:r w:rsidRPr="00AA22B8">
        <w:rPr>
          <w:rFonts w:ascii="Arial" w:hAnsi="Arial" w:cs="Arial"/>
        </w:rPr>
        <w:t>2023</w:t>
      </w:r>
      <w:r w:rsidR="00AA22B8" w:rsidRPr="00AA22B8">
        <w:rPr>
          <w:rFonts w:ascii="Arial" w:hAnsi="Arial" w:cs="Arial"/>
        </w:rPr>
        <w:t>)</w:t>
      </w:r>
      <w:r w:rsidRPr="00AA22B8">
        <w:rPr>
          <w:rFonts w:ascii="Arial" w:hAnsi="Arial" w:cs="Arial"/>
        </w:rPr>
        <w:t xml:space="preserve">, </w:t>
      </w:r>
      <w:r w:rsidR="00AA22B8" w:rsidRPr="00AA22B8">
        <w:rPr>
          <w:rFonts w:ascii="Arial" w:hAnsi="Arial" w:cs="Arial"/>
        </w:rPr>
        <w:t>‘</w:t>
      </w:r>
      <w:r w:rsidRPr="00AA22B8">
        <w:rPr>
          <w:rFonts w:ascii="Arial" w:hAnsi="Arial" w:cs="Arial"/>
        </w:rPr>
        <w:t>Experience of Health Care Professionals Using Digital Tools in the Hospital: Qualitative Systematic Review</w:t>
      </w:r>
      <w:r w:rsidR="00AA22B8" w:rsidRPr="00AA22B8">
        <w:rPr>
          <w:rFonts w:ascii="Arial" w:hAnsi="Arial" w:cs="Arial"/>
        </w:rPr>
        <w:t>’</w:t>
      </w:r>
      <w:r w:rsidRPr="00AA22B8">
        <w:rPr>
          <w:rFonts w:ascii="Arial" w:hAnsi="Arial" w:cs="Arial"/>
        </w:rPr>
        <w:t>, </w:t>
      </w:r>
      <w:r w:rsidRPr="00AA22B8">
        <w:rPr>
          <w:rFonts w:ascii="Arial" w:hAnsi="Arial" w:cs="Arial"/>
          <w:i/>
          <w:iCs/>
        </w:rPr>
        <w:t>JMIR Human Factors, </w:t>
      </w:r>
      <w:r w:rsidRPr="00AA22B8">
        <w:rPr>
          <w:rFonts w:ascii="Arial" w:hAnsi="Arial" w:cs="Arial"/>
        </w:rPr>
        <w:t>vol. 10.</w:t>
      </w:r>
      <w:r w:rsidR="00AA22B8" w:rsidRPr="00AA22B8">
        <w:rPr>
          <w:rFonts w:ascii="Arial" w:hAnsi="Arial" w:cs="Arial"/>
        </w:rPr>
        <w:t xml:space="preserve"> Available at: </w:t>
      </w:r>
      <w:hyperlink r:id="rId32" w:history="1">
        <w:r w:rsidRPr="00AA22B8">
          <w:rPr>
            <w:rStyle w:val="Hyperlink"/>
            <w:rFonts w:ascii="Arial" w:hAnsi="Arial" w:cs="Arial"/>
          </w:rPr>
          <w:t>https://doi.org/10.2196/50357</w:t>
        </w:r>
      </w:hyperlink>
      <w:r w:rsidR="00AA22B8" w:rsidRPr="00AA22B8">
        <w:rPr>
          <w:rFonts w:ascii="Arial" w:hAnsi="Arial" w:cs="Arial"/>
        </w:rPr>
        <w:t>.</w:t>
      </w:r>
      <w:r w:rsidR="00AA22B8" w:rsidRPr="00AA22B8">
        <w:rPr>
          <w:rFonts w:ascii="Arial" w:hAnsi="Arial" w:cs="Arial"/>
        </w:rPr>
        <w:t>(</w:t>
      </w:r>
      <w:r w:rsidR="00AA22B8" w:rsidRPr="00366F9B">
        <w:rPr>
          <w:rFonts w:ascii="Arial" w:hAnsi="Arial" w:cs="Arial"/>
        </w:rPr>
        <w:t xml:space="preserve">Accessed </w:t>
      </w:r>
      <w:r w:rsidR="00AA22B8" w:rsidRPr="00AA22B8">
        <w:rPr>
          <w:rFonts w:ascii="Arial" w:hAnsi="Arial" w:cs="Arial"/>
        </w:rPr>
        <w:t>20/02/</w:t>
      </w:r>
      <w:r w:rsidR="00AA22B8" w:rsidRPr="00366F9B">
        <w:rPr>
          <w:rFonts w:ascii="Arial" w:hAnsi="Arial" w:cs="Arial"/>
        </w:rPr>
        <w:t>26</w:t>
      </w:r>
      <w:r w:rsidR="00AA22B8" w:rsidRPr="00AA22B8">
        <w:rPr>
          <w:rFonts w:ascii="Arial" w:hAnsi="Arial" w:cs="Arial"/>
        </w:rPr>
        <w:t>)</w:t>
      </w:r>
      <w:r w:rsidR="00AA22B8" w:rsidRPr="00366F9B">
        <w:rPr>
          <w:rFonts w:ascii="Arial" w:hAnsi="Arial" w:cs="Arial"/>
        </w:rPr>
        <w:t>.</w:t>
      </w:r>
      <w:r w:rsidR="00AA22B8" w:rsidRPr="00080139">
        <w:rPr>
          <w:rFonts w:ascii="Arial" w:hAnsi="Arial" w:cs="Arial"/>
        </w:rPr>
        <w:t xml:space="preserve"> </w:t>
      </w:r>
      <w:r w:rsidRPr="00080139">
        <w:rPr>
          <w:rFonts w:ascii="Arial" w:hAnsi="Arial" w:cs="Arial"/>
        </w:rPr>
        <w:t xml:space="preserve"> </w:t>
      </w:r>
    </w:p>
    <w:sectPr w:rsidR="00EC2157" w:rsidRPr="00080139">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5942F" w14:textId="77777777" w:rsidR="00A21BCE" w:rsidRDefault="00A21BCE" w:rsidP="007239C9">
      <w:pPr>
        <w:spacing w:after="0" w:line="240" w:lineRule="auto"/>
      </w:pPr>
      <w:r>
        <w:separator/>
      </w:r>
    </w:p>
  </w:endnote>
  <w:endnote w:type="continuationSeparator" w:id="0">
    <w:p w14:paraId="0DBC193E" w14:textId="77777777" w:rsidR="00A21BCE" w:rsidRDefault="00A21BCE" w:rsidP="00723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083197"/>
      <w:docPartObj>
        <w:docPartGallery w:val="Page Numbers (Bottom of Page)"/>
        <w:docPartUnique/>
      </w:docPartObj>
    </w:sdtPr>
    <w:sdtEndPr>
      <w:rPr>
        <w:noProof/>
      </w:rPr>
    </w:sdtEndPr>
    <w:sdtContent>
      <w:p w14:paraId="15E43D35" w14:textId="36DD1927" w:rsidR="007239C9" w:rsidRDefault="007239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4C6A36" w14:textId="77777777" w:rsidR="007239C9" w:rsidRDefault="00723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9230E" w14:textId="77777777" w:rsidR="00A21BCE" w:rsidRDefault="00A21BCE" w:rsidP="007239C9">
      <w:pPr>
        <w:spacing w:after="0" w:line="240" w:lineRule="auto"/>
      </w:pPr>
      <w:r>
        <w:separator/>
      </w:r>
    </w:p>
  </w:footnote>
  <w:footnote w:type="continuationSeparator" w:id="0">
    <w:p w14:paraId="7C5F9153" w14:textId="77777777" w:rsidR="00A21BCE" w:rsidRDefault="00A21BCE" w:rsidP="00723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F2C54"/>
    <w:multiLevelType w:val="multilevel"/>
    <w:tmpl w:val="9176F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0A1F22"/>
    <w:multiLevelType w:val="multilevel"/>
    <w:tmpl w:val="0B7CD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C932F8"/>
    <w:multiLevelType w:val="multilevel"/>
    <w:tmpl w:val="FE26B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8658BC"/>
    <w:multiLevelType w:val="multilevel"/>
    <w:tmpl w:val="DAFC8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8860396">
    <w:abstractNumId w:val="2"/>
  </w:num>
  <w:num w:numId="2" w16cid:durableId="170491359">
    <w:abstractNumId w:val="1"/>
  </w:num>
  <w:num w:numId="3" w16cid:durableId="987905929">
    <w:abstractNumId w:val="0"/>
  </w:num>
  <w:num w:numId="4" w16cid:durableId="20079755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8CE"/>
    <w:rsid w:val="000730E8"/>
    <w:rsid w:val="00080139"/>
    <w:rsid w:val="000A4123"/>
    <w:rsid w:val="00104211"/>
    <w:rsid w:val="00144CB4"/>
    <w:rsid w:val="001505B8"/>
    <w:rsid w:val="001D4A31"/>
    <w:rsid w:val="001E4A3E"/>
    <w:rsid w:val="00244866"/>
    <w:rsid w:val="0025612E"/>
    <w:rsid w:val="0025761D"/>
    <w:rsid w:val="0027371C"/>
    <w:rsid w:val="002A5FFD"/>
    <w:rsid w:val="002D4011"/>
    <w:rsid w:val="00321AF1"/>
    <w:rsid w:val="00346C21"/>
    <w:rsid w:val="00366F9B"/>
    <w:rsid w:val="003E4853"/>
    <w:rsid w:val="0040422F"/>
    <w:rsid w:val="00407D7B"/>
    <w:rsid w:val="00421177"/>
    <w:rsid w:val="00422612"/>
    <w:rsid w:val="00474E41"/>
    <w:rsid w:val="004E38BB"/>
    <w:rsid w:val="004E4811"/>
    <w:rsid w:val="00505508"/>
    <w:rsid w:val="005140B7"/>
    <w:rsid w:val="005665E9"/>
    <w:rsid w:val="005A2236"/>
    <w:rsid w:val="005E6C03"/>
    <w:rsid w:val="00685757"/>
    <w:rsid w:val="0070281D"/>
    <w:rsid w:val="0070483F"/>
    <w:rsid w:val="007239C9"/>
    <w:rsid w:val="00746A4F"/>
    <w:rsid w:val="007657DB"/>
    <w:rsid w:val="007B328B"/>
    <w:rsid w:val="007D7C25"/>
    <w:rsid w:val="00813BBB"/>
    <w:rsid w:val="00840296"/>
    <w:rsid w:val="00865C6E"/>
    <w:rsid w:val="0087441A"/>
    <w:rsid w:val="008E54F7"/>
    <w:rsid w:val="00943E99"/>
    <w:rsid w:val="009725B9"/>
    <w:rsid w:val="009E4B7A"/>
    <w:rsid w:val="009F397F"/>
    <w:rsid w:val="00A10673"/>
    <w:rsid w:val="00A21BCE"/>
    <w:rsid w:val="00A22641"/>
    <w:rsid w:val="00A61548"/>
    <w:rsid w:val="00A82040"/>
    <w:rsid w:val="00AA22B8"/>
    <w:rsid w:val="00B57343"/>
    <w:rsid w:val="00B814D4"/>
    <w:rsid w:val="00BC10D6"/>
    <w:rsid w:val="00BE20EB"/>
    <w:rsid w:val="00C46DD0"/>
    <w:rsid w:val="00C858CE"/>
    <w:rsid w:val="00C975D2"/>
    <w:rsid w:val="00CB7355"/>
    <w:rsid w:val="00CD6527"/>
    <w:rsid w:val="00D138B2"/>
    <w:rsid w:val="00D96778"/>
    <w:rsid w:val="00D97D10"/>
    <w:rsid w:val="00E01BA3"/>
    <w:rsid w:val="00E31DE7"/>
    <w:rsid w:val="00E97A8C"/>
    <w:rsid w:val="00EB65EA"/>
    <w:rsid w:val="00EC2157"/>
    <w:rsid w:val="00F16299"/>
    <w:rsid w:val="00F51ED4"/>
    <w:rsid w:val="00FA342D"/>
    <w:rsid w:val="00FC142F"/>
    <w:rsid w:val="00FC718D"/>
    <w:rsid w:val="00FF3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74682"/>
  <w15:chartTrackingRefBased/>
  <w15:docId w15:val="{618E7816-A23C-4727-AE87-52387D0DA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8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58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8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8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8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8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8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8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8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8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58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8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8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8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8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8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8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8CE"/>
    <w:rPr>
      <w:rFonts w:eastAsiaTheme="majorEastAsia" w:cstheme="majorBidi"/>
      <w:color w:val="272727" w:themeColor="text1" w:themeTint="D8"/>
    </w:rPr>
  </w:style>
  <w:style w:type="paragraph" w:styleId="Title">
    <w:name w:val="Title"/>
    <w:basedOn w:val="Normal"/>
    <w:next w:val="Normal"/>
    <w:link w:val="TitleChar"/>
    <w:uiPriority w:val="10"/>
    <w:qFormat/>
    <w:rsid w:val="00C858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8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8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8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8CE"/>
    <w:pPr>
      <w:spacing w:before="160"/>
      <w:jc w:val="center"/>
    </w:pPr>
    <w:rPr>
      <w:i/>
      <w:iCs/>
      <w:color w:val="404040" w:themeColor="text1" w:themeTint="BF"/>
    </w:rPr>
  </w:style>
  <w:style w:type="character" w:customStyle="1" w:styleId="QuoteChar">
    <w:name w:val="Quote Char"/>
    <w:basedOn w:val="DefaultParagraphFont"/>
    <w:link w:val="Quote"/>
    <w:uiPriority w:val="29"/>
    <w:rsid w:val="00C858CE"/>
    <w:rPr>
      <w:i/>
      <w:iCs/>
      <w:color w:val="404040" w:themeColor="text1" w:themeTint="BF"/>
    </w:rPr>
  </w:style>
  <w:style w:type="paragraph" w:styleId="ListParagraph">
    <w:name w:val="List Paragraph"/>
    <w:basedOn w:val="Normal"/>
    <w:uiPriority w:val="34"/>
    <w:qFormat/>
    <w:rsid w:val="00C858CE"/>
    <w:pPr>
      <w:ind w:left="720"/>
      <w:contextualSpacing/>
    </w:pPr>
  </w:style>
  <w:style w:type="character" w:styleId="IntenseEmphasis">
    <w:name w:val="Intense Emphasis"/>
    <w:basedOn w:val="DefaultParagraphFont"/>
    <w:uiPriority w:val="21"/>
    <w:qFormat/>
    <w:rsid w:val="00C858CE"/>
    <w:rPr>
      <w:i/>
      <w:iCs/>
      <w:color w:val="0F4761" w:themeColor="accent1" w:themeShade="BF"/>
    </w:rPr>
  </w:style>
  <w:style w:type="paragraph" w:styleId="IntenseQuote">
    <w:name w:val="Intense Quote"/>
    <w:basedOn w:val="Normal"/>
    <w:next w:val="Normal"/>
    <w:link w:val="IntenseQuoteChar"/>
    <w:uiPriority w:val="30"/>
    <w:qFormat/>
    <w:rsid w:val="00C858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8CE"/>
    <w:rPr>
      <w:i/>
      <w:iCs/>
      <w:color w:val="0F4761" w:themeColor="accent1" w:themeShade="BF"/>
    </w:rPr>
  </w:style>
  <w:style w:type="character" w:styleId="IntenseReference">
    <w:name w:val="Intense Reference"/>
    <w:basedOn w:val="DefaultParagraphFont"/>
    <w:uiPriority w:val="32"/>
    <w:qFormat/>
    <w:rsid w:val="00C858CE"/>
    <w:rPr>
      <w:b/>
      <w:bCs/>
      <w:smallCaps/>
      <w:color w:val="0F4761" w:themeColor="accent1" w:themeShade="BF"/>
      <w:spacing w:val="5"/>
    </w:rPr>
  </w:style>
  <w:style w:type="character" w:styleId="Hyperlink">
    <w:name w:val="Hyperlink"/>
    <w:basedOn w:val="DefaultParagraphFont"/>
    <w:uiPriority w:val="99"/>
    <w:unhideWhenUsed/>
    <w:rsid w:val="00E31DE7"/>
    <w:rPr>
      <w:color w:val="467886" w:themeColor="hyperlink"/>
      <w:u w:val="single"/>
    </w:rPr>
  </w:style>
  <w:style w:type="character" w:styleId="UnresolvedMention">
    <w:name w:val="Unresolved Mention"/>
    <w:basedOn w:val="DefaultParagraphFont"/>
    <w:uiPriority w:val="99"/>
    <w:semiHidden/>
    <w:unhideWhenUsed/>
    <w:rsid w:val="00E31DE7"/>
    <w:rPr>
      <w:color w:val="605E5C"/>
      <w:shd w:val="clear" w:color="auto" w:fill="E1DFDD"/>
    </w:rPr>
  </w:style>
  <w:style w:type="character" w:styleId="FollowedHyperlink">
    <w:name w:val="FollowedHyperlink"/>
    <w:basedOn w:val="DefaultParagraphFont"/>
    <w:uiPriority w:val="99"/>
    <w:semiHidden/>
    <w:unhideWhenUsed/>
    <w:rsid w:val="0070281D"/>
    <w:rPr>
      <w:color w:val="96607D" w:themeColor="followedHyperlink"/>
      <w:u w:val="single"/>
    </w:rPr>
  </w:style>
  <w:style w:type="paragraph" w:styleId="Header">
    <w:name w:val="header"/>
    <w:basedOn w:val="Normal"/>
    <w:link w:val="HeaderChar"/>
    <w:uiPriority w:val="99"/>
    <w:unhideWhenUsed/>
    <w:rsid w:val="00723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9C9"/>
  </w:style>
  <w:style w:type="paragraph" w:styleId="Footer">
    <w:name w:val="footer"/>
    <w:basedOn w:val="Normal"/>
    <w:link w:val="FooterChar"/>
    <w:uiPriority w:val="99"/>
    <w:unhideWhenUsed/>
    <w:rsid w:val="00723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9C9"/>
  </w:style>
  <w:style w:type="paragraph" w:styleId="NormalWeb">
    <w:name w:val="Normal (Web)"/>
    <w:basedOn w:val="Normal"/>
    <w:uiPriority w:val="99"/>
    <w:semiHidden/>
    <w:unhideWhenUsed/>
    <w:rsid w:val="00474E4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secure-data-environment-policy-guidelines/secure-data-environment-for-nhs-health-and-social-care-data-policy-guidelines" TargetMode="External"/><Relationship Id="rId18" Type="http://schemas.openxmlformats.org/officeDocument/2006/relationships/hyperlink" Target="http://dx.doi.org/10.3389/forgp.2024.1392997" TargetMode="External"/><Relationship Id="rId26" Type="http://schemas.openxmlformats.org/officeDocument/2006/relationships/hyperlink" Target="https://doi.org/10.3390/ijerph17186464" TargetMode="External"/><Relationship Id="rId3" Type="http://schemas.openxmlformats.org/officeDocument/2006/relationships/styles" Target="styles.xml"/><Relationship Id="rId21" Type="http://schemas.openxmlformats.org/officeDocument/2006/relationships/hyperlink" Target="https://www.england.nhs.uk/long-read/inclusive-digital-healthcare-a-framework-for-nhs-action-on-digital-inclusion/"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9/bjgp24X736749" TargetMode="External"/><Relationship Id="rId17" Type="http://schemas.openxmlformats.org/officeDocument/2006/relationships/hyperlink" Target="https://doi.org/10.1111/ijtd.12044" TargetMode="External"/><Relationship Id="rId25" Type="http://schemas.openxmlformats.org/officeDocument/2006/relationships/hyperlink" Target="https://doi.org/10.1016/j.ijmedinf.2013.01.009"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ealth.org.uk/reports-and-analysis/analysis/digitising-the-nhs-and-adult-social-care-what-could-it-cost" TargetMode="External"/><Relationship Id="rId20" Type="http://schemas.openxmlformats.org/officeDocument/2006/relationships/hyperlink" Target="https://webarchive.nationalarchives.gov.uk/ukgwa/20230418155402/https:/www.longtermplan.nhs.uk/publication/nhs-long-term-plan/" TargetMode="External"/><Relationship Id="rId29" Type="http://schemas.openxmlformats.org/officeDocument/2006/relationships/hyperlink" Target="https://doi.org/10.1111/joim.127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ijerph22060845" TargetMode="External"/><Relationship Id="rId24" Type="http://schemas.openxmlformats.org/officeDocument/2006/relationships/hyperlink" Target="https://digital.nhs.uk/services/nhs-app/nhs-app-features" TargetMode="External"/><Relationship Id="rId32" Type="http://schemas.openxmlformats.org/officeDocument/2006/relationships/hyperlink" Target="https://doi.org/10.2196/50357" TargetMode="External"/><Relationship Id="rId5" Type="http://schemas.openxmlformats.org/officeDocument/2006/relationships/webSettings" Target="webSettings.xml"/><Relationship Id="rId15" Type="http://schemas.openxmlformats.org/officeDocument/2006/relationships/hyperlink" Target="https://doi.org/10.1177/08404704221107362" TargetMode="External"/><Relationship Id="rId23" Type="http://schemas.openxmlformats.org/officeDocument/2006/relationships/hyperlink" Target="https://www.england.nhs.uk/2025/12/record-numbers-using-nhs-app-to-manage-health/" TargetMode="External"/><Relationship Id="rId28" Type="http://schemas.openxmlformats.org/officeDocument/2006/relationships/hyperlink" Target="https://doi.org/10.3399/bjgp.2024.0677" TargetMode="External"/><Relationship Id="rId10" Type="http://schemas.openxmlformats.org/officeDocument/2006/relationships/hyperlink" Target="https://doi.org/10.1007/s12232-022-00392-6" TargetMode="External"/><Relationship Id="rId19" Type="http://schemas.openxmlformats.org/officeDocument/2006/relationships/hyperlink" Target="https://www.england.nhs.uk/2019/01/nhs-app-begins-public-rollout/" TargetMode="External"/><Relationship Id="rId31" Type="http://schemas.openxmlformats.org/officeDocument/2006/relationships/hyperlink" Target="https://www.kingsfund.org.uk/insight-and-analysis/long-reads/inclusive-digital-services-people-communities?gad_source=1&amp;gad_campaignid=23444782228&amp;gbraid=0AAAAADmxskUFTRHwPjylOCUp4xxM_9aSJ&amp;gclid=Cj0KCQiA7-rMBhCFARIsAKnLKtAVLVsnd3Ao867SUv-SsHZt1LlknFvDZ6ASoueBZ1lQOUUcLsHRcAAaAmTGEALw_wcB" TargetMode="External"/><Relationship Id="rId4" Type="http://schemas.openxmlformats.org/officeDocument/2006/relationships/settings" Target="settings.xml"/><Relationship Id="rId9" Type="http://schemas.openxmlformats.org/officeDocument/2006/relationships/hyperlink" Target="https://research-information.bris.ac.uk/ws/portalfiles/portal/156823098/e293.full.pdf" TargetMode="External"/><Relationship Id="rId14" Type="http://schemas.openxmlformats.org/officeDocument/2006/relationships/hyperlink" Target="https://www.gov.uk/government/publications/a-plan-for-digital-health-and-social-care/a-plan-for-digital-health-and-social-care" TargetMode="External"/><Relationship Id="rId22" Type="http://schemas.openxmlformats.org/officeDocument/2006/relationships/hyperlink" Target="https://www.england.nhs.uk/long-read/supporting-digital-inclusion-in-general-practice-10-top-tips/" TargetMode="External"/><Relationship Id="rId27" Type="http://schemas.openxmlformats.org/officeDocument/2006/relationships/hyperlink" Target="https://doi.org/10.1186/s12916-024-03842-w" TargetMode="External"/><Relationship Id="rId30" Type="http://schemas.openxmlformats.org/officeDocument/2006/relationships/hyperlink" Target="https://iris.who.int/server/api/core/bitstreams/69d08651-e69c-442e-aad2-5c732bb4655b/content" TargetMode="External"/><Relationship Id="rId35" Type="http://schemas.openxmlformats.org/officeDocument/2006/relationships/theme" Target="theme/theme1.xml"/><Relationship Id="rId8" Type="http://schemas.openxmlformats.org/officeDocument/2006/relationships/hyperlink" Target="https://doi.org/10.2196/564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525D65-53E5-4E8C-81BC-BE0C744E6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3393</Words>
  <Characters>23044</Characters>
  <Application>Microsoft Office Word</Application>
  <DocSecurity>0</DocSecurity>
  <Lines>333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10</cp:revision>
  <dcterms:created xsi:type="dcterms:W3CDTF">2026-01-23T23:57:00Z</dcterms:created>
  <dcterms:modified xsi:type="dcterms:W3CDTF">2026-02-28T15:10:00Z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557227d5-86d2-4486-9b17-732699cf4a5f</vt:lpwstr>
  </property>
</Properties>
</file>