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45B0E1" w:themeColor="accent1" w:themeTint="99"/>
  <w:body>
    <w:p w14:paraId="759E5AE6" w14:textId="77777777" w:rsidR="005828AB" w:rsidRPr="007D29C2" w:rsidRDefault="005828AB" w:rsidP="005828AB">
      <w:pPr>
        <w:spacing w:before="120" w:after="120"/>
        <w:rPr>
          <w:rFonts w:ascii="Arial" w:hAnsi="Arial" w:cs="Arial"/>
          <w:b/>
          <w:sz w:val="40"/>
          <w:szCs w:val="40"/>
        </w:rPr>
      </w:pPr>
      <w:r w:rsidRPr="00946012">
        <w:rPr>
          <w:rFonts w:ascii="Arial" w:hAnsi="Arial" w:cs="Arial"/>
          <w:b/>
          <w:color w:val="77206D" w:themeColor="accent5" w:themeShade="BF"/>
          <w:sz w:val="40"/>
          <w:szCs w:val="40"/>
        </w:rPr>
        <w:t xml:space="preserve">Student name: </w:t>
      </w:r>
      <w:r w:rsidRPr="007D29C2">
        <w:rPr>
          <w:rFonts w:ascii="Arial" w:hAnsi="Arial" w:cs="Arial"/>
          <w:b/>
          <w:sz w:val="40"/>
          <w:szCs w:val="40"/>
        </w:rPr>
        <w:t>Nomathemba Amanda Socikwa</w:t>
      </w:r>
    </w:p>
    <w:p w14:paraId="57122E40" w14:textId="77777777" w:rsidR="005828AB" w:rsidRPr="007D29C2" w:rsidRDefault="005828AB" w:rsidP="005828AB">
      <w:pPr>
        <w:spacing w:before="120" w:after="120"/>
        <w:rPr>
          <w:rFonts w:ascii="Arial" w:hAnsi="Arial" w:cs="Arial"/>
          <w:b/>
          <w:sz w:val="40"/>
          <w:szCs w:val="40"/>
        </w:rPr>
      </w:pPr>
      <w:r w:rsidRPr="00946012">
        <w:rPr>
          <w:rFonts w:ascii="Arial" w:hAnsi="Arial" w:cs="Arial"/>
          <w:b/>
          <w:color w:val="77206D" w:themeColor="accent5" w:themeShade="BF"/>
          <w:sz w:val="40"/>
          <w:szCs w:val="40"/>
        </w:rPr>
        <w:t xml:space="preserve">Student ID NO: </w:t>
      </w:r>
      <w:r w:rsidRPr="007D29C2">
        <w:rPr>
          <w:rFonts w:ascii="Arial" w:hAnsi="Arial" w:cs="Arial"/>
          <w:b/>
          <w:sz w:val="40"/>
          <w:szCs w:val="40"/>
        </w:rPr>
        <w:t>2128581</w:t>
      </w:r>
    </w:p>
    <w:p w14:paraId="6F854176" w14:textId="77777777" w:rsidR="005828AB" w:rsidRPr="007D29C2" w:rsidRDefault="005828AB" w:rsidP="005828AB">
      <w:pPr>
        <w:spacing w:before="120" w:after="120"/>
        <w:rPr>
          <w:rFonts w:ascii="Arial" w:eastAsia="Arial" w:hAnsi="Arial" w:cs="Arial"/>
          <w:b/>
          <w:bCs/>
          <w:sz w:val="40"/>
          <w:szCs w:val="40"/>
        </w:rPr>
      </w:pPr>
      <w:r w:rsidRPr="00946012">
        <w:rPr>
          <w:rFonts w:ascii="Arial" w:hAnsi="Arial" w:cs="Arial"/>
          <w:b/>
          <w:color w:val="77206D" w:themeColor="accent5" w:themeShade="BF"/>
          <w:sz w:val="40"/>
          <w:szCs w:val="40"/>
        </w:rPr>
        <w:t xml:space="preserve">Programme: </w:t>
      </w:r>
      <w:r w:rsidRPr="007D29C2">
        <w:rPr>
          <w:rFonts w:ascii="Arial" w:eastAsia="Arial" w:hAnsi="Arial" w:cs="Arial"/>
          <w:b/>
          <w:bCs/>
          <w:sz w:val="40"/>
          <w:szCs w:val="40"/>
        </w:rPr>
        <w:t>MSc Public Health and Social Care in Practice</w:t>
      </w:r>
    </w:p>
    <w:p w14:paraId="662D4181" w14:textId="6591B33E" w:rsidR="005828AB" w:rsidRPr="00946012" w:rsidRDefault="005828AB" w:rsidP="005828AB">
      <w:pPr>
        <w:spacing w:before="120" w:after="120"/>
        <w:rPr>
          <w:rFonts w:ascii="Arial" w:eastAsia="Arial" w:hAnsi="Arial" w:cs="Arial"/>
          <w:b/>
          <w:bCs/>
          <w:color w:val="77206D" w:themeColor="accent5" w:themeShade="BF"/>
          <w:sz w:val="40"/>
          <w:szCs w:val="40"/>
        </w:rPr>
      </w:pPr>
      <w:r w:rsidRPr="00946012">
        <w:rPr>
          <w:rFonts w:ascii="Arial" w:eastAsia="Arial" w:hAnsi="Arial" w:cs="Arial"/>
          <w:b/>
          <w:bCs/>
          <w:color w:val="77206D" w:themeColor="accent5" w:themeShade="BF"/>
          <w:sz w:val="40"/>
          <w:szCs w:val="40"/>
        </w:rPr>
        <w:t xml:space="preserve">Module: </w:t>
      </w:r>
    </w:p>
    <w:p w14:paraId="7136D298" w14:textId="5D504D08" w:rsidR="005828AB" w:rsidRPr="007D29C2" w:rsidRDefault="005828AB" w:rsidP="005828AB">
      <w:pPr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  <w:r w:rsidRPr="00946012">
        <w:rPr>
          <w:rFonts w:ascii="Arial" w:eastAsia="Arial" w:hAnsi="Arial" w:cs="Arial"/>
          <w:b/>
          <w:bCs/>
          <w:color w:val="77206D" w:themeColor="accent5" w:themeShade="BF"/>
          <w:sz w:val="40"/>
          <w:szCs w:val="40"/>
        </w:rPr>
        <w:t xml:space="preserve">Module code: </w:t>
      </w:r>
      <w:r w:rsidRPr="007D29C2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>LCHS</w:t>
      </w:r>
    </w:p>
    <w:p w14:paraId="5F39FE2A" w14:textId="24008F60" w:rsidR="005828AB" w:rsidRPr="007D29C2" w:rsidRDefault="005828AB" w:rsidP="005828AB">
      <w:pPr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  <w:r w:rsidRPr="00946012">
        <w:rPr>
          <w:rFonts w:ascii="Arial" w:eastAsia="Arial" w:hAnsi="Arial" w:cs="Arial"/>
          <w:b/>
          <w:bCs/>
          <w:color w:val="77206D" w:themeColor="accent5" w:themeShade="BF"/>
          <w:sz w:val="40"/>
          <w:szCs w:val="40"/>
        </w:rPr>
        <w:t xml:space="preserve">Lecture: </w:t>
      </w:r>
      <w:r w:rsidRPr="007D29C2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>Dr Besty</w:t>
      </w:r>
    </w:p>
    <w:p w14:paraId="4ED86F4B" w14:textId="09305B0B" w:rsidR="005828AB" w:rsidRPr="007D29C2" w:rsidRDefault="005828AB" w:rsidP="005828AB">
      <w:pPr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</w:pPr>
      <w:r w:rsidRPr="00946012">
        <w:rPr>
          <w:rFonts w:ascii="Arial" w:eastAsia="Arial" w:hAnsi="Arial" w:cs="Arial"/>
          <w:b/>
          <w:bCs/>
          <w:color w:val="77206D" w:themeColor="accent5" w:themeShade="BF"/>
          <w:sz w:val="40"/>
          <w:szCs w:val="40"/>
        </w:rPr>
        <w:t xml:space="preserve">Assignment Title: </w:t>
      </w:r>
      <w:r w:rsidRPr="007D29C2">
        <w:rPr>
          <w:rFonts w:ascii="Arial" w:eastAsia="Arial" w:hAnsi="Arial" w:cs="Arial"/>
          <w:b/>
          <w:bCs/>
          <w:color w:val="000000" w:themeColor="text1"/>
          <w:sz w:val="40"/>
          <w:szCs w:val="40"/>
        </w:rPr>
        <w:t>Component 1 Poster</w:t>
      </w:r>
    </w:p>
    <w:p w14:paraId="2CBD1FB6" w14:textId="77777777" w:rsidR="007D29C2" w:rsidRDefault="007D29C2" w:rsidP="005828AB">
      <w:pPr>
        <w:rPr>
          <w:rFonts w:ascii="Arial" w:eastAsia="Arial" w:hAnsi="Arial" w:cs="Arial"/>
          <w:b/>
          <w:bCs/>
          <w:color w:val="000000" w:themeColor="text1"/>
          <w:sz w:val="32"/>
          <w:szCs w:val="32"/>
        </w:rPr>
      </w:pPr>
    </w:p>
    <w:p w14:paraId="4F269E05" w14:textId="77777777" w:rsidR="007D29C2" w:rsidRDefault="007D29C2" w:rsidP="005828AB">
      <w:pPr>
        <w:rPr>
          <w:rFonts w:ascii="Arial" w:eastAsia="Arial" w:hAnsi="Arial" w:cs="Arial"/>
          <w:b/>
          <w:bCs/>
          <w:color w:val="000000" w:themeColor="text1"/>
          <w:sz w:val="32"/>
          <w:szCs w:val="32"/>
        </w:rPr>
      </w:pPr>
    </w:p>
    <w:p w14:paraId="7E7C996C" w14:textId="77777777" w:rsidR="007D29C2" w:rsidRPr="000976A1" w:rsidRDefault="007D29C2" w:rsidP="005828AB">
      <w:pPr>
        <w:rPr>
          <w:rFonts w:ascii="Arial" w:eastAsia="Arial" w:hAnsi="Arial" w:cs="Arial"/>
          <w:b/>
          <w:bCs/>
          <w:color w:val="000000" w:themeColor="text1"/>
          <w:sz w:val="32"/>
          <w:szCs w:val="32"/>
        </w:rPr>
      </w:pPr>
    </w:p>
    <w:p w14:paraId="0AF8A1BC" w14:textId="3530789F" w:rsidR="009464CA" w:rsidRDefault="005828AB">
      <w:pPr>
        <w:rPr>
          <w:noProof/>
        </w:rPr>
      </w:pPr>
      <w:r>
        <w:rPr>
          <w:noProof/>
        </w:rPr>
        <w:drawing>
          <wp:inline distT="0" distB="0" distL="0" distR="0" wp14:anchorId="7EF7B6D9" wp14:editId="7A529C4A">
            <wp:extent cx="2902945" cy="2425700"/>
            <wp:effectExtent l="0" t="0" r="0" b="0"/>
            <wp:docPr id="702704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5833" cy="2444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D29C2">
        <w:rPr>
          <w:noProof/>
        </w:rPr>
        <w:drawing>
          <wp:inline distT="0" distB="0" distL="0" distR="0" wp14:anchorId="68E1CA74" wp14:editId="40861F71">
            <wp:extent cx="2671590" cy="2422525"/>
            <wp:effectExtent l="0" t="0" r="0" b="0"/>
            <wp:docPr id="13862996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2116" cy="24411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32AABE" w14:textId="77777777" w:rsidR="00012523" w:rsidRPr="00012523" w:rsidRDefault="00012523" w:rsidP="00012523"/>
    <w:p w14:paraId="508E8707" w14:textId="77777777" w:rsidR="00012523" w:rsidRPr="00012523" w:rsidRDefault="00012523" w:rsidP="00012523"/>
    <w:p w14:paraId="30A89C3E" w14:textId="77777777" w:rsidR="00012523" w:rsidRPr="00012523" w:rsidRDefault="00012523" w:rsidP="00012523"/>
    <w:p w14:paraId="4CB0AC9D" w14:textId="77777777" w:rsidR="00012523" w:rsidRDefault="00012523" w:rsidP="00012523">
      <w:pPr>
        <w:rPr>
          <w:noProof/>
        </w:rPr>
      </w:pPr>
    </w:p>
    <w:p w14:paraId="5A7D2AD6" w14:textId="0EE12A23" w:rsidR="00012523" w:rsidRDefault="00012523" w:rsidP="00012523">
      <w:pPr>
        <w:tabs>
          <w:tab w:val="left" w:pos="2804"/>
        </w:tabs>
      </w:pPr>
      <w:r>
        <w:tab/>
      </w:r>
    </w:p>
    <w:p w14:paraId="5DCC50E4" w14:textId="77777777" w:rsidR="00012523" w:rsidRDefault="00012523" w:rsidP="00012523">
      <w:pPr>
        <w:tabs>
          <w:tab w:val="left" w:pos="2804"/>
        </w:tabs>
      </w:pPr>
    </w:p>
    <w:p w14:paraId="23BDA53E" w14:textId="3903FAED" w:rsidR="00012523" w:rsidRDefault="00EA5934" w:rsidP="00012523">
      <w:pPr>
        <w:tabs>
          <w:tab w:val="left" w:pos="2804"/>
        </w:tabs>
      </w:pPr>
      <w:r w:rsidRPr="00EA5934">
        <w:lastRenderedPageBreak/>
        <w:drawing>
          <wp:inline distT="0" distB="0" distL="0" distR="0" wp14:anchorId="68BE1868" wp14:editId="42EC7E13">
            <wp:extent cx="6083935" cy="8150400"/>
            <wp:effectExtent l="0" t="0" r="0" b="3175"/>
            <wp:docPr id="1193235340" name="Picture 1" descr="A close-up of a pos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235340" name="Picture 1" descr="A close-up of a pos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02455" cy="8175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698A5" w14:textId="77777777" w:rsidR="008314E7" w:rsidRDefault="008314E7" w:rsidP="00012523">
      <w:pPr>
        <w:tabs>
          <w:tab w:val="left" w:pos="2804"/>
        </w:tabs>
      </w:pPr>
    </w:p>
    <w:p w14:paraId="7C72BAEE" w14:textId="77777777" w:rsidR="008314E7" w:rsidRDefault="008314E7" w:rsidP="00012523">
      <w:pPr>
        <w:tabs>
          <w:tab w:val="left" w:pos="2804"/>
        </w:tabs>
      </w:pPr>
    </w:p>
    <w:p w14:paraId="6325C6B5" w14:textId="176B6617" w:rsidR="008314E7" w:rsidRDefault="004E4BA6" w:rsidP="00012523">
      <w:pPr>
        <w:tabs>
          <w:tab w:val="left" w:pos="2804"/>
        </w:tabs>
      </w:pPr>
      <w:r w:rsidRPr="004E4BA6">
        <w:lastRenderedPageBreak/>
        <w:drawing>
          <wp:inline distT="0" distB="0" distL="0" distR="0" wp14:anchorId="0E383C4D" wp14:editId="04ED8D20">
            <wp:extent cx="6141115" cy="8818811"/>
            <wp:effectExtent l="0" t="0" r="0" b="1905"/>
            <wp:docPr id="450554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55412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64271" cy="8852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09A23" w14:textId="77777777" w:rsidR="009353B1" w:rsidRDefault="009353B1" w:rsidP="00012523">
      <w:pPr>
        <w:tabs>
          <w:tab w:val="left" w:pos="2804"/>
        </w:tabs>
      </w:pPr>
    </w:p>
    <w:p w14:paraId="2AB0258B" w14:textId="752D23CF" w:rsidR="004D6EF5" w:rsidRDefault="005E2814" w:rsidP="00012523">
      <w:pPr>
        <w:tabs>
          <w:tab w:val="left" w:pos="2804"/>
        </w:tabs>
      </w:pPr>
      <w:r>
        <w:rPr>
          <w:noProof/>
        </w:rPr>
        <w:drawing>
          <wp:inline distT="0" distB="0" distL="0" distR="0" wp14:anchorId="4A49162E" wp14:editId="65E62D90">
            <wp:extent cx="5508000" cy="1914525"/>
            <wp:effectExtent l="0" t="0" r="0" b="0"/>
            <wp:docPr id="4358180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4673" cy="19168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699EB7" w14:textId="77777777" w:rsidR="004D6EF5" w:rsidRDefault="004D6EF5" w:rsidP="00012523">
      <w:pPr>
        <w:tabs>
          <w:tab w:val="left" w:pos="2804"/>
        </w:tabs>
      </w:pPr>
    </w:p>
    <w:p w14:paraId="0D14C71F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Dixon, L. J., Johnson, M., &amp; White, R. (2022). The Impact of Feedback in Digital Learning Tools for Dyslexic Students. </w:t>
      </w:r>
      <w:r w:rsidRPr="005E2814">
        <w:rPr>
          <w:rStyle w:val="agcmg"/>
          <w:rFonts w:ascii="Arial" w:eastAsiaTheme="majorEastAsia" w:hAnsi="Arial" w:cs="Arial"/>
          <w:i/>
          <w:iCs/>
        </w:rPr>
        <w:t>Journal of Learning Disabilities</w:t>
      </w:r>
      <w:r w:rsidRPr="00D11AA2">
        <w:rPr>
          <w:rStyle w:val="agcmg"/>
          <w:rFonts w:ascii="Arial" w:eastAsiaTheme="majorEastAsia" w:hAnsi="Arial" w:cs="Arial"/>
        </w:rPr>
        <w:t>, 55, pp. 325-339.</w:t>
      </w:r>
    </w:p>
    <w:p w14:paraId="7127A276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Dyslexia Foundation. (2022). Understanding Dyslexia: Impacts and Interventions. Retrieved from </w:t>
      </w:r>
      <w:hyperlink r:id="rId11" w:tgtFrame="_blank" w:history="1">
        <w:r w:rsidRPr="00D11AA2">
          <w:rPr>
            <w:rStyle w:val="Hyperlink"/>
            <w:rFonts w:ascii="Arial" w:eastAsiaTheme="majorEastAsia" w:hAnsi="Arial" w:cs="Arial"/>
          </w:rPr>
          <w:t>https://dyslexiafoundation.org</w:t>
        </w:r>
      </w:hyperlink>
      <w:r w:rsidRPr="00D11AA2">
        <w:rPr>
          <w:rStyle w:val="agcmg"/>
          <w:rFonts w:ascii="Arial" w:eastAsiaTheme="majorEastAsia" w:hAnsi="Arial" w:cs="Arial"/>
        </w:rPr>
        <w:t xml:space="preserve"> (Accessed: 29 October 2025).</w:t>
      </w:r>
    </w:p>
    <w:p w14:paraId="18907D89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Gonzalez, A. J., &amp; Rivera, T. E. (2023). Digital Technologies in Education: Tailored Support for Diverse Learning Needs. </w:t>
      </w:r>
      <w:r w:rsidRPr="005E2814">
        <w:rPr>
          <w:rStyle w:val="agcmg"/>
          <w:rFonts w:ascii="Arial" w:eastAsiaTheme="majorEastAsia" w:hAnsi="Arial" w:cs="Arial"/>
          <w:i/>
          <w:iCs/>
        </w:rPr>
        <w:t>Computers &amp; Education,</w:t>
      </w:r>
      <w:r w:rsidRPr="00D11AA2">
        <w:rPr>
          <w:rStyle w:val="agcmg"/>
          <w:rFonts w:ascii="Arial" w:eastAsiaTheme="majorEastAsia" w:hAnsi="Arial" w:cs="Arial"/>
        </w:rPr>
        <w:t xml:space="preserve"> 134, pp. 1-10.</w:t>
      </w:r>
    </w:p>
    <w:p w14:paraId="7A2C9D33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International Dyslexia Association. (2020). Dyslexia Basics. Retrieved from </w:t>
      </w:r>
      <w:hyperlink r:id="rId12" w:tgtFrame="_blank" w:history="1">
        <w:r w:rsidRPr="00D11AA2">
          <w:rPr>
            <w:rStyle w:val="Hyperlink"/>
            <w:rFonts w:ascii="Arial" w:eastAsiaTheme="majorEastAsia" w:hAnsi="Arial" w:cs="Arial"/>
          </w:rPr>
          <w:t>https://dyslexiaida.org</w:t>
        </w:r>
      </w:hyperlink>
      <w:r w:rsidRPr="00D11AA2">
        <w:rPr>
          <w:rStyle w:val="agcmg"/>
          <w:rFonts w:ascii="Arial" w:eastAsiaTheme="majorEastAsia" w:hAnsi="Arial" w:cs="Arial"/>
        </w:rPr>
        <w:t>(Accessed: 28 October 2025).</w:t>
      </w:r>
    </w:p>
    <w:p w14:paraId="1C97A2B8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>Jiang, B., Chen, G., &amp; Liu, A. (2023). Screen Time and Its Effects on Child Development: A Meta-Analysis</w:t>
      </w:r>
      <w:r w:rsidRPr="005E2814">
        <w:rPr>
          <w:rStyle w:val="agcmg"/>
          <w:rFonts w:ascii="Arial" w:eastAsiaTheme="majorEastAsia" w:hAnsi="Arial" w:cs="Arial"/>
          <w:i/>
          <w:iCs/>
        </w:rPr>
        <w:t>. Child Development</w:t>
      </w:r>
      <w:r w:rsidRPr="00D11AA2">
        <w:rPr>
          <w:rStyle w:val="agcmg"/>
          <w:rFonts w:ascii="Arial" w:eastAsiaTheme="majorEastAsia" w:hAnsi="Arial" w:cs="Arial"/>
        </w:rPr>
        <w:t>, 94, pp. 50-65.</w:t>
      </w:r>
    </w:p>
    <w:p w14:paraId="004A239F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Lexia Learning. (2020). Lexia Core5 Reading. Retrieved from </w:t>
      </w:r>
      <w:hyperlink r:id="rId13" w:tgtFrame="_blank" w:history="1">
        <w:r w:rsidRPr="00D11AA2">
          <w:rPr>
            <w:rStyle w:val="Hyperlink"/>
            <w:rFonts w:ascii="Arial" w:eastAsiaTheme="majorEastAsia" w:hAnsi="Arial" w:cs="Arial"/>
          </w:rPr>
          <w:t>https://www.lexialearning.com/</w:t>
        </w:r>
      </w:hyperlink>
      <w:r w:rsidRPr="00D11AA2">
        <w:rPr>
          <w:rStyle w:val="agcmg"/>
          <w:rFonts w:ascii="Arial" w:eastAsiaTheme="majorEastAsia" w:hAnsi="Arial" w:cs="Arial"/>
        </w:rPr>
        <w:t xml:space="preserve"> (Accessed: 28 October 2025).</w:t>
      </w:r>
    </w:p>
    <w:p w14:paraId="374535C5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NLP Research Institute. (2021). The Effects of Multi-Sensory Learning Approaches on Literacy Development: A Study. </w:t>
      </w:r>
      <w:r w:rsidRPr="005E2814">
        <w:rPr>
          <w:rStyle w:val="agcmg"/>
          <w:rFonts w:ascii="Arial" w:eastAsiaTheme="majorEastAsia" w:hAnsi="Arial" w:cs="Arial"/>
          <w:i/>
          <w:iCs/>
        </w:rPr>
        <w:t>Journal of Educational Psychology</w:t>
      </w:r>
      <w:r w:rsidRPr="00D11AA2">
        <w:rPr>
          <w:rStyle w:val="agcmg"/>
          <w:rFonts w:ascii="Arial" w:eastAsiaTheme="majorEastAsia" w:hAnsi="Arial" w:cs="Arial"/>
        </w:rPr>
        <w:t>, 113, pp. 147-160.</w:t>
      </w:r>
    </w:p>
    <w:p w14:paraId="752CAA72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lastRenderedPageBreak/>
        <w:t xml:space="preserve">Orlansky, E., &amp; Giacomin, M. (2021). Digital Learning and Equity: Assessing the Impact on Families and Communities. </w:t>
      </w:r>
      <w:r w:rsidRPr="005E2814">
        <w:rPr>
          <w:rStyle w:val="agcmg"/>
          <w:rFonts w:ascii="Arial" w:eastAsiaTheme="majorEastAsia" w:hAnsi="Arial" w:cs="Arial"/>
          <w:i/>
          <w:iCs/>
        </w:rPr>
        <w:t>Technology, Society and Equity</w:t>
      </w:r>
      <w:r w:rsidRPr="00D11AA2">
        <w:rPr>
          <w:rStyle w:val="agcmg"/>
          <w:rFonts w:ascii="Arial" w:eastAsiaTheme="majorEastAsia" w:hAnsi="Arial" w:cs="Arial"/>
        </w:rPr>
        <w:t>, 8, pp. 115-130.</w:t>
      </w:r>
    </w:p>
    <w:p w14:paraId="4D93C482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Rosenstock, I. M. (1974). Historical Origin of the Health Belief Model. </w:t>
      </w:r>
      <w:r w:rsidRPr="005E2814">
        <w:rPr>
          <w:rStyle w:val="agcmg"/>
          <w:rFonts w:ascii="Arial" w:eastAsiaTheme="majorEastAsia" w:hAnsi="Arial" w:cs="Arial"/>
          <w:i/>
          <w:iCs/>
        </w:rPr>
        <w:t>Health Education Monographs</w:t>
      </w:r>
      <w:r w:rsidRPr="00D11AA2">
        <w:rPr>
          <w:rStyle w:val="agcmg"/>
          <w:rFonts w:ascii="Arial" w:eastAsiaTheme="majorEastAsia" w:hAnsi="Arial" w:cs="Arial"/>
        </w:rPr>
        <w:t>, 2, 328-335.</w:t>
      </w:r>
    </w:p>
    <w:p w14:paraId="38E69B0D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Smith, J. L., Roberts, K., &amp; Wong, F. (2021). Engaging Parents in Children's Literacy Development: The Role of Technology. </w:t>
      </w:r>
      <w:r w:rsidRPr="005E2814">
        <w:rPr>
          <w:rStyle w:val="agcmg"/>
          <w:rFonts w:ascii="Arial" w:eastAsiaTheme="majorEastAsia" w:hAnsi="Arial" w:cs="Arial"/>
          <w:i/>
          <w:iCs/>
        </w:rPr>
        <w:t>Early Childhood Research Quarterly</w:t>
      </w:r>
      <w:r w:rsidRPr="00D11AA2">
        <w:rPr>
          <w:rStyle w:val="agcmg"/>
          <w:rFonts w:ascii="Arial" w:eastAsiaTheme="majorEastAsia" w:hAnsi="Arial" w:cs="Arial"/>
        </w:rPr>
        <w:t>, 58, 123-135.</w:t>
      </w:r>
    </w:p>
    <w:p w14:paraId="01D703D0" w14:textId="77777777" w:rsidR="009353B1" w:rsidRPr="00D11AA2" w:rsidRDefault="009353B1" w:rsidP="00D11AA2">
      <w:pPr>
        <w:pStyle w:val="cvgsua"/>
        <w:spacing w:line="360" w:lineRule="auto"/>
        <w:rPr>
          <w:rFonts w:ascii="Arial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Williams, K., &amp; Clarke, H. (2022). Funding Issues in Digital Education: Bridging the Gap. </w:t>
      </w:r>
      <w:r w:rsidRPr="005E2814">
        <w:rPr>
          <w:rStyle w:val="agcmg"/>
          <w:rFonts w:ascii="Arial" w:eastAsiaTheme="majorEastAsia" w:hAnsi="Arial" w:cs="Arial"/>
          <w:i/>
          <w:iCs/>
        </w:rPr>
        <w:t>International Journal of Educational Policy</w:t>
      </w:r>
      <w:r w:rsidRPr="00D11AA2">
        <w:rPr>
          <w:rStyle w:val="agcmg"/>
          <w:rFonts w:ascii="Arial" w:eastAsiaTheme="majorEastAsia" w:hAnsi="Arial" w:cs="Arial"/>
        </w:rPr>
        <w:t>, 34, 375-392</w:t>
      </w:r>
    </w:p>
    <w:p w14:paraId="30B9FDFB" w14:textId="77777777" w:rsidR="009353B1" w:rsidRDefault="009353B1" w:rsidP="00D11AA2">
      <w:pPr>
        <w:pStyle w:val="cvgsua"/>
        <w:spacing w:line="360" w:lineRule="auto"/>
        <w:rPr>
          <w:rStyle w:val="agcmg"/>
          <w:rFonts w:ascii="Arial" w:eastAsiaTheme="majorEastAsia" w:hAnsi="Arial" w:cs="Arial"/>
        </w:rPr>
      </w:pPr>
      <w:r w:rsidRPr="00D11AA2">
        <w:rPr>
          <w:rStyle w:val="agcmg"/>
          <w:rFonts w:ascii="Arial" w:eastAsiaTheme="majorEastAsia" w:hAnsi="Arial" w:cs="Arial"/>
        </w:rPr>
        <w:t xml:space="preserve">World Health Organization. (1986). Ottawa Charter for Health Promotion. Retrieved from </w:t>
      </w:r>
      <w:hyperlink r:id="rId14" w:tgtFrame="_blank" w:history="1">
        <w:r w:rsidRPr="00D11AA2">
          <w:rPr>
            <w:rStyle w:val="Hyperlink"/>
            <w:rFonts w:ascii="Arial" w:eastAsiaTheme="majorEastAsia" w:hAnsi="Arial" w:cs="Arial"/>
          </w:rPr>
          <w:t>https://www.who.int/healthpromotion/conferences/previous/ottawa/en/</w:t>
        </w:r>
      </w:hyperlink>
      <w:r w:rsidRPr="00D11AA2">
        <w:rPr>
          <w:rStyle w:val="agcmg"/>
          <w:rFonts w:ascii="Arial" w:eastAsiaTheme="majorEastAsia" w:hAnsi="Arial" w:cs="Arial"/>
        </w:rPr>
        <w:t xml:space="preserve"> (Accessed: 31 October 2025) </w:t>
      </w:r>
    </w:p>
    <w:p w14:paraId="6658B446" w14:textId="77777777" w:rsidR="00461478" w:rsidRDefault="00461478" w:rsidP="00D11AA2">
      <w:pPr>
        <w:pStyle w:val="cvgsua"/>
        <w:spacing w:line="360" w:lineRule="auto"/>
        <w:rPr>
          <w:rStyle w:val="agcmg"/>
          <w:rFonts w:ascii="Arial" w:eastAsiaTheme="majorEastAsia" w:hAnsi="Arial" w:cs="Arial"/>
        </w:rPr>
      </w:pPr>
    </w:p>
    <w:p w14:paraId="1032BEA7" w14:textId="69BE52AF" w:rsidR="00461478" w:rsidRDefault="00461478" w:rsidP="00D11AA2">
      <w:pPr>
        <w:pStyle w:val="cvgsua"/>
        <w:spacing w:line="360" w:lineRule="auto"/>
        <w:rPr>
          <w:rStyle w:val="agcmg"/>
          <w:rFonts w:ascii="Arial" w:eastAsiaTheme="majorEastAsia" w:hAnsi="Arial" w:cs="Arial"/>
        </w:rPr>
      </w:pPr>
      <w:r>
        <w:rPr>
          <w:rStyle w:val="agcmg"/>
          <w:rFonts w:ascii="Arial" w:eastAsiaTheme="majorEastAsia" w:hAnsi="Arial" w:cs="Arial"/>
        </w:rPr>
        <w:t xml:space="preserve">Images </w:t>
      </w:r>
    </w:p>
    <w:p w14:paraId="48DD26E1" w14:textId="77777777" w:rsidR="00813BC8" w:rsidRPr="00813BC8" w:rsidRDefault="00813BC8" w:rsidP="00813BC8">
      <w:pPr>
        <w:spacing w:before="100" w:beforeAutospacing="1" w:after="100" w:afterAutospacing="1" w:line="240" w:lineRule="auto"/>
        <w:rPr>
          <w:rFonts w:ascii="Arial" w:eastAsiaTheme="majorEastAsia" w:hAnsi="Arial" w:cs="Arial"/>
          <w:kern w:val="0"/>
          <w14:ligatures w14:val="none"/>
        </w:rPr>
      </w:pPr>
      <w:bookmarkStart w:id="0" w:name="_Hlk213410691"/>
      <w:r w:rsidRPr="00813BC8">
        <w:rPr>
          <w:rFonts w:ascii="Arial" w:eastAsiaTheme="majorEastAsia" w:hAnsi="Arial" w:cs="Arial"/>
          <w:kern w:val="0"/>
          <w14:ligatures w14:val="none"/>
        </w:rPr>
        <w:t>“Read and Reflect: A Learning Companion” AI Creation.</w:t>
      </w:r>
      <w:r w:rsidRPr="00813BC8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813BC8">
        <w:rPr>
          <w:rFonts w:ascii="Arial" w:eastAsiaTheme="majorEastAsia" w:hAnsi="Arial" w:cs="Arial"/>
          <w:kern w:val="0"/>
          <w14:ligatures w14:val="none"/>
        </w:rPr>
        <w:t>(Accessed: 29 October 2025)</w:t>
      </w:r>
    </w:p>
    <w:bookmarkEnd w:id="0"/>
    <w:p w14:paraId="67295AC8" w14:textId="77777777" w:rsidR="00813BC8" w:rsidRDefault="00813BC8" w:rsidP="00D11AA2">
      <w:pPr>
        <w:pStyle w:val="cvgsua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1871B9">
        <w:rPr>
          <w:rFonts w:ascii="Arial" w:hAnsi="Arial" w:cs="Arial"/>
        </w:rPr>
        <w:instrText>https://www.dissertation-proofreading.com/blog/references-tables-figures/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  <w:fldChar w:fldCharType="separate"/>
      </w:r>
      <w:r w:rsidRPr="009B69BB">
        <w:rPr>
          <w:rStyle w:val="Hyperlink"/>
          <w:rFonts w:ascii="Arial" w:hAnsi="Arial" w:cs="Arial"/>
        </w:rPr>
        <w:t>https://www.dissertation-proofreading.com/blog/references-tables-figures/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(Accessed: 05 November 2025)</w:t>
      </w:r>
    </w:p>
    <w:p w14:paraId="388C8AB7" w14:textId="77777777" w:rsidR="00813BC8" w:rsidRPr="00813BC8" w:rsidRDefault="00813BC8" w:rsidP="00813BC8">
      <w:pPr>
        <w:spacing w:before="100" w:beforeAutospacing="1" w:after="100" w:afterAutospacing="1" w:line="240" w:lineRule="auto"/>
        <w:rPr>
          <w:rFonts w:ascii="Arial" w:eastAsiaTheme="majorEastAsia" w:hAnsi="Arial" w:cs="Arial"/>
          <w:kern w:val="0"/>
          <w14:ligatures w14:val="none"/>
        </w:rPr>
      </w:pPr>
      <w:hyperlink r:id="rId15" w:history="1">
        <w:r w:rsidRPr="00813BC8">
          <w:rPr>
            <w:rStyle w:val="Hyperlink"/>
            <w:rFonts w:ascii="Arial" w:eastAsiaTheme="majorEastAsia" w:hAnsi="Arial" w:cs="Arial"/>
            <w:kern w:val="0"/>
            <w14:ligatures w14:val="none"/>
          </w:rPr>
          <w:t>https://www.swanwick.derbyshire.sch.uk/page/lexia-reading-programme/122414</w:t>
        </w:r>
      </w:hyperlink>
      <w:bookmarkStart w:id="1" w:name="_Hlk213410447"/>
      <w:r w:rsidRPr="00813BC8">
        <w:rPr>
          <w:rFonts w:ascii="Arial" w:eastAsiaTheme="majorEastAsia" w:hAnsi="Arial" w:cs="Arial"/>
          <w:kern w:val="0"/>
          <w14:ligatures w14:val="none"/>
        </w:rPr>
        <w:t>(Accessed: 31 October 2025)</w:t>
      </w:r>
      <w:bookmarkEnd w:id="1"/>
    </w:p>
    <w:p w14:paraId="5FDF8CE1" w14:textId="77777777" w:rsidR="00DD67CF" w:rsidRPr="00D11AA2" w:rsidRDefault="00DD67CF" w:rsidP="00D11AA2">
      <w:pPr>
        <w:pStyle w:val="cvgsua"/>
        <w:spacing w:line="360" w:lineRule="auto"/>
        <w:rPr>
          <w:rFonts w:ascii="Arial" w:hAnsi="Arial" w:cs="Arial"/>
        </w:rPr>
      </w:pPr>
    </w:p>
    <w:p w14:paraId="0520FA95" w14:textId="77777777" w:rsidR="009353B1" w:rsidRPr="00D11AA2" w:rsidRDefault="009353B1" w:rsidP="00012523">
      <w:pPr>
        <w:tabs>
          <w:tab w:val="left" w:pos="2804"/>
        </w:tabs>
        <w:rPr>
          <w:rFonts w:ascii="Arial" w:hAnsi="Arial" w:cs="Arial"/>
        </w:rPr>
      </w:pPr>
    </w:p>
    <w:sectPr w:rsidR="009353B1" w:rsidRPr="00D11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84B6E8" w14:textId="77777777" w:rsidR="00012523" w:rsidRDefault="00012523" w:rsidP="00012523">
      <w:pPr>
        <w:spacing w:after="0" w:line="240" w:lineRule="auto"/>
      </w:pPr>
      <w:r>
        <w:separator/>
      </w:r>
    </w:p>
  </w:endnote>
  <w:endnote w:type="continuationSeparator" w:id="0">
    <w:p w14:paraId="75CDD66A" w14:textId="77777777" w:rsidR="00012523" w:rsidRDefault="00012523" w:rsidP="00012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E105D1" w14:textId="77777777" w:rsidR="00012523" w:rsidRDefault="00012523" w:rsidP="00012523">
      <w:pPr>
        <w:spacing w:after="0" w:line="240" w:lineRule="auto"/>
      </w:pPr>
      <w:r>
        <w:separator/>
      </w:r>
    </w:p>
  </w:footnote>
  <w:footnote w:type="continuationSeparator" w:id="0">
    <w:p w14:paraId="797F2059" w14:textId="77777777" w:rsidR="00012523" w:rsidRDefault="00012523" w:rsidP="000125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displayBackgroundShape/>
  <w:proofState w:spelling="clean" w:grammar="clean"/>
  <w:defaultTabStop w:val="720"/>
  <w:characterSpacingControl w:val="doNotCompress"/>
  <w:hdrShapeDefaults>
    <o:shapedefaults v:ext="edit" spidmax="2049">
      <o:colormenu v:ext="edit" fillcolor="none [1940]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8AB"/>
    <w:rsid w:val="00012523"/>
    <w:rsid w:val="001015BC"/>
    <w:rsid w:val="001871B9"/>
    <w:rsid w:val="001E46F1"/>
    <w:rsid w:val="00233816"/>
    <w:rsid w:val="003F00CA"/>
    <w:rsid w:val="003F310D"/>
    <w:rsid w:val="00461478"/>
    <w:rsid w:val="004D6EF5"/>
    <w:rsid w:val="004E4BA6"/>
    <w:rsid w:val="005828AB"/>
    <w:rsid w:val="00586356"/>
    <w:rsid w:val="005E2814"/>
    <w:rsid w:val="007A50E2"/>
    <w:rsid w:val="007D29C2"/>
    <w:rsid w:val="00813BC8"/>
    <w:rsid w:val="008314E7"/>
    <w:rsid w:val="0088720B"/>
    <w:rsid w:val="009353B1"/>
    <w:rsid w:val="00944BF1"/>
    <w:rsid w:val="00946012"/>
    <w:rsid w:val="009464CA"/>
    <w:rsid w:val="00A55F2C"/>
    <w:rsid w:val="00C54212"/>
    <w:rsid w:val="00D11AA2"/>
    <w:rsid w:val="00DD67CF"/>
    <w:rsid w:val="00EA5934"/>
    <w:rsid w:val="00F75DA0"/>
    <w:rsid w:val="00F97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enu v:ext="edit" fillcolor="none [1940]"/>
    </o:shapedefaults>
    <o:shapelayout v:ext="edit">
      <o:idmap v:ext="edit" data="1"/>
    </o:shapelayout>
  </w:shapeDefaults>
  <w:decimalSymbol w:val="."/>
  <w:listSeparator w:val=","/>
  <w14:docId w14:val="66C5BFC7"/>
  <w15:chartTrackingRefBased/>
  <w15:docId w15:val="{1194A1B7-A938-4C3A-834F-23434A45A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28AB"/>
  </w:style>
  <w:style w:type="paragraph" w:styleId="Heading1">
    <w:name w:val="heading 1"/>
    <w:basedOn w:val="Normal"/>
    <w:next w:val="Normal"/>
    <w:link w:val="Heading1Char"/>
    <w:uiPriority w:val="9"/>
    <w:qFormat/>
    <w:rsid w:val="005828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8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8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8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8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8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8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8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8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28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28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28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28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28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28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28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28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28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28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28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8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28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8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28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28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28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8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28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28A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2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523"/>
  </w:style>
  <w:style w:type="paragraph" w:styleId="Footer">
    <w:name w:val="footer"/>
    <w:basedOn w:val="Normal"/>
    <w:link w:val="FooterChar"/>
    <w:uiPriority w:val="99"/>
    <w:unhideWhenUsed/>
    <w:rsid w:val="00012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523"/>
  </w:style>
  <w:style w:type="paragraph" w:customStyle="1" w:styleId="cvgsua">
    <w:name w:val="cvgsua"/>
    <w:basedOn w:val="Normal"/>
    <w:rsid w:val="009353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gcmg">
    <w:name w:val="a_gcmg"/>
    <w:basedOn w:val="DefaultParagraphFont"/>
    <w:rsid w:val="009353B1"/>
  </w:style>
  <w:style w:type="character" w:styleId="Hyperlink">
    <w:name w:val="Hyperlink"/>
    <w:basedOn w:val="DefaultParagraphFont"/>
    <w:uiPriority w:val="99"/>
    <w:unhideWhenUsed/>
    <w:rsid w:val="009353B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1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675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lexialearning.com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dyslexiaida.org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yslexiafoundation.or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wanwick.derbyshire.sch.uk/page/lexia-reading-programme/122414" TargetMode="Externa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who.int/healthpromotion/conferences/previous/ottawa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5</Pages>
  <Words>415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Nomathemba Socikwa (2128581)</dc:creator>
  <cp:keywords/>
  <dc:description/>
  <cp:lastModifiedBy>Nomathemba Socikwa (2128581)</cp:lastModifiedBy>
  <cp:revision>17</cp:revision>
  <dcterms:created xsi:type="dcterms:W3CDTF">2025-11-07T01:17:00Z</dcterms:created>
  <dcterms:modified xsi:type="dcterms:W3CDTF">2025-11-07T13:58:00Z</dcterms:modified>
</cp:coreProperties>
</file>