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27D89B4" w14:textId="77777777" w:rsidR="005A79BA" w:rsidRDefault="005A79BA" w:rsidP="005A79BA">
      <w:pPr>
        <w:spacing w:line="480" w:lineRule="auto"/>
        <w:rPr>
          <w:rFonts w:ascii="Times New Roman" w:hAnsi="Times New Roman" w:cs="Times New Roman"/>
          <w:b/>
          <w:bCs/>
          <w:sz w:val="24"/>
          <w:szCs w:val="24"/>
        </w:rPr>
      </w:pPr>
    </w:p>
    <w:p w14:paraId="15188D25" w14:textId="77777777" w:rsidR="005A79BA" w:rsidRDefault="005A79BA" w:rsidP="005A79BA">
      <w:pPr>
        <w:spacing w:line="480" w:lineRule="auto"/>
        <w:jc w:val="center"/>
        <w:rPr>
          <w:rFonts w:ascii="Times New Roman" w:hAnsi="Times New Roman" w:cs="Times New Roman"/>
          <w:b/>
          <w:bCs/>
          <w:sz w:val="24"/>
          <w:szCs w:val="24"/>
        </w:rPr>
      </w:pPr>
    </w:p>
    <w:p w14:paraId="69EB743E" w14:textId="77777777" w:rsidR="005A79BA" w:rsidRDefault="005A79BA" w:rsidP="005A79BA">
      <w:pPr>
        <w:spacing w:line="480" w:lineRule="auto"/>
        <w:jc w:val="center"/>
        <w:rPr>
          <w:rFonts w:ascii="Times New Roman" w:hAnsi="Times New Roman" w:cs="Times New Roman"/>
          <w:b/>
          <w:bCs/>
          <w:sz w:val="24"/>
          <w:szCs w:val="24"/>
        </w:rPr>
      </w:pPr>
    </w:p>
    <w:p w14:paraId="40D5281F" w14:textId="24B9C69C" w:rsidR="005A79BA" w:rsidRPr="00DA5B84" w:rsidRDefault="00F839F5" w:rsidP="005A79BA">
      <w:pPr>
        <w:spacing w:line="480" w:lineRule="auto"/>
        <w:jc w:val="center"/>
        <w:rPr>
          <w:rFonts w:ascii="Times New Roman" w:hAnsi="Times New Roman" w:cs="Times New Roman"/>
          <w:b/>
          <w:bCs/>
          <w:sz w:val="36"/>
          <w:szCs w:val="36"/>
        </w:rPr>
      </w:pPr>
      <w:r w:rsidRPr="00DA5B84">
        <w:rPr>
          <w:rFonts w:ascii="Times New Roman" w:hAnsi="Times New Roman" w:cs="Times New Roman"/>
          <w:b/>
          <w:bCs/>
          <w:sz w:val="36"/>
          <w:szCs w:val="36"/>
        </w:rPr>
        <w:t>BMLW4003</w:t>
      </w:r>
    </w:p>
    <w:p w14:paraId="51500905" w14:textId="42A03672" w:rsidR="004416A9" w:rsidRDefault="00F839F5" w:rsidP="005A79BA">
      <w:pPr>
        <w:spacing w:line="480" w:lineRule="auto"/>
        <w:jc w:val="center"/>
        <w:rPr>
          <w:rFonts w:ascii="Times New Roman" w:hAnsi="Times New Roman" w:cs="Times New Roman"/>
          <w:b/>
          <w:bCs/>
          <w:sz w:val="36"/>
          <w:szCs w:val="36"/>
        </w:rPr>
      </w:pPr>
      <w:r w:rsidRPr="00DA5B84">
        <w:rPr>
          <w:rFonts w:ascii="Times New Roman" w:hAnsi="Times New Roman" w:cs="Times New Roman"/>
          <w:b/>
          <w:bCs/>
          <w:sz w:val="36"/>
          <w:szCs w:val="36"/>
        </w:rPr>
        <w:t>Legal Process</w:t>
      </w:r>
    </w:p>
    <w:p w14:paraId="175597F8" w14:textId="77FDBCAD" w:rsidR="00EB64E5" w:rsidRDefault="00EB64E5" w:rsidP="005A79BA">
      <w:pPr>
        <w:spacing w:line="480" w:lineRule="auto"/>
        <w:jc w:val="center"/>
        <w:rPr>
          <w:rFonts w:ascii="Times New Roman" w:hAnsi="Times New Roman" w:cs="Times New Roman"/>
          <w:b/>
          <w:bCs/>
          <w:sz w:val="36"/>
          <w:szCs w:val="36"/>
        </w:rPr>
      </w:pPr>
      <w:r>
        <w:rPr>
          <w:rFonts w:ascii="Times New Roman" w:hAnsi="Times New Roman" w:cs="Times New Roman"/>
          <w:b/>
          <w:bCs/>
          <w:sz w:val="36"/>
          <w:szCs w:val="36"/>
        </w:rPr>
        <w:t xml:space="preserve">Assignment 2 </w:t>
      </w:r>
    </w:p>
    <w:p w14:paraId="2E739E1B" w14:textId="597D9A95" w:rsidR="00EB64E5" w:rsidRPr="00EB64E5" w:rsidRDefault="00EB64E5" w:rsidP="00EB64E5">
      <w:pPr>
        <w:spacing w:line="480" w:lineRule="auto"/>
        <w:jc w:val="center"/>
        <w:rPr>
          <w:rFonts w:ascii="Times New Roman" w:hAnsi="Times New Roman" w:cs="Times New Roman"/>
          <w:b/>
          <w:bCs/>
          <w:i/>
          <w:iCs/>
          <w:sz w:val="36"/>
          <w:szCs w:val="36"/>
        </w:rPr>
      </w:pPr>
      <w:r w:rsidRPr="00EB64E5">
        <w:rPr>
          <w:rFonts w:ascii="Times New Roman" w:hAnsi="Times New Roman" w:cs="Times New Roman"/>
          <w:b/>
          <w:bCs/>
          <w:i/>
          <w:iCs/>
          <w:sz w:val="36"/>
          <w:szCs w:val="36"/>
        </w:rPr>
        <w:t>It may be argued that the principle of statutory interpretation diminishes the status of legislation as the primary source of law in the UK.</w:t>
      </w:r>
    </w:p>
    <w:p w14:paraId="18A7ABF3" w14:textId="77777777" w:rsidR="004416A9" w:rsidRDefault="004416A9" w:rsidP="005A79BA">
      <w:pPr>
        <w:spacing w:line="480" w:lineRule="auto"/>
        <w:jc w:val="center"/>
        <w:rPr>
          <w:rFonts w:ascii="Times New Roman" w:hAnsi="Times New Roman" w:cs="Times New Roman"/>
          <w:b/>
          <w:bCs/>
          <w:sz w:val="24"/>
          <w:szCs w:val="24"/>
        </w:rPr>
      </w:pPr>
    </w:p>
    <w:p w14:paraId="00394988" w14:textId="77777777" w:rsidR="004416A9" w:rsidRDefault="004416A9" w:rsidP="005A79BA">
      <w:pPr>
        <w:spacing w:line="480" w:lineRule="auto"/>
        <w:jc w:val="center"/>
        <w:rPr>
          <w:rFonts w:ascii="Times New Roman" w:hAnsi="Times New Roman" w:cs="Times New Roman"/>
          <w:b/>
          <w:bCs/>
          <w:sz w:val="24"/>
          <w:szCs w:val="24"/>
        </w:rPr>
      </w:pPr>
    </w:p>
    <w:p w14:paraId="4CBCD3C7" w14:textId="77777777" w:rsidR="004416A9" w:rsidRDefault="004416A9" w:rsidP="005A79BA">
      <w:pPr>
        <w:spacing w:line="480" w:lineRule="auto"/>
        <w:jc w:val="center"/>
        <w:rPr>
          <w:rFonts w:ascii="Times New Roman" w:hAnsi="Times New Roman" w:cs="Times New Roman"/>
          <w:b/>
          <w:bCs/>
          <w:sz w:val="24"/>
          <w:szCs w:val="24"/>
        </w:rPr>
      </w:pPr>
    </w:p>
    <w:p w14:paraId="12D7C86A" w14:textId="3840C87C" w:rsidR="005A79BA" w:rsidRDefault="00F839F5" w:rsidP="005A79BA">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Name of the Student:</w:t>
      </w:r>
      <w:r w:rsidR="00B17A89" w:rsidRPr="00B17A89">
        <w:t xml:space="preserve"> </w:t>
      </w:r>
      <w:r w:rsidR="00B17A89" w:rsidRPr="00B17A89">
        <w:rPr>
          <w:rFonts w:ascii="Times New Roman" w:hAnsi="Times New Roman" w:cs="Times New Roman"/>
          <w:b/>
          <w:bCs/>
          <w:sz w:val="24"/>
          <w:szCs w:val="24"/>
        </w:rPr>
        <w:t>Asma Khanum</w:t>
      </w:r>
    </w:p>
    <w:p w14:paraId="533767B0" w14:textId="62126F0F" w:rsidR="005A79BA" w:rsidRDefault="00F839F5" w:rsidP="005A79BA">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Student ID:</w:t>
      </w:r>
      <w:r w:rsidR="00B17A89">
        <w:rPr>
          <w:rFonts w:ascii="Times New Roman" w:hAnsi="Times New Roman" w:cs="Times New Roman"/>
          <w:b/>
          <w:bCs/>
          <w:sz w:val="24"/>
          <w:szCs w:val="24"/>
        </w:rPr>
        <w:t xml:space="preserve"> 2131358</w:t>
      </w:r>
      <w:r w:rsidR="00B17A89">
        <w:rPr>
          <w:rFonts w:ascii="Times New Roman" w:hAnsi="Times New Roman" w:cs="Times New Roman"/>
          <w:b/>
          <w:bCs/>
          <w:sz w:val="24"/>
          <w:szCs w:val="24"/>
        </w:rPr>
        <w:br/>
        <w:t>Date: 27.6.22</w:t>
      </w:r>
      <w:bookmarkStart w:id="0" w:name="_GoBack"/>
      <w:bookmarkEnd w:id="0"/>
      <w:r>
        <w:rPr>
          <w:rFonts w:ascii="Times New Roman" w:hAnsi="Times New Roman" w:cs="Times New Roman"/>
          <w:b/>
          <w:bCs/>
          <w:sz w:val="24"/>
          <w:szCs w:val="24"/>
        </w:rPr>
        <w:br w:type="page"/>
      </w:r>
    </w:p>
    <w:sdt>
      <w:sdtPr>
        <w:rPr>
          <w:rFonts w:asciiTheme="minorHAnsi" w:eastAsiaTheme="minorEastAsia" w:hAnsiTheme="minorHAnsi" w:cstheme="minorBidi"/>
          <w:color w:val="auto"/>
          <w:sz w:val="22"/>
          <w:szCs w:val="22"/>
        </w:rPr>
        <w:id w:val="-956797154"/>
        <w:docPartObj>
          <w:docPartGallery w:val="Table of Contents"/>
          <w:docPartUnique/>
        </w:docPartObj>
      </w:sdtPr>
      <w:sdtEndPr>
        <w:rPr>
          <w:b/>
          <w:bCs/>
          <w:noProof/>
        </w:rPr>
      </w:sdtEndPr>
      <w:sdtContent>
        <w:p w14:paraId="293AF9CF" w14:textId="063374F4" w:rsidR="00F71FF9" w:rsidRDefault="00F71FF9" w:rsidP="00F71FF9">
          <w:pPr>
            <w:pStyle w:val="TOCHeading"/>
          </w:pPr>
          <w:r>
            <w:t>Table of Contents</w:t>
          </w:r>
        </w:p>
        <w:p w14:paraId="0CC10BCB" w14:textId="6D22146A" w:rsidR="00F71FF9" w:rsidRDefault="00F71FF9">
          <w:pPr>
            <w:pStyle w:val="TOC1"/>
            <w:tabs>
              <w:tab w:val="right" w:leader="dot" w:pos="9016"/>
            </w:tabs>
            <w:rPr>
              <w:noProof/>
            </w:rPr>
          </w:pPr>
          <w:r>
            <w:fldChar w:fldCharType="begin"/>
          </w:r>
          <w:r>
            <w:instrText xml:space="preserve"> TOC \o "1-3" \h \z \u </w:instrText>
          </w:r>
          <w:r>
            <w:fldChar w:fldCharType="separate"/>
          </w:r>
          <w:hyperlink w:anchor="_Toc107087528" w:history="1">
            <w:r w:rsidRPr="008A42D1">
              <w:rPr>
                <w:rStyle w:val="Hyperlink"/>
                <w:noProof/>
              </w:rPr>
              <w:t>Introduction</w:t>
            </w:r>
            <w:r>
              <w:rPr>
                <w:noProof/>
                <w:webHidden/>
              </w:rPr>
              <w:tab/>
            </w:r>
            <w:r>
              <w:rPr>
                <w:noProof/>
                <w:webHidden/>
              </w:rPr>
              <w:fldChar w:fldCharType="begin"/>
            </w:r>
            <w:r>
              <w:rPr>
                <w:noProof/>
                <w:webHidden/>
              </w:rPr>
              <w:instrText xml:space="preserve"> PAGEREF _Toc107087528 \h </w:instrText>
            </w:r>
            <w:r>
              <w:rPr>
                <w:noProof/>
                <w:webHidden/>
              </w:rPr>
            </w:r>
            <w:r>
              <w:rPr>
                <w:noProof/>
                <w:webHidden/>
              </w:rPr>
              <w:fldChar w:fldCharType="separate"/>
            </w:r>
            <w:r>
              <w:rPr>
                <w:noProof/>
                <w:webHidden/>
              </w:rPr>
              <w:t>2</w:t>
            </w:r>
            <w:r>
              <w:rPr>
                <w:noProof/>
                <w:webHidden/>
              </w:rPr>
              <w:fldChar w:fldCharType="end"/>
            </w:r>
          </w:hyperlink>
        </w:p>
        <w:p w14:paraId="64EE1B13" w14:textId="767336CB" w:rsidR="00F71FF9" w:rsidRDefault="007551F8">
          <w:pPr>
            <w:pStyle w:val="TOC2"/>
            <w:tabs>
              <w:tab w:val="right" w:leader="dot" w:pos="9016"/>
            </w:tabs>
            <w:rPr>
              <w:noProof/>
            </w:rPr>
          </w:pPr>
          <w:hyperlink w:anchor="_Toc107087529" w:history="1">
            <w:r w:rsidR="00F71FF9" w:rsidRPr="008A42D1">
              <w:rPr>
                <w:rStyle w:val="Hyperlink"/>
                <w:noProof/>
              </w:rPr>
              <w:t>Statutory interpretation</w:t>
            </w:r>
            <w:r w:rsidR="00F71FF9">
              <w:rPr>
                <w:noProof/>
                <w:webHidden/>
              </w:rPr>
              <w:tab/>
            </w:r>
            <w:r w:rsidR="00F71FF9">
              <w:rPr>
                <w:noProof/>
                <w:webHidden/>
              </w:rPr>
              <w:fldChar w:fldCharType="begin"/>
            </w:r>
            <w:r w:rsidR="00F71FF9">
              <w:rPr>
                <w:noProof/>
                <w:webHidden/>
              </w:rPr>
              <w:instrText xml:space="preserve"> PAGEREF _Toc107087529 \h </w:instrText>
            </w:r>
            <w:r w:rsidR="00F71FF9">
              <w:rPr>
                <w:noProof/>
                <w:webHidden/>
              </w:rPr>
            </w:r>
            <w:r w:rsidR="00F71FF9">
              <w:rPr>
                <w:noProof/>
                <w:webHidden/>
              </w:rPr>
              <w:fldChar w:fldCharType="separate"/>
            </w:r>
            <w:r w:rsidR="00F71FF9">
              <w:rPr>
                <w:noProof/>
                <w:webHidden/>
              </w:rPr>
              <w:t>3</w:t>
            </w:r>
            <w:r w:rsidR="00F71FF9">
              <w:rPr>
                <w:noProof/>
                <w:webHidden/>
              </w:rPr>
              <w:fldChar w:fldCharType="end"/>
            </w:r>
          </w:hyperlink>
        </w:p>
        <w:p w14:paraId="1D9187D0" w14:textId="7D41191A" w:rsidR="00F71FF9" w:rsidRDefault="007551F8">
          <w:pPr>
            <w:pStyle w:val="TOC2"/>
            <w:tabs>
              <w:tab w:val="right" w:leader="dot" w:pos="9016"/>
            </w:tabs>
            <w:rPr>
              <w:noProof/>
            </w:rPr>
          </w:pPr>
          <w:hyperlink w:anchor="_Toc107087530" w:history="1">
            <w:r w:rsidR="00F71FF9" w:rsidRPr="008A42D1">
              <w:rPr>
                <w:rStyle w:val="Hyperlink"/>
                <w:noProof/>
              </w:rPr>
              <w:t>Importance of statutory interpretation</w:t>
            </w:r>
            <w:r w:rsidR="00F71FF9">
              <w:rPr>
                <w:noProof/>
                <w:webHidden/>
              </w:rPr>
              <w:tab/>
            </w:r>
            <w:r w:rsidR="00F71FF9">
              <w:rPr>
                <w:noProof/>
                <w:webHidden/>
              </w:rPr>
              <w:fldChar w:fldCharType="begin"/>
            </w:r>
            <w:r w:rsidR="00F71FF9">
              <w:rPr>
                <w:noProof/>
                <w:webHidden/>
              </w:rPr>
              <w:instrText xml:space="preserve"> PAGEREF _Toc107087530 \h </w:instrText>
            </w:r>
            <w:r w:rsidR="00F71FF9">
              <w:rPr>
                <w:noProof/>
                <w:webHidden/>
              </w:rPr>
            </w:r>
            <w:r w:rsidR="00F71FF9">
              <w:rPr>
                <w:noProof/>
                <w:webHidden/>
              </w:rPr>
              <w:fldChar w:fldCharType="separate"/>
            </w:r>
            <w:r w:rsidR="00F71FF9">
              <w:rPr>
                <w:noProof/>
                <w:webHidden/>
              </w:rPr>
              <w:t>3</w:t>
            </w:r>
            <w:r w:rsidR="00F71FF9">
              <w:rPr>
                <w:noProof/>
                <w:webHidden/>
              </w:rPr>
              <w:fldChar w:fldCharType="end"/>
            </w:r>
          </w:hyperlink>
        </w:p>
        <w:p w14:paraId="7313FD38" w14:textId="7F88CD7C" w:rsidR="00F71FF9" w:rsidRDefault="007551F8">
          <w:pPr>
            <w:pStyle w:val="TOC2"/>
            <w:tabs>
              <w:tab w:val="right" w:leader="dot" w:pos="9016"/>
            </w:tabs>
            <w:rPr>
              <w:noProof/>
            </w:rPr>
          </w:pPr>
          <w:hyperlink w:anchor="_Toc107087531" w:history="1">
            <w:r w:rsidR="00F71FF9" w:rsidRPr="008A42D1">
              <w:rPr>
                <w:rStyle w:val="Hyperlink"/>
                <w:noProof/>
              </w:rPr>
              <w:t>Should the lawmakers be clearer in expressing their intentions via statute?</w:t>
            </w:r>
            <w:r w:rsidR="00F71FF9">
              <w:rPr>
                <w:noProof/>
                <w:webHidden/>
              </w:rPr>
              <w:tab/>
            </w:r>
            <w:r w:rsidR="00F71FF9">
              <w:rPr>
                <w:noProof/>
                <w:webHidden/>
              </w:rPr>
              <w:fldChar w:fldCharType="begin"/>
            </w:r>
            <w:r w:rsidR="00F71FF9">
              <w:rPr>
                <w:noProof/>
                <w:webHidden/>
              </w:rPr>
              <w:instrText xml:space="preserve"> PAGEREF _Toc107087531 \h </w:instrText>
            </w:r>
            <w:r w:rsidR="00F71FF9">
              <w:rPr>
                <w:noProof/>
                <w:webHidden/>
              </w:rPr>
            </w:r>
            <w:r w:rsidR="00F71FF9">
              <w:rPr>
                <w:noProof/>
                <w:webHidden/>
              </w:rPr>
              <w:fldChar w:fldCharType="separate"/>
            </w:r>
            <w:r w:rsidR="00F71FF9">
              <w:rPr>
                <w:noProof/>
                <w:webHidden/>
              </w:rPr>
              <w:t>4</w:t>
            </w:r>
            <w:r w:rsidR="00F71FF9">
              <w:rPr>
                <w:noProof/>
                <w:webHidden/>
              </w:rPr>
              <w:fldChar w:fldCharType="end"/>
            </w:r>
          </w:hyperlink>
        </w:p>
        <w:p w14:paraId="60E63232" w14:textId="3F0CF56E" w:rsidR="00F71FF9" w:rsidRDefault="007551F8">
          <w:pPr>
            <w:pStyle w:val="TOC2"/>
            <w:tabs>
              <w:tab w:val="right" w:leader="dot" w:pos="9016"/>
            </w:tabs>
            <w:rPr>
              <w:noProof/>
            </w:rPr>
          </w:pPr>
          <w:hyperlink w:anchor="_Toc107087532" w:history="1">
            <w:r w:rsidR="00F71FF9" w:rsidRPr="008A42D1">
              <w:rPr>
                <w:rStyle w:val="Hyperlink"/>
                <w:noProof/>
              </w:rPr>
              <w:t>Does Statutory interpretation cause problems?</w:t>
            </w:r>
            <w:r w:rsidR="00F71FF9">
              <w:rPr>
                <w:noProof/>
                <w:webHidden/>
              </w:rPr>
              <w:tab/>
            </w:r>
            <w:r w:rsidR="00F71FF9">
              <w:rPr>
                <w:noProof/>
                <w:webHidden/>
              </w:rPr>
              <w:fldChar w:fldCharType="begin"/>
            </w:r>
            <w:r w:rsidR="00F71FF9">
              <w:rPr>
                <w:noProof/>
                <w:webHidden/>
              </w:rPr>
              <w:instrText xml:space="preserve"> PAGEREF _Toc107087532 \h </w:instrText>
            </w:r>
            <w:r w:rsidR="00F71FF9">
              <w:rPr>
                <w:noProof/>
                <w:webHidden/>
              </w:rPr>
            </w:r>
            <w:r w:rsidR="00F71FF9">
              <w:rPr>
                <w:noProof/>
                <w:webHidden/>
              </w:rPr>
              <w:fldChar w:fldCharType="separate"/>
            </w:r>
            <w:r w:rsidR="00F71FF9">
              <w:rPr>
                <w:noProof/>
                <w:webHidden/>
              </w:rPr>
              <w:t>4</w:t>
            </w:r>
            <w:r w:rsidR="00F71FF9">
              <w:rPr>
                <w:noProof/>
                <w:webHidden/>
              </w:rPr>
              <w:fldChar w:fldCharType="end"/>
            </w:r>
          </w:hyperlink>
        </w:p>
        <w:p w14:paraId="7A2094E2" w14:textId="6C8CDC8D" w:rsidR="00F71FF9" w:rsidRDefault="007551F8">
          <w:pPr>
            <w:pStyle w:val="TOC2"/>
            <w:tabs>
              <w:tab w:val="right" w:leader="dot" w:pos="9016"/>
            </w:tabs>
            <w:rPr>
              <w:noProof/>
            </w:rPr>
          </w:pPr>
          <w:hyperlink w:anchor="_Toc107087533" w:history="1">
            <w:r w:rsidR="00F71FF9" w:rsidRPr="008A42D1">
              <w:rPr>
                <w:rStyle w:val="Hyperlink"/>
                <w:noProof/>
              </w:rPr>
              <w:t>Rules underpinning statutory interpretation</w:t>
            </w:r>
            <w:r w:rsidR="00F71FF9">
              <w:rPr>
                <w:noProof/>
                <w:webHidden/>
              </w:rPr>
              <w:tab/>
            </w:r>
            <w:r w:rsidR="00F71FF9">
              <w:rPr>
                <w:noProof/>
                <w:webHidden/>
              </w:rPr>
              <w:fldChar w:fldCharType="begin"/>
            </w:r>
            <w:r w:rsidR="00F71FF9">
              <w:rPr>
                <w:noProof/>
                <w:webHidden/>
              </w:rPr>
              <w:instrText xml:space="preserve"> PAGEREF _Toc107087533 \h </w:instrText>
            </w:r>
            <w:r w:rsidR="00F71FF9">
              <w:rPr>
                <w:noProof/>
                <w:webHidden/>
              </w:rPr>
            </w:r>
            <w:r w:rsidR="00F71FF9">
              <w:rPr>
                <w:noProof/>
                <w:webHidden/>
              </w:rPr>
              <w:fldChar w:fldCharType="separate"/>
            </w:r>
            <w:r w:rsidR="00F71FF9">
              <w:rPr>
                <w:noProof/>
                <w:webHidden/>
              </w:rPr>
              <w:t>5</w:t>
            </w:r>
            <w:r w:rsidR="00F71FF9">
              <w:rPr>
                <w:noProof/>
                <w:webHidden/>
              </w:rPr>
              <w:fldChar w:fldCharType="end"/>
            </w:r>
          </w:hyperlink>
        </w:p>
        <w:p w14:paraId="4EFC9172" w14:textId="636D8954" w:rsidR="00F71FF9" w:rsidRDefault="007551F8">
          <w:pPr>
            <w:pStyle w:val="TOC2"/>
            <w:tabs>
              <w:tab w:val="right" w:leader="dot" w:pos="9016"/>
            </w:tabs>
            <w:rPr>
              <w:noProof/>
            </w:rPr>
          </w:pPr>
          <w:hyperlink w:anchor="_Toc107087534" w:history="1">
            <w:r w:rsidR="00F71FF9" w:rsidRPr="008A42D1">
              <w:rPr>
                <w:rStyle w:val="Hyperlink"/>
                <w:noProof/>
              </w:rPr>
              <w:t>Conclusion</w:t>
            </w:r>
            <w:r w:rsidR="00F71FF9">
              <w:rPr>
                <w:noProof/>
                <w:webHidden/>
              </w:rPr>
              <w:tab/>
            </w:r>
            <w:r w:rsidR="00F71FF9">
              <w:rPr>
                <w:noProof/>
                <w:webHidden/>
              </w:rPr>
              <w:fldChar w:fldCharType="begin"/>
            </w:r>
            <w:r w:rsidR="00F71FF9">
              <w:rPr>
                <w:noProof/>
                <w:webHidden/>
              </w:rPr>
              <w:instrText xml:space="preserve"> PAGEREF _Toc107087534 \h </w:instrText>
            </w:r>
            <w:r w:rsidR="00F71FF9">
              <w:rPr>
                <w:noProof/>
                <w:webHidden/>
              </w:rPr>
            </w:r>
            <w:r w:rsidR="00F71FF9">
              <w:rPr>
                <w:noProof/>
                <w:webHidden/>
              </w:rPr>
              <w:fldChar w:fldCharType="separate"/>
            </w:r>
            <w:r w:rsidR="00F71FF9">
              <w:rPr>
                <w:noProof/>
                <w:webHidden/>
              </w:rPr>
              <w:t>7</w:t>
            </w:r>
            <w:r w:rsidR="00F71FF9">
              <w:rPr>
                <w:noProof/>
                <w:webHidden/>
              </w:rPr>
              <w:fldChar w:fldCharType="end"/>
            </w:r>
          </w:hyperlink>
        </w:p>
        <w:p w14:paraId="4A649941" w14:textId="38E95FC3" w:rsidR="00F71FF9" w:rsidRDefault="007551F8">
          <w:pPr>
            <w:pStyle w:val="TOC1"/>
            <w:tabs>
              <w:tab w:val="right" w:leader="dot" w:pos="9016"/>
            </w:tabs>
            <w:rPr>
              <w:noProof/>
            </w:rPr>
          </w:pPr>
          <w:hyperlink w:anchor="_Toc107087535" w:history="1">
            <w:r w:rsidR="00F71FF9" w:rsidRPr="008A42D1">
              <w:rPr>
                <w:rStyle w:val="Hyperlink"/>
                <w:noProof/>
              </w:rPr>
              <w:t>References</w:t>
            </w:r>
            <w:r w:rsidR="00F71FF9">
              <w:rPr>
                <w:noProof/>
                <w:webHidden/>
              </w:rPr>
              <w:tab/>
            </w:r>
            <w:r w:rsidR="00F71FF9">
              <w:rPr>
                <w:noProof/>
                <w:webHidden/>
              </w:rPr>
              <w:fldChar w:fldCharType="begin"/>
            </w:r>
            <w:r w:rsidR="00F71FF9">
              <w:rPr>
                <w:noProof/>
                <w:webHidden/>
              </w:rPr>
              <w:instrText xml:space="preserve"> PAGEREF _Toc107087535 \h </w:instrText>
            </w:r>
            <w:r w:rsidR="00F71FF9">
              <w:rPr>
                <w:noProof/>
                <w:webHidden/>
              </w:rPr>
            </w:r>
            <w:r w:rsidR="00F71FF9">
              <w:rPr>
                <w:noProof/>
                <w:webHidden/>
              </w:rPr>
              <w:fldChar w:fldCharType="separate"/>
            </w:r>
            <w:r w:rsidR="00F71FF9">
              <w:rPr>
                <w:noProof/>
                <w:webHidden/>
              </w:rPr>
              <w:t>8</w:t>
            </w:r>
            <w:r w:rsidR="00F71FF9">
              <w:rPr>
                <w:noProof/>
                <w:webHidden/>
              </w:rPr>
              <w:fldChar w:fldCharType="end"/>
            </w:r>
          </w:hyperlink>
        </w:p>
        <w:p w14:paraId="568E3C23" w14:textId="10584076" w:rsidR="00F71FF9" w:rsidRDefault="00F71FF9">
          <w:r>
            <w:rPr>
              <w:b/>
              <w:bCs/>
              <w:noProof/>
            </w:rPr>
            <w:fldChar w:fldCharType="end"/>
          </w:r>
        </w:p>
      </w:sdtContent>
    </w:sdt>
    <w:p w14:paraId="563026B0" w14:textId="77777777" w:rsidR="00F71FF9" w:rsidRDefault="00F71FF9">
      <w:pPr>
        <w:rPr>
          <w:rFonts w:ascii="Times New Roman" w:eastAsiaTheme="majorEastAsia" w:hAnsi="Times New Roman" w:cs="Times New Roman"/>
          <w:color w:val="2F5496" w:themeColor="accent1" w:themeShade="BF"/>
          <w:sz w:val="32"/>
          <w:szCs w:val="32"/>
        </w:rPr>
      </w:pPr>
      <w:bookmarkStart w:id="1" w:name="_Toc107087528"/>
      <w:r>
        <w:br w:type="page"/>
      </w:r>
    </w:p>
    <w:p w14:paraId="1028B84F" w14:textId="54AEEFBE" w:rsidR="00401D47" w:rsidRPr="00F71FF9" w:rsidRDefault="00F839F5" w:rsidP="00F71FF9">
      <w:pPr>
        <w:pStyle w:val="Heading1"/>
      </w:pPr>
      <w:r w:rsidRPr="00F71FF9">
        <w:lastRenderedPageBreak/>
        <w:t>Introduction</w:t>
      </w:r>
      <w:bookmarkEnd w:id="1"/>
    </w:p>
    <w:p w14:paraId="05335E22" w14:textId="44BACE22" w:rsidR="00401D47" w:rsidRDefault="00F839F5" w:rsidP="004416A9">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This paper provides a discussion regarding statutory interpretation as well as its importance. Further</w:t>
      </w:r>
      <w:r w:rsidR="005A79BA">
        <w:rPr>
          <w:rFonts w:ascii="Times New Roman" w:hAnsi="Times New Roman" w:cs="Times New Roman"/>
          <w:sz w:val="24"/>
          <w:szCs w:val="24"/>
        </w:rPr>
        <w:t>, this</w:t>
      </w:r>
      <w:r>
        <w:rPr>
          <w:rFonts w:ascii="Times New Roman" w:hAnsi="Times New Roman" w:cs="Times New Roman"/>
          <w:sz w:val="24"/>
          <w:szCs w:val="24"/>
        </w:rPr>
        <w:t xml:space="preserve"> paper also discusses whether statutory interpretation leads to problems. Besides this, </w:t>
      </w:r>
      <w:r w:rsidRPr="00810FC1">
        <w:rPr>
          <w:rFonts w:ascii="Times New Roman" w:hAnsi="Times New Roman" w:cs="Times New Roman"/>
          <w:color w:val="000000" w:themeColor="text1"/>
          <w:sz w:val="24"/>
          <w:szCs w:val="24"/>
        </w:rPr>
        <w:t>the paper also highlights the rules underpinning statutory interpretation.</w:t>
      </w:r>
      <w:r w:rsidR="00810A6A" w:rsidRPr="00810FC1">
        <w:rPr>
          <w:rFonts w:ascii="Times New Roman" w:hAnsi="Times New Roman" w:cs="Times New Roman"/>
          <w:color w:val="000000" w:themeColor="text1"/>
          <w:sz w:val="24"/>
          <w:szCs w:val="24"/>
        </w:rPr>
        <w:t xml:space="preserve"> It also focuses on the different aspect</w:t>
      </w:r>
      <w:r w:rsidR="00810FC1">
        <w:rPr>
          <w:rFonts w:ascii="Times New Roman" w:hAnsi="Times New Roman" w:cs="Times New Roman"/>
          <w:color w:val="000000" w:themeColor="text1"/>
          <w:sz w:val="24"/>
          <w:szCs w:val="24"/>
        </w:rPr>
        <w:t>s</w:t>
      </w:r>
      <w:r w:rsidR="00810A6A" w:rsidRPr="00810FC1">
        <w:rPr>
          <w:rFonts w:ascii="Times New Roman" w:hAnsi="Times New Roman" w:cs="Times New Roman"/>
          <w:color w:val="000000" w:themeColor="text1"/>
          <w:sz w:val="24"/>
          <w:szCs w:val="24"/>
        </w:rPr>
        <w:t xml:space="preserve"> of the legal process and it also includes the relationship between legislation and polices practices. However, the end of the paper is being adjoined which will help analyse the study </w:t>
      </w:r>
      <w:r w:rsidR="00810FC1">
        <w:rPr>
          <w:rFonts w:ascii="Times New Roman" w:hAnsi="Times New Roman" w:cs="Times New Roman"/>
          <w:color w:val="000000" w:themeColor="text1"/>
          <w:sz w:val="24"/>
          <w:szCs w:val="24"/>
        </w:rPr>
        <w:t>more prominently</w:t>
      </w:r>
      <w:r w:rsidR="00810A6A" w:rsidRPr="00810FC1">
        <w:rPr>
          <w:rFonts w:ascii="Times New Roman" w:hAnsi="Times New Roman" w:cs="Times New Roman"/>
          <w:color w:val="000000" w:themeColor="text1"/>
          <w:sz w:val="24"/>
          <w:szCs w:val="24"/>
        </w:rPr>
        <w:t xml:space="preserve">. </w:t>
      </w:r>
    </w:p>
    <w:p w14:paraId="4F185C41" w14:textId="77777777" w:rsidR="00F71FF9" w:rsidRDefault="00F71FF9">
      <w:pPr>
        <w:rPr>
          <w:rFonts w:ascii="Times New Roman" w:eastAsiaTheme="majorEastAsia" w:hAnsi="Times New Roman" w:cs="Times New Roman"/>
          <w:color w:val="2F5496" w:themeColor="accent1" w:themeShade="BF"/>
          <w:sz w:val="28"/>
          <w:szCs w:val="28"/>
        </w:rPr>
      </w:pPr>
      <w:r>
        <w:br w:type="page"/>
      </w:r>
    </w:p>
    <w:p w14:paraId="3860851C" w14:textId="2AC47DBC" w:rsidR="00401D47" w:rsidRPr="00F71FF9" w:rsidRDefault="00F839F5" w:rsidP="00F71FF9">
      <w:pPr>
        <w:pStyle w:val="Heading2"/>
      </w:pPr>
      <w:bookmarkStart w:id="2" w:name="_Toc107087529"/>
      <w:r w:rsidRPr="00F71FF9">
        <w:lastRenderedPageBreak/>
        <w:t>Statutory interpretation</w:t>
      </w:r>
      <w:bookmarkEnd w:id="2"/>
    </w:p>
    <w:p w14:paraId="69DF6387" w14:textId="1C9D8D44" w:rsidR="00401D47" w:rsidRPr="005A79BA" w:rsidRDefault="00F839F5" w:rsidP="004416A9">
      <w:pPr>
        <w:spacing w:before="240"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sz w:val="24"/>
          <w:szCs w:val="24"/>
        </w:rPr>
        <w:t xml:space="preserve">Statutory interpretation is referred to as a procedure through which the courts carry out interpretation as well as the application of legislation. Interpretation tends to be crucial when any case comprises or statute. Often the words regarding a statute tend to have a straightforward as well as plain </w:t>
      </w:r>
      <w:r w:rsidR="005A79BA">
        <w:rPr>
          <w:rFonts w:ascii="Times New Roman" w:hAnsi="Times New Roman" w:cs="Times New Roman"/>
          <w:sz w:val="24"/>
          <w:szCs w:val="24"/>
        </w:rPr>
        <w:t>meaning;</w:t>
      </w:r>
      <w:r>
        <w:rPr>
          <w:rFonts w:ascii="Times New Roman" w:hAnsi="Times New Roman" w:cs="Times New Roman"/>
          <w:sz w:val="24"/>
          <w:szCs w:val="24"/>
        </w:rPr>
        <w:t xml:space="preserve"> however, in several cases</w:t>
      </w:r>
      <w:r w:rsidR="00DA5B84">
        <w:rPr>
          <w:rFonts w:ascii="Times New Roman" w:hAnsi="Times New Roman" w:cs="Times New Roman"/>
          <w:sz w:val="24"/>
          <w:szCs w:val="24"/>
        </w:rPr>
        <w:t>,</w:t>
      </w:r>
      <w:r>
        <w:rPr>
          <w:rFonts w:ascii="Times New Roman" w:hAnsi="Times New Roman" w:cs="Times New Roman"/>
          <w:sz w:val="24"/>
          <w:szCs w:val="24"/>
        </w:rPr>
        <w:t xml:space="preserve"> there has been some amount of ambiguity within the words regarding a statute that the judge is responsible for resolving</w:t>
      </w:r>
      <w:r w:rsidR="005A79BA">
        <w:rPr>
          <w:rFonts w:ascii="Times New Roman" w:hAnsi="Times New Roman" w:cs="Times New Roman"/>
          <w:sz w:val="24"/>
          <w:szCs w:val="24"/>
        </w:rPr>
        <w:t xml:space="preserve"> </w:t>
      </w:r>
      <w:r w:rsidR="005A79BA">
        <w:rPr>
          <w:rFonts w:ascii="Times New Roman" w:hAnsi="Times New Roman" w:cs="Times New Roman"/>
          <w:color w:val="222222"/>
          <w:sz w:val="24"/>
          <w:szCs w:val="24"/>
          <w:shd w:val="clear" w:color="auto" w:fill="FFFFFF"/>
        </w:rPr>
        <w:t>(</w:t>
      </w:r>
      <w:r w:rsidR="005A79BA" w:rsidRPr="005A79BA">
        <w:rPr>
          <w:rFonts w:ascii="Times New Roman" w:hAnsi="Times New Roman" w:cs="Times New Roman"/>
          <w:color w:val="222222"/>
          <w:sz w:val="24"/>
          <w:szCs w:val="24"/>
          <w:shd w:val="clear" w:color="auto" w:fill="FFFFFF"/>
        </w:rPr>
        <w:t>Born,</w:t>
      </w:r>
      <w:r w:rsidR="005A79BA">
        <w:rPr>
          <w:rFonts w:ascii="Times New Roman" w:hAnsi="Times New Roman" w:cs="Times New Roman"/>
          <w:color w:val="222222"/>
          <w:sz w:val="24"/>
          <w:szCs w:val="24"/>
          <w:shd w:val="clear" w:color="auto" w:fill="FFFFFF"/>
        </w:rPr>
        <w:t xml:space="preserve"> 2021)</w:t>
      </w:r>
      <w:r>
        <w:rPr>
          <w:rFonts w:ascii="Times New Roman" w:hAnsi="Times New Roman" w:cs="Times New Roman"/>
          <w:sz w:val="24"/>
          <w:szCs w:val="24"/>
        </w:rPr>
        <w:t xml:space="preserve">.  For finding the meanings related to statutes, the judges utilize several tools along with methods regarding statutory interpretation that involves traditional canons regarding legislative history, statutory interpretation, as well as purpose. </w:t>
      </w:r>
      <w:r w:rsidR="005A79BA">
        <w:rPr>
          <w:rFonts w:ascii="Times New Roman" w:hAnsi="Times New Roman" w:cs="Times New Roman"/>
          <w:sz w:val="24"/>
          <w:szCs w:val="24"/>
        </w:rPr>
        <w:t>Within</w:t>
      </w:r>
      <w:r>
        <w:rPr>
          <w:rFonts w:ascii="Times New Roman" w:hAnsi="Times New Roman" w:cs="Times New Roman"/>
          <w:sz w:val="24"/>
          <w:szCs w:val="24"/>
        </w:rPr>
        <w:t xml:space="preserve"> common law jurisdictions, the rules regarding statutory interpretation tend to be applied by the judiciary to the legislation that is enacted by the legislation as well as to the delegated legislation involving administrative agency regulations. The </w:t>
      </w:r>
      <w:r w:rsidR="00F047B4">
        <w:rPr>
          <w:rFonts w:ascii="Times New Roman" w:hAnsi="Times New Roman" w:cs="Times New Roman"/>
          <w:sz w:val="24"/>
          <w:szCs w:val="24"/>
        </w:rPr>
        <w:t>age-old</w:t>
      </w:r>
      <w:r>
        <w:rPr>
          <w:rFonts w:ascii="Times New Roman" w:hAnsi="Times New Roman" w:cs="Times New Roman"/>
          <w:sz w:val="24"/>
          <w:szCs w:val="24"/>
        </w:rPr>
        <w:t xml:space="preserve"> procedure of a</w:t>
      </w:r>
      <w:r w:rsidR="00DA5B84">
        <w:rPr>
          <w:rFonts w:ascii="Times New Roman" w:hAnsi="Times New Roman" w:cs="Times New Roman"/>
          <w:sz w:val="24"/>
          <w:szCs w:val="24"/>
        </w:rPr>
        <w:t>ero</w:t>
      </w:r>
      <w:r>
        <w:rPr>
          <w:rFonts w:ascii="Times New Roman" w:hAnsi="Times New Roman" w:cs="Times New Roman"/>
          <w:sz w:val="24"/>
          <w:szCs w:val="24"/>
        </w:rPr>
        <w:t xml:space="preserve">planes the enacted law tends to lead the formulation regarding certain rules related to interpretation. </w:t>
      </w:r>
      <w:r w:rsidR="00810FC1">
        <w:rPr>
          <w:rFonts w:ascii="Times New Roman" w:hAnsi="Times New Roman" w:cs="Times New Roman"/>
          <w:sz w:val="24"/>
          <w:szCs w:val="24"/>
        </w:rPr>
        <w:t>Following</w:t>
      </w:r>
      <w:r>
        <w:rPr>
          <w:rFonts w:ascii="Times New Roman" w:hAnsi="Times New Roman" w:cs="Times New Roman"/>
          <w:sz w:val="24"/>
          <w:szCs w:val="24"/>
        </w:rPr>
        <w:t xml:space="preserve"> the cross, the interpretation is referred to as a procedure through which the courts carry out the analysis of meaning regarding a </w:t>
      </w:r>
      <w:r w:rsidR="002045FF">
        <w:rPr>
          <w:rFonts w:ascii="Times New Roman" w:hAnsi="Times New Roman" w:cs="Times New Roman"/>
          <w:sz w:val="24"/>
          <w:szCs w:val="24"/>
        </w:rPr>
        <w:t>statutory</w:t>
      </w:r>
      <w:r>
        <w:rPr>
          <w:rFonts w:ascii="Times New Roman" w:hAnsi="Times New Roman" w:cs="Times New Roman"/>
          <w:sz w:val="24"/>
          <w:szCs w:val="24"/>
        </w:rPr>
        <w:t xml:space="preserve"> provision to apply the statutory provision to a particular situation</w:t>
      </w:r>
      <w:r w:rsidR="005A79BA">
        <w:rPr>
          <w:rFonts w:ascii="Times New Roman" w:hAnsi="Times New Roman" w:cs="Times New Roman"/>
          <w:sz w:val="24"/>
          <w:szCs w:val="24"/>
        </w:rPr>
        <w:t xml:space="preserve"> </w:t>
      </w:r>
      <w:r w:rsidR="005A79BA">
        <w:rPr>
          <w:rFonts w:ascii="Times New Roman" w:hAnsi="Times New Roman" w:cs="Times New Roman"/>
          <w:color w:val="222222"/>
          <w:sz w:val="24"/>
          <w:szCs w:val="24"/>
          <w:shd w:val="clear" w:color="auto" w:fill="FFFFFF"/>
        </w:rPr>
        <w:t>(</w:t>
      </w:r>
      <w:r w:rsidR="005A79BA" w:rsidRPr="005A79BA">
        <w:rPr>
          <w:rFonts w:ascii="Times New Roman" w:hAnsi="Times New Roman" w:cs="Times New Roman"/>
          <w:color w:val="222222"/>
          <w:sz w:val="24"/>
          <w:szCs w:val="24"/>
          <w:shd w:val="clear" w:color="auto" w:fill="FFFFFF"/>
        </w:rPr>
        <w:t>Chiassoni,</w:t>
      </w:r>
      <w:r w:rsidR="005A79BA">
        <w:rPr>
          <w:rFonts w:ascii="Times New Roman" w:hAnsi="Times New Roman" w:cs="Times New Roman"/>
          <w:color w:val="222222"/>
          <w:sz w:val="24"/>
          <w:szCs w:val="24"/>
          <w:shd w:val="clear" w:color="auto" w:fill="FFFFFF"/>
        </w:rPr>
        <w:t xml:space="preserve"> 2019)</w:t>
      </w:r>
      <w:r>
        <w:rPr>
          <w:rFonts w:ascii="Times New Roman" w:hAnsi="Times New Roman" w:cs="Times New Roman"/>
          <w:sz w:val="24"/>
          <w:szCs w:val="24"/>
        </w:rPr>
        <w:t xml:space="preserve">. </w:t>
      </w:r>
      <w:r w:rsidR="005A79BA">
        <w:rPr>
          <w:rFonts w:ascii="Times New Roman" w:hAnsi="Times New Roman" w:cs="Times New Roman"/>
          <w:sz w:val="24"/>
          <w:szCs w:val="24"/>
        </w:rPr>
        <w:t>It</w:t>
      </w:r>
      <w:r>
        <w:rPr>
          <w:rFonts w:ascii="Times New Roman" w:hAnsi="Times New Roman" w:cs="Times New Roman"/>
          <w:sz w:val="24"/>
          <w:szCs w:val="24"/>
        </w:rPr>
        <w:t xml:space="preserve"> is also referred to as a procedure through which the UK courts seek towards ascertaining the meaning regarding the legislature </w:t>
      </w:r>
      <w:r w:rsidR="005A79BA">
        <w:rPr>
          <w:rFonts w:ascii="Times New Roman" w:hAnsi="Times New Roman" w:cs="Times New Roman"/>
          <w:sz w:val="24"/>
          <w:szCs w:val="24"/>
        </w:rPr>
        <w:t>by medium involving authoritative forms</w:t>
      </w:r>
      <w:r>
        <w:rPr>
          <w:rFonts w:ascii="Times New Roman" w:hAnsi="Times New Roman" w:cs="Times New Roman"/>
          <w:sz w:val="24"/>
          <w:szCs w:val="24"/>
        </w:rPr>
        <w:t xml:space="preserve"> where it is expressed. </w:t>
      </w:r>
      <w:r w:rsidR="005A79BA">
        <w:rPr>
          <w:rFonts w:ascii="Times New Roman" w:hAnsi="Times New Roman" w:cs="Times New Roman"/>
          <w:sz w:val="24"/>
          <w:szCs w:val="24"/>
        </w:rPr>
        <w:t>The</w:t>
      </w:r>
      <w:r>
        <w:rPr>
          <w:rFonts w:ascii="Times New Roman" w:hAnsi="Times New Roman" w:cs="Times New Roman"/>
          <w:sz w:val="24"/>
          <w:szCs w:val="24"/>
        </w:rPr>
        <w:t xml:space="preserve"> interpretation regarding a significant statute tends to be dependent on the aspect of creativity that has been applied by the court or the judges within its reading as well as employed for the accomplishment of a certain stated end</w:t>
      </w:r>
      <w:r w:rsidR="005A79BA">
        <w:rPr>
          <w:rFonts w:ascii="Times New Roman" w:hAnsi="Times New Roman" w:cs="Times New Roman"/>
          <w:sz w:val="24"/>
          <w:szCs w:val="24"/>
        </w:rPr>
        <w:t xml:space="preserve"> </w:t>
      </w:r>
      <w:r w:rsidR="005A79BA">
        <w:rPr>
          <w:rFonts w:ascii="Times New Roman" w:hAnsi="Times New Roman" w:cs="Times New Roman"/>
          <w:color w:val="222222"/>
          <w:sz w:val="24"/>
          <w:szCs w:val="24"/>
          <w:shd w:val="clear" w:color="auto" w:fill="FFFFFF"/>
        </w:rPr>
        <w:t>(</w:t>
      </w:r>
      <w:r w:rsidR="005A79BA" w:rsidRPr="005A79BA">
        <w:rPr>
          <w:rFonts w:ascii="Times New Roman" w:hAnsi="Times New Roman" w:cs="Times New Roman"/>
          <w:color w:val="222222"/>
          <w:sz w:val="24"/>
          <w:szCs w:val="24"/>
          <w:shd w:val="clear" w:color="auto" w:fill="FFFFFF"/>
        </w:rPr>
        <w:t>Cross,</w:t>
      </w:r>
      <w:r w:rsidR="005A79BA">
        <w:rPr>
          <w:rFonts w:ascii="Times New Roman" w:hAnsi="Times New Roman" w:cs="Times New Roman"/>
          <w:color w:val="222222"/>
          <w:sz w:val="24"/>
          <w:szCs w:val="24"/>
          <w:shd w:val="clear" w:color="auto" w:fill="FFFFFF"/>
        </w:rPr>
        <w:t xml:space="preserve"> 2018)</w:t>
      </w:r>
      <w:r>
        <w:rPr>
          <w:rFonts w:ascii="Times New Roman" w:hAnsi="Times New Roman" w:cs="Times New Roman"/>
          <w:sz w:val="24"/>
          <w:szCs w:val="24"/>
        </w:rPr>
        <w:t xml:space="preserve">. </w:t>
      </w:r>
    </w:p>
    <w:p w14:paraId="39FA2283" w14:textId="77777777" w:rsidR="00401D47" w:rsidRDefault="00F839F5" w:rsidP="00F71FF9">
      <w:pPr>
        <w:pStyle w:val="Heading2"/>
      </w:pPr>
      <w:bookmarkStart w:id="3" w:name="_Toc107087530"/>
      <w:r>
        <w:t>Importance of statutory interpretation</w:t>
      </w:r>
      <w:bookmarkEnd w:id="3"/>
    </w:p>
    <w:p w14:paraId="4C0AC7B7" w14:textId="30671050" w:rsidR="00401D47" w:rsidRPr="005A79BA" w:rsidRDefault="00F839F5" w:rsidP="004416A9">
      <w:pPr>
        <w:spacing w:before="240"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sz w:val="24"/>
          <w:szCs w:val="24"/>
        </w:rPr>
        <w:t>Judges tend to carry out the interpretation of several meanings regarding a single word and along with that</w:t>
      </w:r>
      <w:r w:rsidR="005A79BA">
        <w:rPr>
          <w:rFonts w:ascii="Times New Roman" w:hAnsi="Times New Roman" w:cs="Times New Roman"/>
          <w:sz w:val="24"/>
          <w:szCs w:val="24"/>
        </w:rPr>
        <w:t>, the</w:t>
      </w:r>
      <w:r>
        <w:rPr>
          <w:rFonts w:ascii="Times New Roman" w:hAnsi="Times New Roman" w:cs="Times New Roman"/>
          <w:sz w:val="24"/>
          <w:szCs w:val="24"/>
        </w:rPr>
        <w:t xml:space="preserve"> meaning </w:t>
      </w:r>
      <w:r w:rsidR="00DA5B84">
        <w:rPr>
          <w:rFonts w:ascii="Times New Roman" w:hAnsi="Times New Roman" w:cs="Times New Roman"/>
          <w:sz w:val="24"/>
          <w:szCs w:val="24"/>
        </w:rPr>
        <w:t>of</w:t>
      </w:r>
      <w:r>
        <w:rPr>
          <w:rFonts w:ascii="Times New Roman" w:hAnsi="Times New Roman" w:cs="Times New Roman"/>
          <w:sz w:val="24"/>
          <w:szCs w:val="24"/>
        </w:rPr>
        <w:t xml:space="preserve"> a word tends to change </w:t>
      </w:r>
      <w:r w:rsidR="00810FC1">
        <w:rPr>
          <w:rFonts w:ascii="Times New Roman" w:hAnsi="Times New Roman" w:cs="Times New Roman"/>
          <w:sz w:val="24"/>
          <w:szCs w:val="24"/>
        </w:rPr>
        <w:t>based on</w:t>
      </w:r>
      <w:r>
        <w:rPr>
          <w:rFonts w:ascii="Times New Roman" w:hAnsi="Times New Roman" w:cs="Times New Roman"/>
          <w:sz w:val="24"/>
          <w:szCs w:val="24"/>
        </w:rPr>
        <w:t xml:space="preserve"> the context where it might be stated. It tends to be important in carrying out statutory interpretation so that the judges are unable in making their judgments within different cases</w:t>
      </w:r>
      <w:r w:rsidR="005A79BA">
        <w:rPr>
          <w:rFonts w:ascii="Times New Roman" w:hAnsi="Times New Roman" w:cs="Times New Roman"/>
          <w:sz w:val="24"/>
          <w:szCs w:val="24"/>
        </w:rPr>
        <w:t xml:space="preserve"> </w:t>
      </w:r>
      <w:r w:rsidR="005A79BA">
        <w:rPr>
          <w:rFonts w:ascii="Times New Roman" w:hAnsi="Times New Roman" w:cs="Times New Roman"/>
          <w:color w:val="222222"/>
          <w:sz w:val="24"/>
          <w:szCs w:val="24"/>
          <w:shd w:val="clear" w:color="auto" w:fill="FFFFFF"/>
        </w:rPr>
        <w:t>(</w:t>
      </w:r>
      <w:r w:rsidR="005A79BA" w:rsidRPr="005A79BA">
        <w:rPr>
          <w:rFonts w:ascii="Times New Roman" w:hAnsi="Times New Roman" w:cs="Times New Roman"/>
          <w:color w:val="222222"/>
          <w:sz w:val="24"/>
          <w:szCs w:val="24"/>
          <w:shd w:val="clear" w:color="auto" w:fill="FFFFFF"/>
        </w:rPr>
        <w:t>Faingold,</w:t>
      </w:r>
      <w:r w:rsidR="005A79BA">
        <w:rPr>
          <w:rFonts w:ascii="Times New Roman" w:hAnsi="Times New Roman" w:cs="Times New Roman"/>
          <w:color w:val="222222"/>
          <w:sz w:val="24"/>
          <w:szCs w:val="24"/>
          <w:shd w:val="clear" w:color="auto" w:fill="FFFFFF"/>
        </w:rPr>
        <w:t xml:space="preserve"> 2022)</w:t>
      </w:r>
      <w:r>
        <w:rPr>
          <w:rFonts w:ascii="Times New Roman" w:hAnsi="Times New Roman" w:cs="Times New Roman"/>
          <w:sz w:val="24"/>
          <w:szCs w:val="24"/>
        </w:rPr>
        <w:t>. If the judges stumble on any issue they cannot make changes within the law, thus</w:t>
      </w:r>
      <w:r w:rsidR="005A79BA">
        <w:rPr>
          <w:rFonts w:ascii="Times New Roman" w:hAnsi="Times New Roman" w:cs="Times New Roman"/>
          <w:sz w:val="24"/>
          <w:szCs w:val="24"/>
        </w:rPr>
        <w:t>, the</w:t>
      </w:r>
      <w:r>
        <w:rPr>
          <w:rFonts w:ascii="Times New Roman" w:hAnsi="Times New Roman" w:cs="Times New Roman"/>
          <w:sz w:val="24"/>
          <w:szCs w:val="24"/>
        </w:rPr>
        <w:t xml:space="preserve"> judges cannot make interruptions within the flow regarding justice which allows the parliament in being the body for making laws with the court responsible for applying that law. Statutory interpretation tends to play a crucial role within the process regarding access to </w:t>
      </w:r>
      <w:r w:rsidR="005A79BA">
        <w:rPr>
          <w:rFonts w:ascii="Times New Roman" w:hAnsi="Times New Roman" w:cs="Times New Roman"/>
          <w:sz w:val="24"/>
          <w:szCs w:val="24"/>
        </w:rPr>
        <w:t>justice;</w:t>
      </w:r>
      <w:r>
        <w:rPr>
          <w:rFonts w:ascii="Times New Roman" w:hAnsi="Times New Roman" w:cs="Times New Roman"/>
          <w:sz w:val="24"/>
          <w:szCs w:val="24"/>
        </w:rPr>
        <w:t xml:space="preserve"> therefore, it should not be overlooked. Statutory interpretation tends to be necessary </w:t>
      </w:r>
      <w:r w:rsidR="00810FC1">
        <w:rPr>
          <w:rFonts w:ascii="Times New Roman" w:hAnsi="Times New Roman" w:cs="Times New Roman"/>
          <w:sz w:val="24"/>
          <w:szCs w:val="24"/>
        </w:rPr>
        <w:t>in</w:t>
      </w:r>
      <w:r>
        <w:rPr>
          <w:rFonts w:ascii="Times New Roman" w:hAnsi="Times New Roman" w:cs="Times New Roman"/>
          <w:sz w:val="24"/>
          <w:szCs w:val="24"/>
        </w:rPr>
        <w:t xml:space="preserve"> terms of accessing justice </w:t>
      </w:r>
      <w:r>
        <w:rPr>
          <w:rFonts w:ascii="Times New Roman" w:hAnsi="Times New Roman" w:cs="Times New Roman"/>
          <w:sz w:val="24"/>
          <w:szCs w:val="24"/>
        </w:rPr>
        <w:lastRenderedPageBreak/>
        <w:t>as it is helpful for the judiciary system in terms of implementing the law effectively as well as efficiently. It also tends to be helpful for the parliament in terms of making the law.</w:t>
      </w:r>
    </w:p>
    <w:p w14:paraId="549CA64C" w14:textId="77777777" w:rsidR="00401D47" w:rsidRDefault="00F839F5" w:rsidP="00F71FF9">
      <w:pPr>
        <w:pStyle w:val="Heading2"/>
      </w:pPr>
      <w:bookmarkStart w:id="4" w:name="_Toc107087531"/>
      <w:r>
        <w:t>Should the lawmakers be clearer in expressing their intentions via statute?</w:t>
      </w:r>
      <w:bookmarkEnd w:id="4"/>
    </w:p>
    <w:p w14:paraId="18A4A441" w14:textId="053C76A0" w:rsidR="00401D47" w:rsidRPr="000C662A" w:rsidRDefault="00F839F5" w:rsidP="004416A9">
      <w:pPr>
        <w:spacing w:before="240"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sz w:val="24"/>
          <w:szCs w:val="24"/>
        </w:rPr>
        <w:t>The intentions regarding the legislators tend to diverge in several ways. Legislators tend to have their private plans where they might act for some of the parts regarding a bill, however, not for other bills. Along with this, they might also vote for a bill not knowing the details</w:t>
      </w:r>
      <w:r w:rsidR="000C662A">
        <w:rPr>
          <w:rFonts w:ascii="Times New Roman" w:hAnsi="Times New Roman" w:cs="Times New Roman"/>
          <w:sz w:val="24"/>
          <w:szCs w:val="24"/>
        </w:rPr>
        <w:t xml:space="preserve"> </w:t>
      </w:r>
      <w:r w:rsidR="000C662A">
        <w:rPr>
          <w:rFonts w:ascii="Times New Roman" w:hAnsi="Times New Roman" w:cs="Times New Roman"/>
          <w:color w:val="222222"/>
          <w:sz w:val="24"/>
          <w:szCs w:val="24"/>
          <w:shd w:val="clear" w:color="auto" w:fill="FFFFFF"/>
        </w:rPr>
        <w:t>(Fallon Jr, R.H, 2019)</w:t>
      </w:r>
      <w:r>
        <w:rPr>
          <w:rFonts w:ascii="Times New Roman" w:hAnsi="Times New Roman" w:cs="Times New Roman"/>
          <w:sz w:val="24"/>
          <w:szCs w:val="24"/>
        </w:rPr>
        <w:t xml:space="preserve">. Some of the legislators might be better informed in comparison to others regarding the details related to the bill as well as its effect and others might be confused or ignorant regarding the content. Therefore, the intentions regarding individual legislators do not tend to be identical. The intention regarding the majority tends to be important as the voting rules of the legislature tend to give power to the majority in settling whether the legislature would act or not. Further, the individual legislators lack an open choice regarding their intentions </w:t>
      </w:r>
      <w:r w:rsidR="00810FC1">
        <w:rPr>
          <w:rFonts w:ascii="Times New Roman" w:hAnsi="Times New Roman" w:cs="Times New Roman"/>
          <w:sz w:val="24"/>
          <w:szCs w:val="24"/>
        </w:rPr>
        <w:t>with</w:t>
      </w:r>
      <w:r>
        <w:rPr>
          <w:rFonts w:ascii="Times New Roman" w:hAnsi="Times New Roman" w:cs="Times New Roman"/>
          <w:sz w:val="24"/>
          <w:szCs w:val="24"/>
        </w:rPr>
        <w:t xml:space="preserve"> statutes and if the majority shares it then it would be the intent </w:t>
      </w:r>
      <w:r w:rsidR="00DA5B84">
        <w:rPr>
          <w:rFonts w:ascii="Times New Roman" w:hAnsi="Times New Roman" w:cs="Times New Roman"/>
          <w:sz w:val="24"/>
          <w:szCs w:val="24"/>
        </w:rPr>
        <w:t>of</w:t>
      </w:r>
      <w:r>
        <w:rPr>
          <w:rFonts w:ascii="Times New Roman" w:hAnsi="Times New Roman" w:cs="Times New Roman"/>
          <w:sz w:val="24"/>
          <w:szCs w:val="24"/>
        </w:rPr>
        <w:t xml:space="preserve"> the legislature. For formulating legislation, they carry out cooperation as well as a single legislator is not free in stipulating what a statute would do or mean</w:t>
      </w:r>
      <w:r w:rsidR="000C662A">
        <w:rPr>
          <w:rFonts w:ascii="Times New Roman" w:hAnsi="Times New Roman" w:cs="Times New Roman"/>
          <w:sz w:val="24"/>
          <w:szCs w:val="24"/>
        </w:rPr>
        <w:t xml:space="preserve"> </w:t>
      </w:r>
      <w:r w:rsidR="000C662A">
        <w:rPr>
          <w:rFonts w:ascii="Times New Roman" w:hAnsi="Times New Roman" w:cs="Times New Roman"/>
          <w:color w:val="222222"/>
          <w:sz w:val="24"/>
          <w:szCs w:val="24"/>
          <w:shd w:val="clear" w:color="auto" w:fill="FFFFFF"/>
        </w:rPr>
        <w:t>(</w:t>
      </w:r>
      <w:r w:rsidR="000C662A" w:rsidRPr="005A79BA">
        <w:rPr>
          <w:rFonts w:ascii="Times New Roman" w:hAnsi="Times New Roman" w:cs="Times New Roman"/>
          <w:color w:val="222222"/>
          <w:sz w:val="24"/>
          <w:szCs w:val="24"/>
          <w:shd w:val="clear" w:color="auto" w:fill="FFFFFF"/>
        </w:rPr>
        <w:t>Hirsch,</w:t>
      </w:r>
      <w:r w:rsidR="000C662A">
        <w:rPr>
          <w:rFonts w:ascii="Times New Roman" w:hAnsi="Times New Roman" w:cs="Times New Roman"/>
          <w:color w:val="222222"/>
          <w:sz w:val="24"/>
          <w:szCs w:val="24"/>
          <w:shd w:val="clear" w:color="auto" w:fill="FFFFFF"/>
        </w:rPr>
        <w:t xml:space="preserve"> 2019)</w:t>
      </w:r>
      <w:r>
        <w:rPr>
          <w:rFonts w:ascii="Times New Roman" w:hAnsi="Times New Roman" w:cs="Times New Roman"/>
          <w:sz w:val="24"/>
          <w:szCs w:val="24"/>
        </w:rPr>
        <w:t xml:space="preserve">. The legislators tend to cooperate in forming as well as adopting statutes. </w:t>
      </w:r>
      <w:r w:rsidR="005A79BA">
        <w:rPr>
          <w:rFonts w:ascii="Times New Roman" w:hAnsi="Times New Roman" w:cs="Times New Roman"/>
          <w:sz w:val="24"/>
          <w:szCs w:val="24"/>
        </w:rPr>
        <w:t>Along</w:t>
      </w:r>
      <w:r>
        <w:rPr>
          <w:rFonts w:ascii="Times New Roman" w:hAnsi="Times New Roman" w:cs="Times New Roman"/>
          <w:sz w:val="24"/>
          <w:szCs w:val="24"/>
        </w:rPr>
        <w:t xml:space="preserve"> with this, their intentions are shaped as well as limited by the cooperation </w:t>
      </w:r>
      <w:r w:rsidR="00810FC1">
        <w:rPr>
          <w:rFonts w:ascii="Times New Roman" w:hAnsi="Times New Roman" w:cs="Times New Roman"/>
          <w:sz w:val="24"/>
          <w:szCs w:val="24"/>
        </w:rPr>
        <w:t>of</w:t>
      </w:r>
      <w:r>
        <w:rPr>
          <w:rFonts w:ascii="Times New Roman" w:hAnsi="Times New Roman" w:cs="Times New Roman"/>
          <w:sz w:val="24"/>
          <w:szCs w:val="24"/>
        </w:rPr>
        <w:t xml:space="preserve"> the statutes. Another line regarding the argument against the utilization of legislative intent involves that it tends to be illegitimate constitutionally for the interpreters in referring to the intentions regarding legislators for settling the meaning related to a statute. The argument involves that primacy regarding intent might violate the rule regarding the law as the meanings related to statutes might not be evident from public terms regarding the statutory text. In addition to this</w:t>
      </w:r>
      <w:r w:rsidR="005A79BA">
        <w:rPr>
          <w:rFonts w:ascii="Times New Roman" w:hAnsi="Times New Roman" w:cs="Times New Roman"/>
          <w:sz w:val="24"/>
          <w:szCs w:val="24"/>
        </w:rPr>
        <w:t>, another</w:t>
      </w:r>
      <w:r>
        <w:rPr>
          <w:rFonts w:ascii="Times New Roman" w:hAnsi="Times New Roman" w:cs="Times New Roman"/>
          <w:sz w:val="24"/>
          <w:szCs w:val="24"/>
        </w:rPr>
        <w:t xml:space="preserve"> argument involves that the interpreters do not as well as need not refer to the legislative intent within their practice for interpreting statutes</w:t>
      </w:r>
      <w:r w:rsidR="000C662A">
        <w:rPr>
          <w:rFonts w:ascii="Times New Roman" w:hAnsi="Times New Roman" w:cs="Times New Roman"/>
          <w:sz w:val="24"/>
          <w:szCs w:val="24"/>
        </w:rPr>
        <w:t xml:space="preserve"> </w:t>
      </w:r>
      <w:r w:rsidR="000C662A">
        <w:rPr>
          <w:rFonts w:ascii="Times New Roman" w:hAnsi="Times New Roman" w:cs="Times New Roman"/>
          <w:color w:val="222222"/>
          <w:sz w:val="24"/>
          <w:szCs w:val="24"/>
          <w:shd w:val="clear" w:color="auto" w:fill="FFFFFF"/>
        </w:rPr>
        <w:t xml:space="preserve">(King </w:t>
      </w:r>
      <w:r w:rsidR="000C662A" w:rsidRPr="005A79BA">
        <w:rPr>
          <w:rFonts w:ascii="Times New Roman" w:hAnsi="Times New Roman" w:cs="Times New Roman"/>
          <w:color w:val="222222"/>
          <w:sz w:val="24"/>
          <w:szCs w:val="24"/>
          <w:shd w:val="clear" w:color="auto" w:fill="FFFFFF"/>
        </w:rPr>
        <w:t>and Hall,</w:t>
      </w:r>
      <w:r w:rsidR="000C662A">
        <w:rPr>
          <w:rFonts w:ascii="Times New Roman" w:hAnsi="Times New Roman" w:cs="Times New Roman"/>
          <w:color w:val="222222"/>
          <w:sz w:val="24"/>
          <w:szCs w:val="24"/>
          <w:shd w:val="clear" w:color="auto" w:fill="FFFFFF"/>
        </w:rPr>
        <w:t xml:space="preserve"> 2020)</w:t>
      </w:r>
      <w:r>
        <w:rPr>
          <w:rFonts w:ascii="Times New Roman" w:hAnsi="Times New Roman" w:cs="Times New Roman"/>
          <w:sz w:val="24"/>
          <w:szCs w:val="24"/>
        </w:rPr>
        <w:t xml:space="preserve">. </w:t>
      </w:r>
    </w:p>
    <w:p w14:paraId="7F3E01A4" w14:textId="3EF20258" w:rsidR="00401D47" w:rsidRDefault="00F839F5" w:rsidP="00F71FF9">
      <w:pPr>
        <w:pStyle w:val="Heading2"/>
      </w:pPr>
      <w:r>
        <w:t xml:space="preserve"> </w:t>
      </w:r>
      <w:bookmarkStart w:id="5" w:name="_Toc107087532"/>
      <w:r w:rsidR="004416A9">
        <w:t xml:space="preserve">Does </w:t>
      </w:r>
      <w:r>
        <w:t>S</w:t>
      </w:r>
      <w:r w:rsidR="002A2D3D">
        <w:t>tatutory interpretation caus</w:t>
      </w:r>
      <w:r>
        <w:t>e problems</w:t>
      </w:r>
      <w:r w:rsidR="004416A9">
        <w:t>?</w:t>
      </w:r>
      <w:bookmarkEnd w:id="5"/>
    </w:p>
    <w:p w14:paraId="08D1DAFB" w14:textId="6F2CE209" w:rsidR="00401D47" w:rsidRPr="000C662A" w:rsidRDefault="00F839F5" w:rsidP="004416A9">
      <w:pPr>
        <w:spacing w:before="240"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sz w:val="24"/>
          <w:szCs w:val="24"/>
        </w:rPr>
        <w:t>The statutory interpretation might be needed where uncertainty, as well as complexity, arises as to the ways how the law is applied within a certain situation. The individuals responsible for drafting legislation tend to carry out their responsibilities within their experience as well as draft skills for crafting legislation that is not only unambiguous but also clear. However, the law that is written tends to be unclear sometimes</w:t>
      </w:r>
      <w:r w:rsidR="000C662A">
        <w:rPr>
          <w:rFonts w:ascii="Times New Roman" w:hAnsi="Times New Roman" w:cs="Times New Roman"/>
          <w:sz w:val="24"/>
          <w:szCs w:val="24"/>
        </w:rPr>
        <w:t xml:space="preserve"> </w:t>
      </w:r>
      <w:r w:rsidR="000C662A">
        <w:rPr>
          <w:rFonts w:ascii="Times New Roman" w:hAnsi="Times New Roman" w:cs="Times New Roman"/>
          <w:color w:val="222222"/>
          <w:sz w:val="24"/>
          <w:szCs w:val="24"/>
          <w:shd w:val="clear" w:color="auto" w:fill="FFFFFF"/>
        </w:rPr>
        <w:t>(</w:t>
      </w:r>
      <w:r w:rsidR="000C662A" w:rsidRPr="005A79BA">
        <w:rPr>
          <w:rFonts w:ascii="Times New Roman" w:hAnsi="Times New Roman" w:cs="Times New Roman"/>
          <w:color w:val="222222"/>
          <w:sz w:val="24"/>
          <w:szCs w:val="24"/>
          <w:shd w:val="clear" w:color="auto" w:fill="FFFFFF"/>
        </w:rPr>
        <w:t>Kozel,</w:t>
      </w:r>
      <w:r w:rsidR="000C662A">
        <w:rPr>
          <w:rFonts w:ascii="Times New Roman" w:hAnsi="Times New Roman" w:cs="Times New Roman"/>
          <w:color w:val="222222"/>
          <w:sz w:val="24"/>
          <w:szCs w:val="24"/>
          <w:shd w:val="clear" w:color="auto" w:fill="FFFFFF"/>
        </w:rPr>
        <w:t xml:space="preserve"> 2018)</w:t>
      </w:r>
      <w:r>
        <w:rPr>
          <w:rFonts w:ascii="Times New Roman" w:hAnsi="Times New Roman" w:cs="Times New Roman"/>
          <w:sz w:val="24"/>
          <w:szCs w:val="24"/>
        </w:rPr>
        <w:t xml:space="preserve">. The problems regarding statutory interpretation tend to involve a failure in legislation towards covering a certain point, drafting errors, ambiguity, fresh legal developments,  as well as changes within the </w:t>
      </w:r>
      <w:r>
        <w:rPr>
          <w:rFonts w:ascii="Times New Roman" w:hAnsi="Times New Roman" w:cs="Times New Roman"/>
          <w:sz w:val="24"/>
          <w:szCs w:val="24"/>
        </w:rPr>
        <w:lastRenderedPageBreak/>
        <w:t>usage of language. Some of the statutes tend to date back to nearly the 18</w:t>
      </w:r>
      <w:r w:rsidRPr="00A12270">
        <w:rPr>
          <w:rFonts w:ascii="Times New Roman" w:hAnsi="Times New Roman" w:cs="Times New Roman"/>
          <w:sz w:val="24"/>
          <w:szCs w:val="24"/>
          <w:vertAlign w:val="superscript"/>
        </w:rPr>
        <w:t>th</w:t>
      </w:r>
      <w:r>
        <w:rPr>
          <w:rFonts w:ascii="Times New Roman" w:hAnsi="Times New Roman" w:cs="Times New Roman"/>
          <w:sz w:val="24"/>
          <w:szCs w:val="24"/>
        </w:rPr>
        <w:t xml:space="preserve"> century as well as utilized words that would have a different meaning in current times. </w:t>
      </w:r>
    </w:p>
    <w:p w14:paraId="75CA7FF5" w14:textId="77777777" w:rsidR="00401D47" w:rsidRDefault="00F839F5" w:rsidP="00F71FF9">
      <w:pPr>
        <w:pStyle w:val="Heading2"/>
      </w:pPr>
      <w:bookmarkStart w:id="6" w:name="_Toc107087533"/>
      <w:r>
        <w:t>Rules underpinning statutory interpretation</w:t>
      </w:r>
      <w:bookmarkEnd w:id="6"/>
    </w:p>
    <w:p w14:paraId="749BE3B8" w14:textId="27E878DE" w:rsidR="00401D47" w:rsidRPr="000C662A" w:rsidRDefault="00F839F5" w:rsidP="004416A9">
      <w:pPr>
        <w:spacing w:before="240"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sz w:val="24"/>
          <w:szCs w:val="24"/>
        </w:rPr>
        <w:t>Laws tend to be developed by the parliament and the judges carry out the interpretation regarding those laws through the usage of statutory interpretation.</w:t>
      </w:r>
      <w:r w:rsidR="00F047B4">
        <w:rPr>
          <w:rFonts w:ascii="Times New Roman" w:hAnsi="Times New Roman" w:cs="Times New Roman"/>
          <w:sz w:val="24"/>
          <w:szCs w:val="24"/>
        </w:rPr>
        <w:t xml:space="preserve"> T</w:t>
      </w:r>
      <w:r>
        <w:rPr>
          <w:rFonts w:ascii="Times New Roman" w:hAnsi="Times New Roman" w:cs="Times New Roman"/>
          <w:sz w:val="24"/>
          <w:szCs w:val="24"/>
        </w:rPr>
        <w:t>he draftsman, while drawing up the statutes endeavo</w:t>
      </w:r>
      <w:r w:rsidR="00DA5B84">
        <w:rPr>
          <w:rFonts w:ascii="Times New Roman" w:hAnsi="Times New Roman" w:cs="Times New Roman"/>
          <w:sz w:val="24"/>
          <w:szCs w:val="24"/>
        </w:rPr>
        <w:t>u</w:t>
      </w:r>
      <w:r>
        <w:rPr>
          <w:rFonts w:ascii="Times New Roman" w:hAnsi="Times New Roman" w:cs="Times New Roman"/>
          <w:sz w:val="24"/>
          <w:szCs w:val="24"/>
        </w:rPr>
        <w:t>rs in terms of making sure that they are unambiguous as well as clear, however, the statutes might contain some words having uncertain meanings and along with that, with the progression of the society, the old statutes might contain some wording that is unused in current times</w:t>
      </w:r>
      <w:r w:rsidR="000C662A">
        <w:rPr>
          <w:rFonts w:ascii="Times New Roman" w:hAnsi="Times New Roman" w:cs="Times New Roman"/>
          <w:sz w:val="24"/>
          <w:szCs w:val="24"/>
        </w:rPr>
        <w:t xml:space="preserve"> </w:t>
      </w:r>
      <w:r w:rsidR="000C662A">
        <w:rPr>
          <w:rFonts w:ascii="Times New Roman" w:hAnsi="Times New Roman" w:cs="Times New Roman"/>
          <w:color w:val="222222"/>
          <w:sz w:val="24"/>
          <w:szCs w:val="24"/>
          <w:shd w:val="clear" w:color="auto" w:fill="FFFFFF"/>
        </w:rPr>
        <w:t>(</w:t>
      </w:r>
      <w:r w:rsidR="000C662A" w:rsidRPr="005A79BA">
        <w:rPr>
          <w:rFonts w:ascii="Times New Roman" w:hAnsi="Times New Roman" w:cs="Times New Roman"/>
          <w:color w:val="222222"/>
          <w:sz w:val="24"/>
          <w:szCs w:val="24"/>
          <w:shd w:val="clear" w:color="auto" w:fill="FFFFFF"/>
        </w:rPr>
        <w:t>Nourse,</w:t>
      </w:r>
      <w:r w:rsidR="000C662A">
        <w:rPr>
          <w:rFonts w:ascii="Times New Roman" w:hAnsi="Times New Roman" w:cs="Times New Roman"/>
          <w:color w:val="222222"/>
          <w:sz w:val="24"/>
          <w:szCs w:val="24"/>
          <w:shd w:val="clear" w:color="auto" w:fill="FFFFFF"/>
        </w:rPr>
        <w:t xml:space="preserve"> 2018)</w:t>
      </w:r>
      <w:r>
        <w:rPr>
          <w:rFonts w:ascii="Times New Roman" w:hAnsi="Times New Roman" w:cs="Times New Roman"/>
          <w:sz w:val="24"/>
          <w:szCs w:val="24"/>
        </w:rPr>
        <w:t xml:space="preserve">. There might be certain errors that have been unnoticed by the parliament and the statutes cannot fully cover each eventuality, thus, the judges are needed to carry out interpretation regarding the meanings of those statutes to the usage of the rules underpinning statutory interpretation.  </w:t>
      </w:r>
      <w:r w:rsidR="005A79BA">
        <w:rPr>
          <w:rFonts w:ascii="Times New Roman" w:hAnsi="Times New Roman" w:cs="Times New Roman"/>
          <w:sz w:val="24"/>
          <w:szCs w:val="24"/>
        </w:rPr>
        <w:t>The</w:t>
      </w:r>
      <w:r>
        <w:rPr>
          <w:rFonts w:ascii="Times New Roman" w:hAnsi="Times New Roman" w:cs="Times New Roman"/>
          <w:sz w:val="24"/>
          <w:szCs w:val="24"/>
        </w:rPr>
        <w:t xml:space="preserve"> rules regarding statutory interpretation comprise the golden rule, the purposive approach, the literal rule, as well as the mischief rule. </w:t>
      </w:r>
    </w:p>
    <w:p w14:paraId="1B7C04A7" w14:textId="421DC917" w:rsidR="00401D47" w:rsidRDefault="00F839F5" w:rsidP="004416A9">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The literal rule needs the courts to carry out interpretation regarding the statutes within their plain, ordinary, as well as literal sense. According to the literal rule, the words within a statute tend to be read in a literal manner as well as they are not analyzed further regarding different meanings. The courts do not examine the parliament's intention. </w:t>
      </w:r>
      <w:r w:rsidR="00F047B4">
        <w:rPr>
          <w:rFonts w:ascii="Times New Roman" w:hAnsi="Times New Roman" w:cs="Times New Roman"/>
          <w:sz w:val="24"/>
          <w:szCs w:val="24"/>
        </w:rPr>
        <w:t>T</w:t>
      </w:r>
      <w:r>
        <w:rPr>
          <w:rFonts w:ascii="Times New Roman" w:hAnsi="Times New Roman" w:cs="Times New Roman"/>
          <w:sz w:val="24"/>
          <w:szCs w:val="24"/>
        </w:rPr>
        <w:t xml:space="preserve">he literal rule tends to be utilized </w:t>
      </w:r>
      <w:r w:rsidR="00810FC1">
        <w:rPr>
          <w:rFonts w:ascii="Times New Roman" w:hAnsi="Times New Roman" w:cs="Times New Roman"/>
          <w:sz w:val="24"/>
          <w:szCs w:val="24"/>
        </w:rPr>
        <w:t>frequently</w:t>
      </w:r>
      <w:r>
        <w:rPr>
          <w:rFonts w:ascii="Times New Roman" w:hAnsi="Times New Roman" w:cs="Times New Roman"/>
          <w:sz w:val="24"/>
          <w:szCs w:val="24"/>
        </w:rPr>
        <w:t xml:space="preserve"> as the judges do not have the authority of making laws.  The literal rule tends to involve positives and does not carry out any kind of questions to the parliament thereby upholding the law even when it might seem illogical.  This helps in preserving the separation of the powers. </w:t>
      </w:r>
      <w:r w:rsidR="005A79BA">
        <w:rPr>
          <w:rFonts w:ascii="Times New Roman" w:hAnsi="Times New Roman" w:cs="Times New Roman"/>
          <w:sz w:val="24"/>
          <w:szCs w:val="24"/>
        </w:rPr>
        <w:t>By</w:t>
      </w:r>
      <w:r>
        <w:rPr>
          <w:rFonts w:ascii="Times New Roman" w:hAnsi="Times New Roman" w:cs="Times New Roman"/>
          <w:sz w:val="24"/>
          <w:szCs w:val="24"/>
        </w:rPr>
        <w:t xml:space="preserve"> setting some limits to the role carried out by the judges,  the verdicts tend to be based on the facts. However</w:t>
      </w:r>
      <w:r w:rsidR="005A79BA">
        <w:rPr>
          <w:rFonts w:ascii="Times New Roman" w:hAnsi="Times New Roman" w:cs="Times New Roman"/>
          <w:sz w:val="24"/>
          <w:szCs w:val="24"/>
        </w:rPr>
        <w:t>, this</w:t>
      </w:r>
      <w:r>
        <w:rPr>
          <w:rFonts w:ascii="Times New Roman" w:hAnsi="Times New Roman" w:cs="Times New Roman"/>
          <w:sz w:val="24"/>
          <w:szCs w:val="24"/>
        </w:rPr>
        <w:t xml:space="preserve"> rule tends to create loopholes but any kind of discrepancy within interpretation regarding the meaning tends to take place due to its ineffectiveness in carrying out the identification of complexities as well as limitations.  An example regarding plain reading that resulted in harsh results involves the Berriman case where an employee in railways was killed while carrying out oiling on the railway line. </w:t>
      </w:r>
      <w:r w:rsidR="005A79BA">
        <w:rPr>
          <w:rFonts w:ascii="Times New Roman" w:hAnsi="Times New Roman" w:cs="Times New Roman"/>
          <w:sz w:val="24"/>
          <w:szCs w:val="24"/>
        </w:rPr>
        <w:t>The</w:t>
      </w:r>
      <w:r>
        <w:rPr>
          <w:rFonts w:ascii="Times New Roman" w:hAnsi="Times New Roman" w:cs="Times New Roman"/>
          <w:sz w:val="24"/>
          <w:szCs w:val="24"/>
        </w:rPr>
        <w:t xml:space="preserve"> judges did not grant compensation to Mrs Berriman as the act stated for issuing the lookout points only for the workers repairing or relaying the line. </w:t>
      </w:r>
    </w:p>
    <w:p w14:paraId="7FCB496A" w14:textId="232966B4" w:rsidR="00401D47" w:rsidRPr="000C662A" w:rsidRDefault="00F839F5" w:rsidP="004416A9">
      <w:pPr>
        <w:spacing w:before="240"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sz w:val="24"/>
          <w:szCs w:val="24"/>
        </w:rPr>
        <w:t xml:space="preserve">The golden rule tends to be utilized for the prevention of absurdity as well as inconsistency while carrying out the interpretation of an act. The golden rule tends to be utilized when the literal rule might result in presenting obnoxious or absurd outcomes. The court tends to </w:t>
      </w:r>
      <w:r>
        <w:rPr>
          <w:rFonts w:ascii="Times New Roman" w:hAnsi="Times New Roman" w:cs="Times New Roman"/>
          <w:sz w:val="24"/>
          <w:szCs w:val="24"/>
        </w:rPr>
        <w:lastRenderedPageBreak/>
        <w:t>investigate whether the wording of the statute conveys the intention of the parliament or not</w:t>
      </w:r>
      <w:r w:rsidR="000C662A">
        <w:rPr>
          <w:rFonts w:ascii="Times New Roman" w:hAnsi="Times New Roman" w:cs="Times New Roman"/>
          <w:sz w:val="24"/>
          <w:szCs w:val="24"/>
        </w:rPr>
        <w:t xml:space="preserve"> </w:t>
      </w:r>
      <w:r w:rsidR="000C662A">
        <w:rPr>
          <w:rFonts w:ascii="Times New Roman" w:hAnsi="Times New Roman" w:cs="Times New Roman"/>
          <w:color w:val="222222"/>
          <w:sz w:val="24"/>
          <w:szCs w:val="24"/>
          <w:shd w:val="clear" w:color="auto" w:fill="FFFFFF"/>
        </w:rPr>
        <w:t>(</w:t>
      </w:r>
      <w:r w:rsidR="000C662A" w:rsidRPr="005A79BA">
        <w:rPr>
          <w:rFonts w:ascii="Times New Roman" w:hAnsi="Times New Roman" w:cs="Times New Roman"/>
          <w:color w:val="222222"/>
          <w:sz w:val="24"/>
          <w:szCs w:val="24"/>
          <w:shd w:val="clear" w:color="auto" w:fill="FFFFFF"/>
        </w:rPr>
        <w:t>Pojanowski,</w:t>
      </w:r>
      <w:r w:rsidR="000C662A">
        <w:rPr>
          <w:rFonts w:ascii="Times New Roman" w:hAnsi="Times New Roman" w:cs="Times New Roman"/>
          <w:color w:val="222222"/>
          <w:sz w:val="24"/>
          <w:szCs w:val="24"/>
          <w:shd w:val="clear" w:color="auto" w:fill="FFFFFF"/>
        </w:rPr>
        <w:t xml:space="preserve"> 2019)</w:t>
      </w:r>
      <w:r>
        <w:rPr>
          <w:rFonts w:ascii="Times New Roman" w:hAnsi="Times New Roman" w:cs="Times New Roman"/>
          <w:sz w:val="24"/>
          <w:szCs w:val="24"/>
        </w:rPr>
        <w:t xml:space="preserve">. </w:t>
      </w:r>
      <w:r w:rsidR="005A79BA">
        <w:rPr>
          <w:rFonts w:ascii="Times New Roman" w:hAnsi="Times New Roman" w:cs="Times New Roman"/>
          <w:sz w:val="24"/>
          <w:szCs w:val="24"/>
        </w:rPr>
        <w:t>The</w:t>
      </w:r>
      <w:r>
        <w:rPr>
          <w:rFonts w:ascii="Times New Roman" w:hAnsi="Times New Roman" w:cs="Times New Roman"/>
          <w:sz w:val="24"/>
          <w:szCs w:val="24"/>
        </w:rPr>
        <w:t xml:space="preserve"> positives regarding this rule involved the judgments remaining parallel with the legislature as well as the errors that are found while drafting is properly amended before setting awkward precedents. </w:t>
      </w:r>
    </w:p>
    <w:p w14:paraId="34CC640A" w14:textId="6C65FD73" w:rsidR="00401D47" w:rsidRDefault="00F839F5" w:rsidP="004416A9">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The mischief rule tends to be utilized for interpreting the gaps that the parliament intended in covering as well as applying a ruling remedying the issue within ambiguous statutes. The mischief rule tends to hello the adoption </w:t>
      </w:r>
      <w:r w:rsidR="00DA5B84">
        <w:rPr>
          <w:rFonts w:ascii="Times New Roman" w:hAnsi="Times New Roman" w:cs="Times New Roman"/>
          <w:sz w:val="24"/>
          <w:szCs w:val="24"/>
        </w:rPr>
        <w:t>of</w:t>
      </w:r>
      <w:r>
        <w:rPr>
          <w:rFonts w:ascii="Times New Roman" w:hAnsi="Times New Roman" w:cs="Times New Roman"/>
          <w:sz w:val="24"/>
          <w:szCs w:val="24"/>
        </w:rPr>
        <w:t xml:space="preserve"> statutes within the society that is progressive as well as close as any kind of loopholes. </w:t>
      </w:r>
    </w:p>
    <w:p w14:paraId="2026A947" w14:textId="65A8165D" w:rsidR="00401D47" w:rsidRDefault="00F839F5" w:rsidP="004416A9">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The purpose of the approach tends to be implemented for making sure the law remains effective </w:t>
      </w:r>
      <w:r w:rsidR="00810FC1">
        <w:rPr>
          <w:rFonts w:ascii="Times New Roman" w:hAnsi="Times New Roman" w:cs="Times New Roman"/>
          <w:sz w:val="24"/>
          <w:szCs w:val="24"/>
        </w:rPr>
        <w:t>under</w:t>
      </w:r>
      <w:r>
        <w:rPr>
          <w:rFonts w:ascii="Times New Roman" w:hAnsi="Times New Roman" w:cs="Times New Roman"/>
          <w:sz w:val="24"/>
          <w:szCs w:val="24"/>
        </w:rPr>
        <w:t xml:space="preserve"> the intention of the parliament. </w:t>
      </w:r>
    </w:p>
    <w:p w14:paraId="0AE307A0" w14:textId="77777777" w:rsidR="00F71FF9" w:rsidRDefault="00F71FF9">
      <w:pPr>
        <w:rPr>
          <w:rFonts w:ascii="Times New Roman" w:eastAsiaTheme="majorEastAsia" w:hAnsi="Times New Roman" w:cs="Times New Roman"/>
          <w:color w:val="2F5496" w:themeColor="accent1" w:themeShade="BF"/>
          <w:sz w:val="28"/>
          <w:szCs w:val="28"/>
        </w:rPr>
      </w:pPr>
      <w:r>
        <w:br w:type="page"/>
      </w:r>
    </w:p>
    <w:p w14:paraId="0638D3E0" w14:textId="2131B46A" w:rsidR="00401D47" w:rsidRDefault="00F839F5" w:rsidP="00F71FF9">
      <w:pPr>
        <w:pStyle w:val="Heading2"/>
        <w:spacing w:after="240" w:line="360" w:lineRule="auto"/>
        <w:jc w:val="both"/>
      </w:pPr>
      <w:bookmarkStart w:id="7" w:name="_Toc107087534"/>
      <w:r>
        <w:lastRenderedPageBreak/>
        <w:t>Conclusion</w:t>
      </w:r>
      <w:bookmarkEnd w:id="7"/>
    </w:p>
    <w:p w14:paraId="170B28F5" w14:textId="49AD27D5" w:rsidR="001B4E84" w:rsidRDefault="00F839F5" w:rsidP="00F71FF9">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the above discussion, it can be concluded that </w:t>
      </w:r>
      <w:r w:rsidR="005B6354">
        <w:rPr>
          <w:rFonts w:ascii="Times New Roman" w:hAnsi="Times New Roman" w:cs="Times New Roman"/>
          <w:sz w:val="24"/>
          <w:szCs w:val="24"/>
        </w:rPr>
        <w:t>through statutory interpretation the courts carry out the interpretation as well as appl</w:t>
      </w:r>
      <w:r w:rsidR="00DA5B84">
        <w:rPr>
          <w:rFonts w:ascii="Times New Roman" w:hAnsi="Times New Roman" w:cs="Times New Roman"/>
          <w:sz w:val="24"/>
          <w:szCs w:val="24"/>
        </w:rPr>
        <w:t>icable</w:t>
      </w:r>
      <w:r w:rsidR="005B6354">
        <w:rPr>
          <w:rFonts w:ascii="Times New Roman" w:hAnsi="Times New Roman" w:cs="Times New Roman"/>
          <w:sz w:val="24"/>
          <w:szCs w:val="24"/>
        </w:rPr>
        <w:t xml:space="preserve"> legislation</w:t>
      </w:r>
      <w:r w:rsidR="003C12D9">
        <w:rPr>
          <w:rFonts w:ascii="Times New Roman" w:hAnsi="Times New Roman" w:cs="Times New Roman"/>
          <w:sz w:val="24"/>
          <w:szCs w:val="24"/>
        </w:rPr>
        <w:t xml:space="preserve">. </w:t>
      </w:r>
      <w:r w:rsidR="00F821CD" w:rsidRPr="00810FC1">
        <w:rPr>
          <w:rFonts w:ascii="Times New Roman" w:hAnsi="Times New Roman" w:cs="Times New Roman"/>
          <w:color w:val="000000" w:themeColor="text1"/>
          <w:sz w:val="24"/>
          <w:szCs w:val="24"/>
        </w:rPr>
        <w:t xml:space="preserve">Statutory interpretation tends to be important within the process </w:t>
      </w:r>
      <w:r w:rsidR="00216D6D" w:rsidRPr="00810FC1">
        <w:rPr>
          <w:rFonts w:ascii="Times New Roman" w:hAnsi="Times New Roman" w:cs="Times New Roman"/>
          <w:color w:val="000000" w:themeColor="text1"/>
          <w:sz w:val="24"/>
          <w:szCs w:val="24"/>
        </w:rPr>
        <w:t xml:space="preserve">regarding access to justice. </w:t>
      </w:r>
      <w:r w:rsidR="00810A6A" w:rsidRPr="00810FC1">
        <w:rPr>
          <w:rFonts w:ascii="Times New Roman" w:hAnsi="Times New Roman" w:cs="Times New Roman"/>
          <w:color w:val="000000" w:themeColor="text1"/>
          <w:sz w:val="24"/>
          <w:szCs w:val="24"/>
        </w:rPr>
        <w:t>It also helps to conclude the different aspect</w:t>
      </w:r>
      <w:r w:rsidR="00810FC1">
        <w:rPr>
          <w:rFonts w:ascii="Times New Roman" w:hAnsi="Times New Roman" w:cs="Times New Roman"/>
          <w:color w:val="000000" w:themeColor="text1"/>
          <w:sz w:val="24"/>
          <w:szCs w:val="24"/>
        </w:rPr>
        <w:t>s</w:t>
      </w:r>
      <w:r w:rsidR="00810A6A" w:rsidRPr="00810FC1">
        <w:rPr>
          <w:rFonts w:ascii="Times New Roman" w:hAnsi="Times New Roman" w:cs="Times New Roman"/>
          <w:color w:val="000000" w:themeColor="text1"/>
          <w:sz w:val="24"/>
          <w:szCs w:val="24"/>
        </w:rPr>
        <w:t xml:space="preserve"> of fundamental techniques which will have been analyzed in this paper. </w:t>
      </w:r>
    </w:p>
    <w:p w14:paraId="3D3A0EB0" w14:textId="77524B34" w:rsidR="005A79BA" w:rsidRDefault="00F839F5">
      <w:pPr>
        <w:rPr>
          <w:rFonts w:ascii="Times New Roman" w:hAnsi="Times New Roman" w:cs="Times New Roman"/>
          <w:sz w:val="24"/>
          <w:szCs w:val="24"/>
        </w:rPr>
      </w:pPr>
      <w:r>
        <w:rPr>
          <w:rFonts w:ascii="Times New Roman" w:hAnsi="Times New Roman" w:cs="Times New Roman"/>
          <w:sz w:val="24"/>
          <w:szCs w:val="24"/>
        </w:rPr>
        <w:br w:type="page"/>
      </w:r>
    </w:p>
    <w:p w14:paraId="02B35720" w14:textId="51F65CF1" w:rsidR="004416A9" w:rsidRPr="004416A9" w:rsidRDefault="00F839F5" w:rsidP="00F71FF9">
      <w:pPr>
        <w:pStyle w:val="Heading1"/>
      </w:pPr>
      <w:bookmarkStart w:id="8" w:name="_Toc107087535"/>
      <w:r w:rsidRPr="005A79BA">
        <w:lastRenderedPageBreak/>
        <w:t>References</w:t>
      </w:r>
      <w:bookmarkEnd w:id="8"/>
      <w:r w:rsidRPr="005A79BA">
        <w:t xml:space="preserve"> </w:t>
      </w:r>
    </w:p>
    <w:p w14:paraId="352207F8" w14:textId="77777777" w:rsidR="004416A9" w:rsidRPr="00F71FF9" w:rsidRDefault="00F839F5" w:rsidP="00F71FF9">
      <w:pPr>
        <w:spacing w:before="240" w:line="360" w:lineRule="auto"/>
        <w:jc w:val="both"/>
        <w:rPr>
          <w:rFonts w:ascii="Times New Roman" w:hAnsi="Times New Roman" w:cs="Times New Roman"/>
          <w:color w:val="222222"/>
          <w:sz w:val="24"/>
          <w:szCs w:val="24"/>
          <w:shd w:val="clear" w:color="auto" w:fill="FFFFFF"/>
        </w:rPr>
      </w:pPr>
      <w:r w:rsidRPr="00F71FF9">
        <w:rPr>
          <w:rFonts w:ascii="Times New Roman" w:hAnsi="Times New Roman" w:cs="Times New Roman"/>
          <w:color w:val="222222"/>
          <w:sz w:val="24"/>
          <w:szCs w:val="24"/>
          <w:shd w:val="clear" w:color="auto" w:fill="FFFFFF"/>
        </w:rPr>
        <w:t>Born, G.B., 2021. </w:t>
      </w:r>
      <w:r w:rsidRPr="00F71FF9">
        <w:rPr>
          <w:rFonts w:ascii="Times New Roman" w:hAnsi="Times New Roman" w:cs="Times New Roman"/>
          <w:i/>
          <w:iCs/>
          <w:color w:val="222222"/>
          <w:sz w:val="24"/>
          <w:szCs w:val="24"/>
          <w:shd w:val="clear" w:color="auto" w:fill="FFFFFF"/>
        </w:rPr>
        <w:t>International arbitration: law and practice</w:t>
      </w:r>
      <w:r w:rsidRPr="00F71FF9">
        <w:rPr>
          <w:rFonts w:ascii="Times New Roman" w:hAnsi="Times New Roman" w:cs="Times New Roman"/>
          <w:color w:val="222222"/>
          <w:sz w:val="24"/>
          <w:szCs w:val="24"/>
          <w:shd w:val="clear" w:color="auto" w:fill="FFFFFF"/>
        </w:rPr>
        <w:t>. Kluwer Law International BV.</w:t>
      </w:r>
    </w:p>
    <w:p w14:paraId="7598886A" w14:textId="77777777" w:rsidR="004416A9" w:rsidRPr="00F71FF9" w:rsidRDefault="00F839F5" w:rsidP="00F71FF9">
      <w:pPr>
        <w:spacing w:before="240" w:line="360" w:lineRule="auto"/>
        <w:jc w:val="both"/>
        <w:rPr>
          <w:rFonts w:ascii="Times New Roman" w:hAnsi="Times New Roman" w:cs="Times New Roman"/>
          <w:color w:val="222222"/>
          <w:sz w:val="24"/>
          <w:szCs w:val="24"/>
          <w:shd w:val="clear" w:color="auto" w:fill="FFFFFF"/>
        </w:rPr>
      </w:pPr>
      <w:r w:rsidRPr="00F71FF9">
        <w:rPr>
          <w:rFonts w:ascii="Times New Roman" w:hAnsi="Times New Roman" w:cs="Times New Roman"/>
          <w:color w:val="222222"/>
          <w:sz w:val="24"/>
          <w:szCs w:val="24"/>
          <w:shd w:val="clear" w:color="auto" w:fill="FFFFFF"/>
        </w:rPr>
        <w:t>Chiassoni, P., 2019. </w:t>
      </w:r>
      <w:r w:rsidRPr="00F71FF9">
        <w:rPr>
          <w:rFonts w:ascii="Times New Roman" w:hAnsi="Times New Roman" w:cs="Times New Roman"/>
          <w:i/>
          <w:iCs/>
          <w:color w:val="222222"/>
          <w:sz w:val="24"/>
          <w:szCs w:val="24"/>
          <w:shd w:val="clear" w:color="auto" w:fill="FFFFFF"/>
        </w:rPr>
        <w:t>Interpretation without truth</w:t>
      </w:r>
      <w:r w:rsidRPr="00F71FF9">
        <w:rPr>
          <w:rFonts w:ascii="Times New Roman" w:hAnsi="Times New Roman" w:cs="Times New Roman"/>
          <w:color w:val="222222"/>
          <w:sz w:val="24"/>
          <w:szCs w:val="24"/>
          <w:shd w:val="clear" w:color="auto" w:fill="FFFFFF"/>
        </w:rPr>
        <w:t>. Springer International Publishing.</w:t>
      </w:r>
    </w:p>
    <w:p w14:paraId="77B63ABF" w14:textId="77777777" w:rsidR="004416A9" w:rsidRPr="00F71FF9" w:rsidRDefault="00F839F5" w:rsidP="00F71FF9">
      <w:pPr>
        <w:spacing w:before="240" w:line="360" w:lineRule="auto"/>
        <w:jc w:val="both"/>
        <w:rPr>
          <w:rFonts w:ascii="Times New Roman" w:hAnsi="Times New Roman" w:cs="Times New Roman"/>
          <w:color w:val="222222"/>
          <w:sz w:val="24"/>
          <w:szCs w:val="24"/>
          <w:shd w:val="clear" w:color="auto" w:fill="FFFFFF"/>
        </w:rPr>
      </w:pPr>
      <w:r w:rsidRPr="00F71FF9">
        <w:rPr>
          <w:rFonts w:ascii="Times New Roman" w:hAnsi="Times New Roman" w:cs="Times New Roman"/>
          <w:color w:val="222222"/>
          <w:sz w:val="24"/>
          <w:szCs w:val="24"/>
          <w:shd w:val="clear" w:color="auto" w:fill="FFFFFF"/>
        </w:rPr>
        <w:t>Cross, J.M., 2018. When Courts Should Ignore Statutory Text. </w:t>
      </w:r>
      <w:r w:rsidRPr="00F71FF9">
        <w:rPr>
          <w:rFonts w:ascii="Times New Roman" w:hAnsi="Times New Roman" w:cs="Times New Roman"/>
          <w:i/>
          <w:iCs/>
          <w:color w:val="222222"/>
          <w:sz w:val="24"/>
          <w:szCs w:val="24"/>
          <w:shd w:val="clear" w:color="auto" w:fill="FFFFFF"/>
        </w:rPr>
        <w:t>Geo. Mason L. Rev.</w:t>
      </w:r>
      <w:r w:rsidRPr="00F71FF9">
        <w:rPr>
          <w:rFonts w:ascii="Times New Roman" w:hAnsi="Times New Roman" w:cs="Times New Roman"/>
          <w:color w:val="222222"/>
          <w:sz w:val="24"/>
          <w:szCs w:val="24"/>
          <w:shd w:val="clear" w:color="auto" w:fill="FFFFFF"/>
        </w:rPr>
        <w:t>, </w:t>
      </w:r>
      <w:r w:rsidRPr="00F71FF9">
        <w:rPr>
          <w:rFonts w:ascii="Times New Roman" w:hAnsi="Times New Roman" w:cs="Times New Roman"/>
          <w:i/>
          <w:iCs/>
          <w:color w:val="222222"/>
          <w:sz w:val="24"/>
          <w:szCs w:val="24"/>
          <w:shd w:val="clear" w:color="auto" w:fill="FFFFFF"/>
        </w:rPr>
        <w:t>26</w:t>
      </w:r>
      <w:r w:rsidRPr="00F71FF9">
        <w:rPr>
          <w:rFonts w:ascii="Times New Roman" w:hAnsi="Times New Roman" w:cs="Times New Roman"/>
          <w:color w:val="222222"/>
          <w:sz w:val="24"/>
          <w:szCs w:val="24"/>
          <w:shd w:val="clear" w:color="auto" w:fill="FFFFFF"/>
        </w:rPr>
        <w:t>, p.453.</w:t>
      </w:r>
    </w:p>
    <w:p w14:paraId="24F8B57D" w14:textId="77777777" w:rsidR="004416A9" w:rsidRPr="00F71FF9" w:rsidRDefault="00F839F5" w:rsidP="00F71FF9">
      <w:pPr>
        <w:spacing w:before="240" w:line="360" w:lineRule="auto"/>
        <w:jc w:val="both"/>
        <w:rPr>
          <w:rFonts w:ascii="Times New Roman" w:hAnsi="Times New Roman" w:cs="Times New Roman"/>
          <w:color w:val="222222"/>
          <w:sz w:val="24"/>
          <w:szCs w:val="24"/>
          <w:shd w:val="clear" w:color="auto" w:fill="FFFFFF"/>
        </w:rPr>
      </w:pPr>
      <w:r w:rsidRPr="00F71FF9">
        <w:rPr>
          <w:rFonts w:ascii="Times New Roman" w:hAnsi="Times New Roman" w:cs="Times New Roman"/>
          <w:color w:val="222222"/>
          <w:sz w:val="24"/>
          <w:szCs w:val="24"/>
          <w:shd w:val="clear" w:color="auto" w:fill="FFFFFF"/>
        </w:rPr>
        <w:t>Faingold, E.D., 2022. Language rights in the United States constitution and the Civil Rights Act of 1964. </w:t>
      </w:r>
      <w:r w:rsidRPr="00F71FF9">
        <w:rPr>
          <w:rFonts w:ascii="Times New Roman" w:hAnsi="Times New Roman" w:cs="Times New Roman"/>
          <w:i/>
          <w:iCs/>
          <w:color w:val="222222"/>
          <w:sz w:val="24"/>
          <w:szCs w:val="24"/>
          <w:shd w:val="clear" w:color="auto" w:fill="FFFFFF"/>
        </w:rPr>
        <w:t>Language and Identity</w:t>
      </w:r>
      <w:r w:rsidRPr="00F71FF9">
        <w:rPr>
          <w:rFonts w:ascii="Times New Roman" w:hAnsi="Times New Roman" w:cs="Times New Roman"/>
          <w:color w:val="222222"/>
          <w:sz w:val="24"/>
          <w:szCs w:val="24"/>
          <w:shd w:val="clear" w:color="auto" w:fill="FFFFFF"/>
        </w:rPr>
        <w:t>, p.447.</w:t>
      </w:r>
    </w:p>
    <w:p w14:paraId="745738E0" w14:textId="77777777" w:rsidR="004416A9" w:rsidRPr="00F71FF9" w:rsidRDefault="00F839F5" w:rsidP="00F71FF9">
      <w:pPr>
        <w:spacing w:before="240" w:line="360" w:lineRule="auto"/>
        <w:jc w:val="both"/>
        <w:rPr>
          <w:rFonts w:ascii="Times New Roman" w:hAnsi="Times New Roman" w:cs="Times New Roman"/>
          <w:color w:val="222222"/>
          <w:sz w:val="24"/>
          <w:szCs w:val="24"/>
          <w:shd w:val="clear" w:color="auto" w:fill="FFFFFF"/>
        </w:rPr>
      </w:pPr>
      <w:r w:rsidRPr="00F71FF9">
        <w:rPr>
          <w:rFonts w:ascii="Times New Roman" w:hAnsi="Times New Roman" w:cs="Times New Roman"/>
          <w:color w:val="222222"/>
          <w:sz w:val="24"/>
          <w:szCs w:val="24"/>
          <w:shd w:val="clear" w:color="auto" w:fill="FFFFFF"/>
        </w:rPr>
        <w:t>Fallon Jr, R.H., 2019. The Statutory Interpretation Muddle. </w:t>
      </w:r>
      <w:r w:rsidRPr="00F71FF9">
        <w:rPr>
          <w:rFonts w:ascii="Times New Roman" w:hAnsi="Times New Roman" w:cs="Times New Roman"/>
          <w:i/>
          <w:iCs/>
          <w:color w:val="222222"/>
          <w:sz w:val="24"/>
          <w:szCs w:val="24"/>
          <w:shd w:val="clear" w:color="auto" w:fill="FFFFFF"/>
        </w:rPr>
        <w:t>Nw. UL Rev.</w:t>
      </w:r>
      <w:r w:rsidRPr="00F71FF9">
        <w:rPr>
          <w:rFonts w:ascii="Times New Roman" w:hAnsi="Times New Roman" w:cs="Times New Roman"/>
          <w:color w:val="222222"/>
          <w:sz w:val="24"/>
          <w:szCs w:val="24"/>
          <w:shd w:val="clear" w:color="auto" w:fill="FFFFFF"/>
        </w:rPr>
        <w:t>, </w:t>
      </w:r>
      <w:r w:rsidRPr="00F71FF9">
        <w:rPr>
          <w:rFonts w:ascii="Times New Roman" w:hAnsi="Times New Roman" w:cs="Times New Roman"/>
          <w:i/>
          <w:iCs/>
          <w:color w:val="222222"/>
          <w:sz w:val="24"/>
          <w:szCs w:val="24"/>
          <w:shd w:val="clear" w:color="auto" w:fill="FFFFFF"/>
        </w:rPr>
        <w:t>114</w:t>
      </w:r>
      <w:r w:rsidRPr="00F71FF9">
        <w:rPr>
          <w:rFonts w:ascii="Times New Roman" w:hAnsi="Times New Roman" w:cs="Times New Roman"/>
          <w:color w:val="222222"/>
          <w:sz w:val="24"/>
          <w:szCs w:val="24"/>
          <w:shd w:val="clear" w:color="auto" w:fill="FFFFFF"/>
        </w:rPr>
        <w:t>, p.269.</w:t>
      </w:r>
    </w:p>
    <w:p w14:paraId="512DD99E" w14:textId="77777777" w:rsidR="004416A9" w:rsidRPr="00F71FF9" w:rsidRDefault="00F839F5" w:rsidP="00F71FF9">
      <w:pPr>
        <w:spacing w:before="240" w:line="360" w:lineRule="auto"/>
        <w:jc w:val="both"/>
        <w:rPr>
          <w:rFonts w:ascii="Times New Roman" w:hAnsi="Times New Roman" w:cs="Times New Roman"/>
          <w:color w:val="222222"/>
          <w:sz w:val="24"/>
          <w:szCs w:val="24"/>
          <w:shd w:val="clear" w:color="auto" w:fill="FFFFFF"/>
        </w:rPr>
      </w:pPr>
      <w:r w:rsidRPr="00F71FF9">
        <w:rPr>
          <w:rFonts w:ascii="Times New Roman" w:hAnsi="Times New Roman" w:cs="Times New Roman"/>
          <w:color w:val="222222"/>
          <w:sz w:val="24"/>
          <w:szCs w:val="24"/>
          <w:shd w:val="clear" w:color="auto" w:fill="FFFFFF"/>
        </w:rPr>
        <w:t>Hirsch, H.N., 2019. </w:t>
      </w:r>
      <w:r w:rsidRPr="00F71FF9">
        <w:rPr>
          <w:rFonts w:ascii="Times New Roman" w:hAnsi="Times New Roman" w:cs="Times New Roman"/>
          <w:i/>
          <w:iCs/>
          <w:color w:val="222222"/>
          <w:sz w:val="24"/>
          <w:szCs w:val="24"/>
          <w:shd w:val="clear" w:color="auto" w:fill="FFFFFF"/>
        </w:rPr>
        <w:t>A theory of liberty: The constitution and minorities</w:t>
      </w:r>
      <w:r w:rsidRPr="00F71FF9">
        <w:rPr>
          <w:rFonts w:ascii="Times New Roman" w:hAnsi="Times New Roman" w:cs="Times New Roman"/>
          <w:color w:val="222222"/>
          <w:sz w:val="24"/>
          <w:szCs w:val="24"/>
          <w:shd w:val="clear" w:color="auto" w:fill="FFFFFF"/>
        </w:rPr>
        <w:t> (Vol. 30). Routledge.</w:t>
      </w:r>
    </w:p>
    <w:p w14:paraId="67026022" w14:textId="77777777" w:rsidR="004416A9" w:rsidRPr="00F71FF9" w:rsidRDefault="00F839F5" w:rsidP="00F71FF9">
      <w:pPr>
        <w:spacing w:before="240" w:line="360" w:lineRule="auto"/>
        <w:jc w:val="both"/>
        <w:rPr>
          <w:rFonts w:ascii="Times New Roman" w:hAnsi="Times New Roman" w:cs="Times New Roman"/>
          <w:color w:val="222222"/>
          <w:sz w:val="24"/>
          <w:szCs w:val="24"/>
          <w:shd w:val="clear" w:color="auto" w:fill="FFFFFF"/>
        </w:rPr>
      </w:pPr>
      <w:r w:rsidRPr="00F71FF9">
        <w:rPr>
          <w:rFonts w:ascii="Times New Roman" w:hAnsi="Times New Roman" w:cs="Times New Roman"/>
          <w:color w:val="222222"/>
          <w:sz w:val="24"/>
          <w:szCs w:val="24"/>
          <w:shd w:val="clear" w:color="auto" w:fill="FFFFFF"/>
        </w:rPr>
        <w:t>King, S.M. and Hall, N.S., 2020. Unaccompanied Minors, Statutory Interpretation, and Due Process. </w:t>
      </w:r>
      <w:r w:rsidRPr="00F71FF9">
        <w:rPr>
          <w:rFonts w:ascii="Times New Roman" w:hAnsi="Times New Roman" w:cs="Times New Roman"/>
          <w:i/>
          <w:iCs/>
          <w:color w:val="222222"/>
          <w:sz w:val="24"/>
          <w:szCs w:val="24"/>
          <w:shd w:val="clear" w:color="auto" w:fill="FFFFFF"/>
        </w:rPr>
        <w:t>Calif. L. Rev.</w:t>
      </w:r>
      <w:r w:rsidRPr="00F71FF9">
        <w:rPr>
          <w:rFonts w:ascii="Times New Roman" w:hAnsi="Times New Roman" w:cs="Times New Roman"/>
          <w:color w:val="222222"/>
          <w:sz w:val="24"/>
          <w:szCs w:val="24"/>
          <w:shd w:val="clear" w:color="auto" w:fill="FFFFFF"/>
        </w:rPr>
        <w:t>, </w:t>
      </w:r>
      <w:r w:rsidRPr="00F71FF9">
        <w:rPr>
          <w:rFonts w:ascii="Times New Roman" w:hAnsi="Times New Roman" w:cs="Times New Roman"/>
          <w:i/>
          <w:iCs/>
          <w:color w:val="222222"/>
          <w:sz w:val="24"/>
          <w:szCs w:val="24"/>
          <w:shd w:val="clear" w:color="auto" w:fill="FFFFFF"/>
        </w:rPr>
        <w:t>108</w:t>
      </w:r>
      <w:r w:rsidRPr="00F71FF9">
        <w:rPr>
          <w:rFonts w:ascii="Times New Roman" w:hAnsi="Times New Roman" w:cs="Times New Roman"/>
          <w:color w:val="222222"/>
          <w:sz w:val="24"/>
          <w:szCs w:val="24"/>
          <w:shd w:val="clear" w:color="auto" w:fill="FFFFFF"/>
        </w:rPr>
        <w:t>, p.1.</w:t>
      </w:r>
    </w:p>
    <w:p w14:paraId="612EDB1B" w14:textId="77777777" w:rsidR="004416A9" w:rsidRPr="00F71FF9" w:rsidRDefault="00F839F5" w:rsidP="00F71FF9">
      <w:pPr>
        <w:spacing w:before="240" w:line="360" w:lineRule="auto"/>
        <w:jc w:val="both"/>
        <w:rPr>
          <w:rFonts w:ascii="Times New Roman" w:hAnsi="Times New Roman" w:cs="Times New Roman"/>
          <w:color w:val="222222"/>
          <w:sz w:val="24"/>
          <w:szCs w:val="24"/>
          <w:shd w:val="clear" w:color="auto" w:fill="FFFFFF"/>
        </w:rPr>
      </w:pPr>
      <w:r w:rsidRPr="00F71FF9">
        <w:rPr>
          <w:rFonts w:ascii="Times New Roman" w:hAnsi="Times New Roman" w:cs="Times New Roman"/>
          <w:color w:val="222222"/>
          <w:sz w:val="24"/>
          <w:szCs w:val="24"/>
          <w:shd w:val="clear" w:color="auto" w:fill="FFFFFF"/>
        </w:rPr>
        <w:t>Kozel, R.J., 2018. Statutory Interpretation, Administrative Deference, and the Law of Stare Decisis. </w:t>
      </w:r>
      <w:r w:rsidRPr="00F71FF9">
        <w:rPr>
          <w:rFonts w:ascii="Times New Roman" w:hAnsi="Times New Roman" w:cs="Times New Roman"/>
          <w:i/>
          <w:iCs/>
          <w:color w:val="222222"/>
          <w:sz w:val="24"/>
          <w:szCs w:val="24"/>
          <w:shd w:val="clear" w:color="auto" w:fill="FFFFFF"/>
        </w:rPr>
        <w:t>TEx. L. REv.</w:t>
      </w:r>
      <w:r w:rsidRPr="00F71FF9">
        <w:rPr>
          <w:rFonts w:ascii="Times New Roman" w:hAnsi="Times New Roman" w:cs="Times New Roman"/>
          <w:color w:val="222222"/>
          <w:sz w:val="24"/>
          <w:szCs w:val="24"/>
          <w:shd w:val="clear" w:color="auto" w:fill="FFFFFF"/>
        </w:rPr>
        <w:t>, </w:t>
      </w:r>
      <w:r w:rsidRPr="00F71FF9">
        <w:rPr>
          <w:rFonts w:ascii="Times New Roman" w:hAnsi="Times New Roman" w:cs="Times New Roman"/>
          <w:i/>
          <w:iCs/>
          <w:color w:val="222222"/>
          <w:sz w:val="24"/>
          <w:szCs w:val="24"/>
          <w:shd w:val="clear" w:color="auto" w:fill="FFFFFF"/>
        </w:rPr>
        <w:t>97</w:t>
      </w:r>
      <w:r w:rsidRPr="00F71FF9">
        <w:rPr>
          <w:rFonts w:ascii="Times New Roman" w:hAnsi="Times New Roman" w:cs="Times New Roman"/>
          <w:color w:val="222222"/>
          <w:sz w:val="24"/>
          <w:szCs w:val="24"/>
          <w:shd w:val="clear" w:color="auto" w:fill="FFFFFF"/>
        </w:rPr>
        <w:t>, p.1125.</w:t>
      </w:r>
    </w:p>
    <w:p w14:paraId="5D988415" w14:textId="77777777" w:rsidR="004416A9" w:rsidRPr="00F71FF9" w:rsidRDefault="00F839F5" w:rsidP="00F71FF9">
      <w:pPr>
        <w:spacing w:before="240" w:line="360" w:lineRule="auto"/>
        <w:jc w:val="both"/>
        <w:rPr>
          <w:rFonts w:ascii="Times New Roman" w:hAnsi="Times New Roman" w:cs="Times New Roman"/>
          <w:color w:val="222222"/>
          <w:sz w:val="24"/>
          <w:szCs w:val="24"/>
          <w:shd w:val="clear" w:color="auto" w:fill="FFFFFF"/>
        </w:rPr>
      </w:pPr>
      <w:r w:rsidRPr="00F71FF9">
        <w:rPr>
          <w:rFonts w:ascii="Times New Roman" w:hAnsi="Times New Roman" w:cs="Times New Roman"/>
          <w:color w:val="222222"/>
          <w:sz w:val="24"/>
          <w:szCs w:val="24"/>
          <w:shd w:val="clear" w:color="auto" w:fill="FFFFFF"/>
        </w:rPr>
        <w:t>Nourse, V., 2018. Textualism 3.0: Statutory Interpretation After Justice Scalia. </w:t>
      </w:r>
      <w:r w:rsidRPr="00F71FF9">
        <w:rPr>
          <w:rFonts w:ascii="Times New Roman" w:hAnsi="Times New Roman" w:cs="Times New Roman"/>
          <w:i/>
          <w:iCs/>
          <w:color w:val="222222"/>
          <w:sz w:val="24"/>
          <w:szCs w:val="24"/>
          <w:shd w:val="clear" w:color="auto" w:fill="FFFFFF"/>
        </w:rPr>
        <w:t>Ala. L. Rev.</w:t>
      </w:r>
      <w:r w:rsidRPr="00F71FF9">
        <w:rPr>
          <w:rFonts w:ascii="Times New Roman" w:hAnsi="Times New Roman" w:cs="Times New Roman"/>
          <w:color w:val="222222"/>
          <w:sz w:val="24"/>
          <w:szCs w:val="24"/>
          <w:shd w:val="clear" w:color="auto" w:fill="FFFFFF"/>
        </w:rPr>
        <w:t>, </w:t>
      </w:r>
      <w:r w:rsidRPr="00F71FF9">
        <w:rPr>
          <w:rFonts w:ascii="Times New Roman" w:hAnsi="Times New Roman" w:cs="Times New Roman"/>
          <w:i/>
          <w:iCs/>
          <w:color w:val="222222"/>
          <w:sz w:val="24"/>
          <w:szCs w:val="24"/>
          <w:shd w:val="clear" w:color="auto" w:fill="FFFFFF"/>
        </w:rPr>
        <w:t>70</w:t>
      </w:r>
      <w:r w:rsidRPr="00F71FF9">
        <w:rPr>
          <w:rFonts w:ascii="Times New Roman" w:hAnsi="Times New Roman" w:cs="Times New Roman"/>
          <w:color w:val="222222"/>
          <w:sz w:val="24"/>
          <w:szCs w:val="24"/>
          <w:shd w:val="clear" w:color="auto" w:fill="FFFFFF"/>
        </w:rPr>
        <w:t>, p.667.</w:t>
      </w:r>
    </w:p>
    <w:p w14:paraId="3F0FFB56" w14:textId="77777777" w:rsidR="004416A9" w:rsidRPr="00F71FF9" w:rsidRDefault="00F839F5" w:rsidP="00F71FF9">
      <w:pPr>
        <w:spacing w:before="240" w:line="360" w:lineRule="auto"/>
        <w:jc w:val="both"/>
        <w:rPr>
          <w:rFonts w:ascii="Times New Roman" w:hAnsi="Times New Roman" w:cs="Times New Roman"/>
          <w:color w:val="222222"/>
          <w:sz w:val="24"/>
          <w:szCs w:val="24"/>
          <w:shd w:val="clear" w:color="auto" w:fill="FFFFFF"/>
        </w:rPr>
      </w:pPr>
      <w:r w:rsidRPr="00F71FF9">
        <w:rPr>
          <w:rFonts w:ascii="Times New Roman" w:hAnsi="Times New Roman" w:cs="Times New Roman"/>
          <w:color w:val="222222"/>
          <w:sz w:val="24"/>
          <w:szCs w:val="24"/>
          <w:shd w:val="clear" w:color="auto" w:fill="FFFFFF"/>
        </w:rPr>
        <w:t>Pojanowski, J.A., 2019. Neoclassical Administrative Law. </w:t>
      </w:r>
      <w:r w:rsidRPr="00F71FF9">
        <w:rPr>
          <w:rFonts w:ascii="Times New Roman" w:hAnsi="Times New Roman" w:cs="Times New Roman"/>
          <w:i/>
          <w:iCs/>
          <w:color w:val="222222"/>
          <w:sz w:val="24"/>
          <w:szCs w:val="24"/>
          <w:shd w:val="clear" w:color="auto" w:fill="FFFFFF"/>
        </w:rPr>
        <w:t>Harv. L. Rev.</w:t>
      </w:r>
      <w:r w:rsidRPr="00F71FF9">
        <w:rPr>
          <w:rFonts w:ascii="Times New Roman" w:hAnsi="Times New Roman" w:cs="Times New Roman"/>
          <w:color w:val="222222"/>
          <w:sz w:val="24"/>
          <w:szCs w:val="24"/>
          <w:shd w:val="clear" w:color="auto" w:fill="FFFFFF"/>
        </w:rPr>
        <w:t>, </w:t>
      </w:r>
      <w:r w:rsidRPr="00F71FF9">
        <w:rPr>
          <w:rFonts w:ascii="Times New Roman" w:hAnsi="Times New Roman" w:cs="Times New Roman"/>
          <w:i/>
          <w:iCs/>
          <w:color w:val="222222"/>
          <w:sz w:val="24"/>
          <w:szCs w:val="24"/>
          <w:shd w:val="clear" w:color="auto" w:fill="FFFFFF"/>
        </w:rPr>
        <w:t>133</w:t>
      </w:r>
      <w:r w:rsidRPr="00F71FF9">
        <w:rPr>
          <w:rFonts w:ascii="Times New Roman" w:hAnsi="Times New Roman" w:cs="Times New Roman"/>
          <w:color w:val="222222"/>
          <w:sz w:val="24"/>
          <w:szCs w:val="24"/>
          <w:shd w:val="clear" w:color="auto" w:fill="FFFFFF"/>
        </w:rPr>
        <w:t>, p.852.</w:t>
      </w:r>
    </w:p>
    <w:p w14:paraId="530DE02D" w14:textId="77777777" w:rsidR="005A79BA" w:rsidRPr="005A79BA" w:rsidRDefault="005A79BA" w:rsidP="005A79BA">
      <w:pPr>
        <w:spacing w:line="480" w:lineRule="auto"/>
        <w:jc w:val="both"/>
        <w:rPr>
          <w:rFonts w:ascii="Times New Roman" w:hAnsi="Times New Roman" w:cs="Times New Roman"/>
          <w:b/>
          <w:sz w:val="24"/>
          <w:szCs w:val="24"/>
        </w:rPr>
      </w:pPr>
    </w:p>
    <w:sectPr w:rsidR="005A79BA" w:rsidRPr="005A79BA" w:rsidSect="004416A9">
      <w:footerReference w:type="default" r:id="rId8"/>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FC141B9" w14:textId="77777777" w:rsidR="007551F8" w:rsidRDefault="007551F8">
      <w:pPr>
        <w:spacing w:after="0" w:line="240" w:lineRule="auto"/>
      </w:pPr>
      <w:r>
        <w:separator/>
      </w:r>
    </w:p>
  </w:endnote>
  <w:endnote w:type="continuationSeparator" w:id="0">
    <w:p w14:paraId="6E2556C1" w14:textId="77777777" w:rsidR="007551F8" w:rsidRDefault="007551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52126991"/>
      <w:docPartObj>
        <w:docPartGallery w:val="Page Numbers (Bottom of Page)"/>
        <w:docPartUnique/>
      </w:docPartObj>
    </w:sdtPr>
    <w:sdtEndPr>
      <w:rPr>
        <w:noProof/>
      </w:rPr>
    </w:sdtEndPr>
    <w:sdtContent>
      <w:p w14:paraId="4C15486A" w14:textId="6141F3AB" w:rsidR="004416A9" w:rsidRDefault="00F839F5">
        <w:pPr>
          <w:pStyle w:val="Footer"/>
          <w:jc w:val="center"/>
        </w:pPr>
        <w:r>
          <w:fldChar w:fldCharType="begin"/>
        </w:r>
        <w:r>
          <w:instrText xml:space="preserve"> PAGE   \* MERGEFORMAT </w:instrText>
        </w:r>
        <w:r>
          <w:fldChar w:fldCharType="separate"/>
        </w:r>
        <w:r w:rsidR="00B17A89">
          <w:rPr>
            <w:noProof/>
          </w:rPr>
          <w:t>2</w:t>
        </w:r>
        <w:r>
          <w:rPr>
            <w:noProof/>
          </w:rPr>
          <w:fldChar w:fldCharType="end"/>
        </w:r>
      </w:p>
    </w:sdtContent>
  </w:sdt>
  <w:p w14:paraId="0A9DF002" w14:textId="77777777" w:rsidR="005A79BA" w:rsidRDefault="005A79B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B87E2DB" w14:textId="77777777" w:rsidR="007551F8" w:rsidRDefault="007551F8">
      <w:pPr>
        <w:spacing w:after="0" w:line="240" w:lineRule="auto"/>
      </w:pPr>
      <w:r>
        <w:separator/>
      </w:r>
    </w:p>
  </w:footnote>
  <w:footnote w:type="continuationSeparator" w:id="0">
    <w:p w14:paraId="0F5AAED5" w14:textId="77777777" w:rsidR="007551F8" w:rsidRDefault="007551F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DE72A47"/>
    <w:multiLevelType w:val="hybridMultilevel"/>
    <w:tmpl w:val="36DAC61A"/>
    <w:lvl w:ilvl="0" w:tplc="60F279B2">
      <w:start w:val="1"/>
      <w:numFmt w:val="decimal"/>
      <w:lvlText w:val="%1."/>
      <w:lvlJc w:val="left"/>
      <w:pPr>
        <w:ind w:left="720" w:hanging="360"/>
      </w:pPr>
    </w:lvl>
    <w:lvl w:ilvl="1" w:tplc="398CF94E" w:tentative="1">
      <w:start w:val="1"/>
      <w:numFmt w:val="lowerLetter"/>
      <w:lvlText w:val="%2."/>
      <w:lvlJc w:val="left"/>
      <w:pPr>
        <w:ind w:left="1440" w:hanging="360"/>
      </w:pPr>
    </w:lvl>
    <w:lvl w:ilvl="2" w:tplc="A7CA6638" w:tentative="1">
      <w:start w:val="1"/>
      <w:numFmt w:val="lowerRoman"/>
      <w:lvlText w:val="%3."/>
      <w:lvlJc w:val="right"/>
      <w:pPr>
        <w:ind w:left="2160" w:hanging="180"/>
      </w:pPr>
    </w:lvl>
    <w:lvl w:ilvl="3" w:tplc="00D07166" w:tentative="1">
      <w:start w:val="1"/>
      <w:numFmt w:val="decimal"/>
      <w:lvlText w:val="%4."/>
      <w:lvlJc w:val="left"/>
      <w:pPr>
        <w:ind w:left="2880" w:hanging="360"/>
      </w:pPr>
    </w:lvl>
    <w:lvl w:ilvl="4" w:tplc="F79EEE58" w:tentative="1">
      <w:start w:val="1"/>
      <w:numFmt w:val="lowerLetter"/>
      <w:lvlText w:val="%5."/>
      <w:lvlJc w:val="left"/>
      <w:pPr>
        <w:ind w:left="3600" w:hanging="360"/>
      </w:pPr>
    </w:lvl>
    <w:lvl w:ilvl="5" w:tplc="49F25C8C" w:tentative="1">
      <w:start w:val="1"/>
      <w:numFmt w:val="lowerRoman"/>
      <w:lvlText w:val="%6."/>
      <w:lvlJc w:val="right"/>
      <w:pPr>
        <w:ind w:left="4320" w:hanging="180"/>
      </w:pPr>
    </w:lvl>
    <w:lvl w:ilvl="6" w:tplc="055E3BCC" w:tentative="1">
      <w:start w:val="1"/>
      <w:numFmt w:val="decimal"/>
      <w:lvlText w:val="%7."/>
      <w:lvlJc w:val="left"/>
      <w:pPr>
        <w:ind w:left="5040" w:hanging="360"/>
      </w:pPr>
    </w:lvl>
    <w:lvl w:ilvl="7" w:tplc="8B8A8F46" w:tentative="1">
      <w:start w:val="1"/>
      <w:numFmt w:val="lowerLetter"/>
      <w:lvlText w:val="%8."/>
      <w:lvlJc w:val="left"/>
      <w:pPr>
        <w:ind w:left="5760" w:hanging="360"/>
      </w:pPr>
    </w:lvl>
    <w:lvl w:ilvl="8" w:tplc="15467F92" w:tentative="1">
      <w:start w:val="1"/>
      <w:numFmt w:val="lowerRoman"/>
      <w:lvlText w:val="%9."/>
      <w:lvlJc w:val="right"/>
      <w:pPr>
        <w:ind w:left="6480" w:hanging="180"/>
      </w:pPr>
    </w:lvl>
  </w:abstractNum>
  <w:abstractNum w:abstractNumId="1">
    <w:nsid w:val="30EF774C"/>
    <w:multiLevelType w:val="hybridMultilevel"/>
    <w:tmpl w:val="D3026AE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DAzMrA0MzI3MzEwNjdS0lEKTi0uzszPAykwqgUAqbSfAywAAAA="/>
  </w:docVars>
  <w:rsids>
    <w:rsidRoot w:val="00E446FC"/>
    <w:rsid w:val="00001603"/>
    <w:rsid w:val="000C662A"/>
    <w:rsid w:val="0013771C"/>
    <w:rsid w:val="001B4E84"/>
    <w:rsid w:val="002045FF"/>
    <w:rsid w:val="00216D6D"/>
    <w:rsid w:val="0026149E"/>
    <w:rsid w:val="002A2D3D"/>
    <w:rsid w:val="00346A85"/>
    <w:rsid w:val="003C12D9"/>
    <w:rsid w:val="00401D47"/>
    <w:rsid w:val="004416A9"/>
    <w:rsid w:val="005A79BA"/>
    <w:rsid w:val="005B6354"/>
    <w:rsid w:val="00681D19"/>
    <w:rsid w:val="007551F8"/>
    <w:rsid w:val="00810A6A"/>
    <w:rsid w:val="00810FC1"/>
    <w:rsid w:val="00A12270"/>
    <w:rsid w:val="00B0617A"/>
    <w:rsid w:val="00B17A89"/>
    <w:rsid w:val="00C06410"/>
    <w:rsid w:val="00D461C7"/>
    <w:rsid w:val="00DA5B84"/>
    <w:rsid w:val="00E446FC"/>
    <w:rsid w:val="00EB64E5"/>
    <w:rsid w:val="00F047B4"/>
    <w:rsid w:val="00F71FF9"/>
    <w:rsid w:val="00F821CD"/>
    <w:rsid w:val="00F839F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6338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01D47"/>
    <w:rPr>
      <w:rFonts w:eastAsiaTheme="minorEastAsia"/>
      <w:lang w:val="en-US"/>
    </w:rPr>
  </w:style>
  <w:style w:type="paragraph" w:styleId="Heading1">
    <w:name w:val="heading 1"/>
    <w:basedOn w:val="Normal"/>
    <w:next w:val="Normal"/>
    <w:link w:val="Heading1Char"/>
    <w:uiPriority w:val="9"/>
    <w:qFormat/>
    <w:rsid w:val="00F71FF9"/>
    <w:pPr>
      <w:keepNext/>
      <w:keepLines/>
      <w:spacing w:before="240" w:after="0"/>
      <w:outlineLvl w:val="0"/>
    </w:pPr>
    <w:rPr>
      <w:rFonts w:ascii="Times New Roman" w:eastAsiaTheme="majorEastAsia" w:hAnsi="Times New Roman" w:cs="Times New Roman"/>
      <w:color w:val="2F5496" w:themeColor="accent1" w:themeShade="BF"/>
      <w:sz w:val="32"/>
      <w:szCs w:val="32"/>
    </w:rPr>
  </w:style>
  <w:style w:type="paragraph" w:styleId="Heading2">
    <w:name w:val="heading 2"/>
    <w:basedOn w:val="Normal"/>
    <w:next w:val="Normal"/>
    <w:link w:val="Heading2Char"/>
    <w:uiPriority w:val="9"/>
    <w:unhideWhenUsed/>
    <w:qFormat/>
    <w:rsid w:val="00F71FF9"/>
    <w:pPr>
      <w:keepNext/>
      <w:keepLines/>
      <w:spacing w:before="40" w:after="0"/>
      <w:outlineLvl w:val="1"/>
    </w:pPr>
    <w:rPr>
      <w:rFonts w:ascii="Times New Roman" w:eastAsiaTheme="majorEastAsia" w:hAnsi="Times New Roman" w:cs="Times New Roman"/>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A79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79BA"/>
    <w:rPr>
      <w:rFonts w:eastAsiaTheme="minorEastAsia"/>
      <w:lang w:val="en-US"/>
    </w:rPr>
  </w:style>
  <w:style w:type="paragraph" w:styleId="Footer">
    <w:name w:val="footer"/>
    <w:basedOn w:val="Normal"/>
    <w:link w:val="FooterChar"/>
    <w:uiPriority w:val="99"/>
    <w:unhideWhenUsed/>
    <w:rsid w:val="005A79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79BA"/>
    <w:rPr>
      <w:rFonts w:eastAsiaTheme="minorEastAsia"/>
      <w:lang w:val="en-US"/>
    </w:rPr>
  </w:style>
  <w:style w:type="paragraph" w:styleId="ListParagraph">
    <w:name w:val="List Paragraph"/>
    <w:basedOn w:val="Normal"/>
    <w:uiPriority w:val="34"/>
    <w:qFormat/>
    <w:rsid w:val="004416A9"/>
    <w:pPr>
      <w:ind w:left="720"/>
      <w:contextualSpacing/>
    </w:pPr>
  </w:style>
  <w:style w:type="character" w:customStyle="1" w:styleId="Heading1Char">
    <w:name w:val="Heading 1 Char"/>
    <w:basedOn w:val="DefaultParagraphFont"/>
    <w:link w:val="Heading1"/>
    <w:uiPriority w:val="9"/>
    <w:rsid w:val="00F71FF9"/>
    <w:rPr>
      <w:rFonts w:ascii="Times New Roman" w:eastAsiaTheme="majorEastAsia" w:hAnsi="Times New Roman" w:cs="Times New Roman"/>
      <w:color w:val="2F5496" w:themeColor="accent1" w:themeShade="BF"/>
      <w:sz w:val="32"/>
      <w:szCs w:val="32"/>
      <w:lang w:val="en-US"/>
    </w:rPr>
  </w:style>
  <w:style w:type="paragraph" w:styleId="TOCHeading">
    <w:name w:val="TOC Heading"/>
    <w:basedOn w:val="Heading1"/>
    <w:next w:val="Normal"/>
    <w:uiPriority w:val="39"/>
    <w:unhideWhenUsed/>
    <w:qFormat/>
    <w:rsid w:val="00F71FF9"/>
    <w:pPr>
      <w:outlineLvl w:val="9"/>
    </w:pPr>
  </w:style>
  <w:style w:type="character" w:customStyle="1" w:styleId="Heading2Char">
    <w:name w:val="Heading 2 Char"/>
    <w:basedOn w:val="DefaultParagraphFont"/>
    <w:link w:val="Heading2"/>
    <w:uiPriority w:val="9"/>
    <w:rsid w:val="00F71FF9"/>
    <w:rPr>
      <w:rFonts w:ascii="Times New Roman" w:eastAsiaTheme="majorEastAsia" w:hAnsi="Times New Roman" w:cs="Times New Roman"/>
      <w:color w:val="2F5496" w:themeColor="accent1" w:themeShade="BF"/>
      <w:sz w:val="28"/>
      <w:szCs w:val="28"/>
      <w:lang w:val="en-US"/>
    </w:rPr>
  </w:style>
  <w:style w:type="paragraph" w:styleId="TOC1">
    <w:name w:val="toc 1"/>
    <w:basedOn w:val="Normal"/>
    <w:next w:val="Normal"/>
    <w:autoRedefine/>
    <w:uiPriority w:val="39"/>
    <w:unhideWhenUsed/>
    <w:rsid w:val="00F71FF9"/>
    <w:pPr>
      <w:spacing w:after="100"/>
    </w:pPr>
  </w:style>
  <w:style w:type="paragraph" w:styleId="TOC2">
    <w:name w:val="toc 2"/>
    <w:basedOn w:val="Normal"/>
    <w:next w:val="Normal"/>
    <w:autoRedefine/>
    <w:uiPriority w:val="39"/>
    <w:unhideWhenUsed/>
    <w:rsid w:val="00F71FF9"/>
    <w:pPr>
      <w:spacing w:after="100"/>
      <w:ind w:left="220"/>
    </w:pPr>
  </w:style>
  <w:style w:type="character" w:styleId="Hyperlink">
    <w:name w:val="Hyperlink"/>
    <w:basedOn w:val="DefaultParagraphFont"/>
    <w:uiPriority w:val="99"/>
    <w:unhideWhenUsed/>
    <w:rsid w:val="00F71FF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AFFD18-033E-4E1A-873F-8BD0F5F2B6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1826</Words>
  <Characters>10411</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12213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2022-06-27T14:13:00Z</dcterms:created>
  <dcterms:modified xsi:type="dcterms:W3CDTF">2022-06-27T14:13:00Z</dcterms:modified>
</cp:coreProperties>
</file>