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96A47" w14:textId="41B77E17" w:rsidR="00B70ABC" w:rsidRPr="00B70ABC" w:rsidRDefault="00B70ABC" w:rsidP="00B70ABC">
      <w:pPr>
        <w:spacing w:line="360" w:lineRule="auto"/>
        <w:jc w:val="center"/>
        <w:rPr>
          <w:rFonts w:cstheme="minorHAnsi"/>
          <w:b/>
          <w:sz w:val="28"/>
        </w:rPr>
      </w:pPr>
      <w:r w:rsidRPr="00B70ABC">
        <w:rPr>
          <w:rFonts w:cstheme="minorHAnsi"/>
          <w:b/>
          <w:sz w:val="28"/>
        </w:rPr>
        <w:t>Research Project</w:t>
      </w:r>
    </w:p>
    <w:p w14:paraId="376D0E39" w14:textId="57A4C00F" w:rsidR="00B70ABC" w:rsidRPr="00B70ABC" w:rsidRDefault="00B70ABC" w:rsidP="00B70ABC">
      <w:pPr>
        <w:spacing w:line="360" w:lineRule="auto"/>
        <w:jc w:val="center"/>
        <w:rPr>
          <w:rFonts w:cstheme="minorHAnsi"/>
          <w:b/>
          <w:sz w:val="28"/>
        </w:rPr>
      </w:pPr>
      <w:r w:rsidRPr="00B70ABC">
        <w:rPr>
          <w:rFonts w:cstheme="minorHAnsi"/>
          <w:b/>
          <w:sz w:val="28"/>
        </w:rPr>
        <w:t>Enhancing Learner Engagement in Further Education: An Action Research Study on Inclusive Pedagogical Strategies and Their Impact on Student Progression</w:t>
      </w:r>
    </w:p>
    <w:p w14:paraId="5ECF4447" w14:textId="77777777" w:rsidR="00B70ABC" w:rsidRDefault="00B70ABC" w:rsidP="00634555">
      <w:pPr>
        <w:spacing w:line="360" w:lineRule="auto"/>
        <w:rPr>
          <w:rFonts w:cstheme="minorHAnsi"/>
          <w:b/>
          <w:sz w:val="24"/>
          <w:u w:val="single"/>
        </w:rPr>
      </w:pPr>
    </w:p>
    <w:p w14:paraId="5D055440" w14:textId="50EEBAEC" w:rsidR="00634555" w:rsidRPr="00B70ABC" w:rsidRDefault="00634555" w:rsidP="00B70ABC">
      <w:pPr>
        <w:spacing w:line="360" w:lineRule="auto"/>
        <w:jc w:val="both"/>
        <w:rPr>
          <w:rFonts w:cstheme="minorHAnsi"/>
          <w:b/>
          <w:sz w:val="24"/>
          <w:szCs w:val="24"/>
        </w:rPr>
      </w:pPr>
      <w:r w:rsidRPr="00B70ABC">
        <w:rPr>
          <w:rFonts w:cstheme="minorHAnsi"/>
          <w:b/>
          <w:sz w:val="24"/>
          <w:szCs w:val="24"/>
        </w:rPr>
        <w:t>Introduction</w:t>
      </w:r>
    </w:p>
    <w:p w14:paraId="280CB9E6" w14:textId="65BBA338" w:rsidR="00634555" w:rsidRPr="00B70ABC" w:rsidRDefault="00634555" w:rsidP="00B70ABC">
      <w:pPr>
        <w:spacing w:line="360" w:lineRule="auto"/>
        <w:jc w:val="both"/>
        <w:rPr>
          <w:rFonts w:cstheme="minorHAnsi"/>
          <w:sz w:val="24"/>
          <w:szCs w:val="24"/>
        </w:rPr>
      </w:pPr>
      <w:r w:rsidRPr="00B70ABC">
        <w:rPr>
          <w:rFonts w:cstheme="minorHAnsi"/>
          <w:sz w:val="24"/>
          <w:szCs w:val="24"/>
        </w:rPr>
        <w:t xml:space="preserve">Learner disengagement in Further Education (FE) is a complex challenge that has far-reaching implications for academic success and social mobility (Fredricks, Blumenfeld, &amp; Paris, 2004). This action research project is designed to explore and address the factors contributing to disengagement among learners who have previously struggled in traditional educational settings. </w:t>
      </w:r>
      <w:r w:rsidR="009A348F" w:rsidRPr="00B70ABC">
        <w:rPr>
          <w:rFonts w:cstheme="minorHAnsi"/>
          <w:sz w:val="24"/>
          <w:szCs w:val="24"/>
        </w:rPr>
        <w:t xml:space="preserve">Drawing on my experiences as a tutor in Further Education, this project presents a reflective analysis of teaching practices that foster inclusive, student‐centred learning. </w:t>
      </w:r>
      <w:r w:rsidRPr="00B70ABC">
        <w:rPr>
          <w:rFonts w:cstheme="minorHAnsi"/>
          <w:sz w:val="24"/>
          <w:szCs w:val="24"/>
        </w:rPr>
        <w:t>By implementing and evaluating innovative pedagogical strategies, this study seeks to provide actionable insights to enhance student engagement and support their progression into further education.</w:t>
      </w:r>
      <w:r w:rsidR="00804612" w:rsidRPr="00B70ABC">
        <w:rPr>
          <w:rFonts w:cstheme="minorHAnsi"/>
          <w:sz w:val="24"/>
          <w:szCs w:val="24"/>
        </w:rPr>
        <w:t xml:space="preserve"> </w:t>
      </w:r>
      <w:r w:rsidRPr="00B70ABC">
        <w:rPr>
          <w:rFonts w:cstheme="minorHAnsi"/>
          <w:sz w:val="24"/>
          <w:szCs w:val="24"/>
        </w:rPr>
        <w:t>The research is structured around four key stages: A Literature Review, Methodology, Results</w:t>
      </w:r>
      <w:r w:rsidR="00804612" w:rsidRPr="00B70ABC">
        <w:rPr>
          <w:rFonts w:cstheme="minorHAnsi"/>
          <w:sz w:val="24"/>
          <w:szCs w:val="24"/>
        </w:rPr>
        <w:t xml:space="preserve"> and Discussion</w:t>
      </w:r>
      <w:r w:rsidRPr="00B70ABC">
        <w:rPr>
          <w:rFonts w:cstheme="minorHAnsi"/>
          <w:sz w:val="24"/>
          <w:szCs w:val="24"/>
        </w:rPr>
        <w:t xml:space="preserve">, and Conclusion. </w:t>
      </w:r>
    </w:p>
    <w:p w14:paraId="6A719720" w14:textId="77777777" w:rsidR="00804612" w:rsidRPr="00B70ABC" w:rsidRDefault="00804612" w:rsidP="00B70ABC">
      <w:pPr>
        <w:spacing w:line="360" w:lineRule="auto"/>
        <w:jc w:val="both"/>
        <w:rPr>
          <w:rFonts w:cstheme="minorHAnsi"/>
          <w:sz w:val="24"/>
          <w:szCs w:val="24"/>
        </w:rPr>
      </w:pPr>
    </w:p>
    <w:p w14:paraId="0B448067" w14:textId="77777777" w:rsidR="00634555" w:rsidRPr="00B70ABC" w:rsidRDefault="00634555" w:rsidP="00B70ABC">
      <w:pPr>
        <w:spacing w:line="360" w:lineRule="auto"/>
        <w:jc w:val="both"/>
        <w:rPr>
          <w:rFonts w:cstheme="minorHAnsi"/>
          <w:sz w:val="24"/>
          <w:szCs w:val="24"/>
        </w:rPr>
      </w:pPr>
      <w:r w:rsidRPr="00B70ABC">
        <w:rPr>
          <w:rFonts w:cstheme="minorHAnsi"/>
          <w:sz w:val="24"/>
          <w:szCs w:val="24"/>
        </w:rPr>
        <w:t>This project is guided by the following research questions:</w:t>
      </w:r>
    </w:p>
    <w:p w14:paraId="5DFEACB5" w14:textId="77777777" w:rsidR="00634555" w:rsidRPr="00B70ABC" w:rsidRDefault="00634555" w:rsidP="00B70ABC">
      <w:pPr>
        <w:spacing w:line="360" w:lineRule="auto"/>
        <w:jc w:val="both"/>
        <w:rPr>
          <w:rFonts w:cstheme="minorHAnsi"/>
          <w:sz w:val="24"/>
          <w:szCs w:val="24"/>
        </w:rPr>
      </w:pPr>
    </w:p>
    <w:p w14:paraId="0E348BED" w14:textId="642D9B0E" w:rsidR="00634555" w:rsidRPr="00B70ABC" w:rsidRDefault="00634555" w:rsidP="00B70ABC">
      <w:pPr>
        <w:pStyle w:val="ListParagraph"/>
        <w:numPr>
          <w:ilvl w:val="0"/>
          <w:numId w:val="7"/>
        </w:numPr>
        <w:spacing w:line="360" w:lineRule="auto"/>
        <w:jc w:val="both"/>
        <w:rPr>
          <w:rFonts w:cstheme="minorHAnsi"/>
          <w:sz w:val="24"/>
          <w:szCs w:val="24"/>
          <w:u w:val="single"/>
        </w:rPr>
      </w:pPr>
      <w:r w:rsidRPr="00B70ABC">
        <w:rPr>
          <w:rFonts w:cstheme="minorHAnsi"/>
          <w:sz w:val="24"/>
          <w:szCs w:val="24"/>
          <w:u w:val="single"/>
        </w:rPr>
        <w:t>What are the underlying factors contributing to learner disengagement within this category, and how do they influence educational outcomes?</w:t>
      </w:r>
    </w:p>
    <w:p w14:paraId="10E8B35B" w14:textId="05B3EC40" w:rsidR="00634555" w:rsidRPr="00B70ABC" w:rsidRDefault="00634555" w:rsidP="00B70ABC">
      <w:pPr>
        <w:spacing w:line="360" w:lineRule="auto"/>
        <w:jc w:val="both"/>
        <w:rPr>
          <w:rFonts w:cstheme="minorHAnsi"/>
          <w:sz w:val="24"/>
          <w:szCs w:val="24"/>
        </w:rPr>
      </w:pPr>
      <w:r w:rsidRPr="00B70ABC">
        <w:rPr>
          <w:rFonts w:cstheme="minorHAnsi"/>
          <w:sz w:val="24"/>
          <w:szCs w:val="24"/>
        </w:rPr>
        <w:t xml:space="preserve">  This question explores the root causes of disengagement by examining aspects such as past negative educational experiences, socioeconomic barriers, and the mismatch between traditional teaching methods and diverse learning styles.</w:t>
      </w:r>
    </w:p>
    <w:p w14:paraId="4A355CA3" w14:textId="77777777" w:rsidR="00634555" w:rsidRPr="00B70ABC" w:rsidRDefault="00634555" w:rsidP="00B70ABC">
      <w:pPr>
        <w:spacing w:line="360" w:lineRule="auto"/>
        <w:jc w:val="both"/>
        <w:rPr>
          <w:rFonts w:cstheme="minorHAnsi"/>
          <w:sz w:val="24"/>
          <w:szCs w:val="24"/>
        </w:rPr>
      </w:pPr>
    </w:p>
    <w:p w14:paraId="7C2FA3FD" w14:textId="7C4E2027" w:rsidR="00634555" w:rsidRPr="00B70ABC" w:rsidRDefault="00634555" w:rsidP="00B70ABC">
      <w:pPr>
        <w:pStyle w:val="ListParagraph"/>
        <w:numPr>
          <w:ilvl w:val="0"/>
          <w:numId w:val="7"/>
        </w:numPr>
        <w:spacing w:line="360" w:lineRule="auto"/>
        <w:jc w:val="both"/>
        <w:rPr>
          <w:rFonts w:cstheme="minorHAnsi"/>
          <w:sz w:val="24"/>
          <w:szCs w:val="24"/>
          <w:u w:val="single"/>
        </w:rPr>
      </w:pPr>
      <w:r w:rsidRPr="00B70ABC">
        <w:rPr>
          <w:rFonts w:cstheme="minorHAnsi"/>
          <w:sz w:val="24"/>
          <w:szCs w:val="24"/>
          <w:u w:val="single"/>
        </w:rPr>
        <w:lastRenderedPageBreak/>
        <w:t xml:space="preserve">In what ways did my pedagogical strategies as a tutor impact the engagement, learning experience, and academic progression of these learners?  </w:t>
      </w:r>
    </w:p>
    <w:p w14:paraId="4AB32BC1" w14:textId="230D9BA1" w:rsidR="00634555" w:rsidRPr="00B70ABC" w:rsidRDefault="00634555" w:rsidP="00B70ABC">
      <w:pPr>
        <w:spacing w:line="360" w:lineRule="auto"/>
        <w:jc w:val="both"/>
        <w:rPr>
          <w:rFonts w:cstheme="minorHAnsi"/>
          <w:sz w:val="24"/>
          <w:szCs w:val="24"/>
        </w:rPr>
      </w:pPr>
      <w:r w:rsidRPr="00B70ABC">
        <w:rPr>
          <w:rFonts w:cstheme="minorHAnsi"/>
          <w:sz w:val="24"/>
          <w:szCs w:val="24"/>
        </w:rPr>
        <w:t xml:space="preserve">  Here, the focus is on evaluating the effectiveness of the teaching methods implemented in my practice. By assessing how experiential learning, growth mindset interventions, and differentiated instruction affect student motivation and participation, this question aims to shed light on the tangible benefits of innovative pedagogy.</w:t>
      </w:r>
    </w:p>
    <w:p w14:paraId="56A254EB" w14:textId="77777777" w:rsidR="00634555" w:rsidRPr="00B70ABC" w:rsidRDefault="00634555" w:rsidP="00B70ABC">
      <w:pPr>
        <w:spacing w:line="360" w:lineRule="auto"/>
        <w:jc w:val="both"/>
        <w:rPr>
          <w:rFonts w:cstheme="minorHAnsi"/>
          <w:sz w:val="24"/>
          <w:szCs w:val="24"/>
        </w:rPr>
      </w:pPr>
    </w:p>
    <w:p w14:paraId="2CA091FD" w14:textId="7E55E61D" w:rsidR="00634555" w:rsidRPr="00B70ABC" w:rsidRDefault="00634555" w:rsidP="00B70ABC">
      <w:pPr>
        <w:pStyle w:val="ListParagraph"/>
        <w:numPr>
          <w:ilvl w:val="0"/>
          <w:numId w:val="7"/>
        </w:numPr>
        <w:spacing w:line="360" w:lineRule="auto"/>
        <w:jc w:val="both"/>
        <w:rPr>
          <w:rFonts w:cstheme="minorHAnsi"/>
          <w:sz w:val="24"/>
          <w:szCs w:val="24"/>
          <w:u w:val="single"/>
        </w:rPr>
      </w:pPr>
      <w:r w:rsidRPr="00B70ABC">
        <w:rPr>
          <w:rFonts w:cstheme="minorHAnsi"/>
          <w:sz w:val="24"/>
          <w:szCs w:val="24"/>
          <w:u w:val="single"/>
        </w:rPr>
        <w:t>How can the successful outcomes of these teaching interventions be systematically replicated across other educational institutions in the UK to support similar learner demographics?</w:t>
      </w:r>
    </w:p>
    <w:p w14:paraId="270D6FDA" w14:textId="77777777" w:rsidR="00634555" w:rsidRPr="00B70ABC" w:rsidRDefault="00634555" w:rsidP="00B70ABC">
      <w:pPr>
        <w:spacing w:line="360" w:lineRule="auto"/>
        <w:jc w:val="both"/>
        <w:rPr>
          <w:rFonts w:cstheme="minorHAnsi"/>
          <w:sz w:val="24"/>
          <w:szCs w:val="24"/>
        </w:rPr>
      </w:pPr>
      <w:r w:rsidRPr="00B70ABC">
        <w:rPr>
          <w:rFonts w:cstheme="minorHAnsi"/>
          <w:sz w:val="24"/>
          <w:szCs w:val="24"/>
        </w:rPr>
        <w:t xml:space="preserve">  This question examines the scalability of effective teaching strategies. It considers how institutional support, professional development, and the integration of technology can facilitate the broader adoption of these interventions, ensuring that positive outcomes are sustainable and transferable across different FE contexts.</w:t>
      </w:r>
    </w:p>
    <w:p w14:paraId="4988C8F9" w14:textId="77777777" w:rsidR="00634555" w:rsidRPr="00B70ABC" w:rsidRDefault="00634555" w:rsidP="00B70ABC">
      <w:pPr>
        <w:spacing w:line="360" w:lineRule="auto"/>
        <w:jc w:val="both"/>
        <w:rPr>
          <w:rFonts w:cstheme="minorHAnsi"/>
          <w:sz w:val="24"/>
          <w:szCs w:val="24"/>
        </w:rPr>
      </w:pPr>
    </w:p>
    <w:p w14:paraId="1F92DCF0" w14:textId="13361FFE" w:rsidR="00307ABC" w:rsidRPr="00B70ABC" w:rsidRDefault="00634555" w:rsidP="00B70ABC">
      <w:pPr>
        <w:spacing w:line="360" w:lineRule="auto"/>
        <w:jc w:val="both"/>
        <w:rPr>
          <w:rFonts w:cstheme="minorHAnsi"/>
          <w:sz w:val="24"/>
          <w:szCs w:val="24"/>
        </w:rPr>
      </w:pPr>
      <w:r w:rsidRPr="00B70ABC">
        <w:rPr>
          <w:rFonts w:cstheme="minorHAnsi"/>
          <w:sz w:val="24"/>
          <w:szCs w:val="24"/>
        </w:rPr>
        <w:t>Together, these research questions guide the investigation into both the challenges and potential solutions for engaging disengaged learners, offering a roadmap for enhancing educational practice and policy in Further Education.</w:t>
      </w:r>
    </w:p>
    <w:p w14:paraId="1E7610A4" w14:textId="3269345A" w:rsidR="00B95A28" w:rsidRPr="00B70ABC" w:rsidRDefault="00B95A28" w:rsidP="00B70ABC">
      <w:pPr>
        <w:spacing w:line="360" w:lineRule="auto"/>
        <w:jc w:val="both"/>
        <w:rPr>
          <w:rFonts w:cstheme="minorHAnsi"/>
          <w:sz w:val="24"/>
          <w:szCs w:val="24"/>
        </w:rPr>
      </w:pPr>
    </w:p>
    <w:p w14:paraId="5611F42F" w14:textId="77777777" w:rsidR="00AA17BC" w:rsidRPr="00B70ABC" w:rsidRDefault="00AA17BC" w:rsidP="00B70ABC">
      <w:pPr>
        <w:spacing w:line="360" w:lineRule="auto"/>
        <w:jc w:val="both"/>
        <w:rPr>
          <w:rFonts w:cstheme="minorHAnsi"/>
          <w:b/>
          <w:sz w:val="24"/>
          <w:szCs w:val="24"/>
          <w:u w:val="single"/>
        </w:rPr>
      </w:pPr>
    </w:p>
    <w:p w14:paraId="4AB43A2F" w14:textId="77777777" w:rsidR="00AA17BC" w:rsidRPr="00B70ABC" w:rsidRDefault="00AA17BC" w:rsidP="00B70ABC">
      <w:pPr>
        <w:spacing w:line="360" w:lineRule="auto"/>
        <w:jc w:val="both"/>
        <w:rPr>
          <w:rFonts w:cstheme="minorHAnsi"/>
          <w:b/>
          <w:sz w:val="24"/>
          <w:szCs w:val="24"/>
          <w:u w:val="single"/>
        </w:rPr>
      </w:pPr>
    </w:p>
    <w:p w14:paraId="1491A9B6" w14:textId="77777777" w:rsidR="00C63971" w:rsidRDefault="00C63971" w:rsidP="00B70ABC">
      <w:pPr>
        <w:spacing w:before="100" w:beforeAutospacing="1" w:after="100" w:afterAutospacing="1" w:line="360" w:lineRule="auto"/>
        <w:jc w:val="center"/>
        <w:outlineLvl w:val="0"/>
        <w:rPr>
          <w:rFonts w:eastAsia="Times New Roman" w:cstheme="minorHAnsi"/>
          <w:b/>
          <w:bCs/>
          <w:kern w:val="36"/>
          <w:sz w:val="24"/>
          <w:szCs w:val="24"/>
          <w:lang w:val="en-US"/>
        </w:rPr>
      </w:pPr>
      <w:r>
        <w:rPr>
          <w:rFonts w:eastAsia="Times New Roman" w:cstheme="minorHAnsi"/>
          <w:b/>
          <w:bCs/>
          <w:kern w:val="36"/>
          <w:sz w:val="24"/>
          <w:szCs w:val="24"/>
          <w:lang w:val="en-US"/>
        </w:rPr>
        <w:br w:type="page"/>
      </w:r>
    </w:p>
    <w:p w14:paraId="3AF0CE3A" w14:textId="33286689" w:rsidR="00E0423B" w:rsidRPr="00B70ABC" w:rsidRDefault="006A2651" w:rsidP="00B70ABC">
      <w:pPr>
        <w:spacing w:before="100" w:beforeAutospacing="1" w:after="100" w:afterAutospacing="1" w:line="360" w:lineRule="auto"/>
        <w:jc w:val="center"/>
        <w:outlineLvl w:val="0"/>
        <w:rPr>
          <w:rFonts w:eastAsia="Times New Roman" w:cstheme="minorHAnsi"/>
          <w:b/>
          <w:bCs/>
          <w:kern w:val="36"/>
          <w:sz w:val="24"/>
          <w:szCs w:val="24"/>
          <w:lang w:val="en-US"/>
        </w:rPr>
      </w:pPr>
      <w:r w:rsidRPr="00B70ABC">
        <w:rPr>
          <w:rFonts w:eastAsia="Times New Roman" w:cstheme="minorHAnsi"/>
          <w:b/>
          <w:bCs/>
          <w:kern w:val="36"/>
          <w:sz w:val="24"/>
          <w:szCs w:val="24"/>
          <w:lang w:val="en-US"/>
        </w:rPr>
        <w:lastRenderedPageBreak/>
        <w:t>Literature Review</w:t>
      </w:r>
      <w:r w:rsidRPr="00B70ABC">
        <w:rPr>
          <w:rFonts w:eastAsia="Times New Roman" w:cstheme="minorHAnsi"/>
          <w:b/>
          <w:bCs/>
          <w:kern w:val="36"/>
          <w:sz w:val="24"/>
          <w:szCs w:val="24"/>
          <w:lang w:val="en-US"/>
        </w:rPr>
        <w:br/>
      </w:r>
      <w:r w:rsidR="00E0423B" w:rsidRPr="00B70ABC">
        <w:rPr>
          <w:rFonts w:eastAsia="Times New Roman" w:cstheme="minorHAnsi"/>
          <w:b/>
          <w:bCs/>
          <w:kern w:val="36"/>
          <w:sz w:val="24"/>
          <w:szCs w:val="24"/>
          <w:lang w:val="en-US"/>
        </w:rPr>
        <w:t xml:space="preserve">Re-Engaging Disengaged Learners in Further Education: </w:t>
      </w:r>
      <w:r w:rsidR="00C63971">
        <w:rPr>
          <w:rFonts w:eastAsia="Times New Roman" w:cstheme="minorHAnsi"/>
          <w:b/>
          <w:bCs/>
          <w:kern w:val="36"/>
          <w:sz w:val="24"/>
          <w:szCs w:val="24"/>
          <w:lang w:val="en-US"/>
        </w:rPr>
        <w:br/>
      </w:r>
      <w:r w:rsidR="00E0423B" w:rsidRPr="00B70ABC">
        <w:rPr>
          <w:rFonts w:eastAsia="Times New Roman" w:cstheme="minorHAnsi"/>
          <w:b/>
          <w:bCs/>
          <w:kern w:val="36"/>
          <w:sz w:val="24"/>
          <w:szCs w:val="24"/>
          <w:lang w:val="en-US"/>
        </w:rPr>
        <w:t>Theoretical Perspectives and Evidence-Based Strategies</w:t>
      </w:r>
    </w:p>
    <w:p w14:paraId="43244C3B" w14:textId="77777777" w:rsidR="00E0423B" w:rsidRPr="00B70ABC" w:rsidRDefault="00E0423B" w:rsidP="00B70ABC">
      <w:pPr>
        <w:spacing w:before="100" w:beforeAutospacing="1" w:after="100" w:afterAutospacing="1" w:line="360" w:lineRule="auto"/>
        <w:jc w:val="both"/>
        <w:outlineLvl w:val="1"/>
        <w:rPr>
          <w:rFonts w:eastAsia="Times New Roman" w:cstheme="minorHAnsi"/>
          <w:b/>
          <w:bCs/>
          <w:sz w:val="24"/>
          <w:szCs w:val="24"/>
          <w:lang w:val="en-US"/>
        </w:rPr>
      </w:pPr>
      <w:r w:rsidRPr="00B70ABC">
        <w:rPr>
          <w:rFonts w:eastAsia="Times New Roman" w:cstheme="minorHAnsi"/>
          <w:b/>
          <w:bCs/>
          <w:sz w:val="24"/>
          <w:szCs w:val="24"/>
          <w:lang w:val="en-US"/>
        </w:rPr>
        <w:t>Introduction to the Literature Review</w:t>
      </w:r>
    </w:p>
    <w:p w14:paraId="628D4002"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Learner disengagement is a widespread challenge in Further Education (FE), particularly among students who have struggled in traditional academic settings. Disengagement manifests in multiple ways, including low motivation, inconsistent attendance, lack of participation, and poor academic performance, all of which contribute to high dropout rates and limited social mobility (Fredricks, Blumenfeld, &amp; Paris, 2004). In order to address this issue, it is crucial to explore both the root causes of disengagement and the teaching interventions that have been effective in supporting learners who are at risk of educational failure.</w:t>
      </w:r>
    </w:p>
    <w:p w14:paraId="5FDD7EFE"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This literature review critically examines existing research on learner disengagement in FE, assessing both theoretical perspectives and practical strategies designed to re-engage students. By integrating key theoretical frameworks with experiential evidence, this review offers an in-depth examination of disengagement and proposes ways to foster more inclusive and effective learning environments in FE.</w:t>
      </w:r>
    </w:p>
    <w:p w14:paraId="4F5DB030" w14:textId="452CAE3A" w:rsidR="00E0423B" w:rsidRPr="00B70ABC" w:rsidRDefault="00E0423B" w:rsidP="00B70ABC">
      <w:pPr>
        <w:spacing w:after="0" w:line="360" w:lineRule="auto"/>
        <w:jc w:val="both"/>
        <w:rPr>
          <w:rFonts w:eastAsia="Times New Roman" w:cstheme="minorHAnsi"/>
          <w:sz w:val="24"/>
          <w:szCs w:val="24"/>
          <w:lang w:val="en-US"/>
        </w:rPr>
      </w:pPr>
    </w:p>
    <w:p w14:paraId="583CFA14" w14:textId="77777777" w:rsidR="00E0423B" w:rsidRPr="00B70ABC" w:rsidRDefault="00E0423B" w:rsidP="00B70ABC">
      <w:pPr>
        <w:spacing w:before="100" w:beforeAutospacing="1" w:after="100" w:afterAutospacing="1" w:line="360" w:lineRule="auto"/>
        <w:jc w:val="both"/>
        <w:outlineLvl w:val="1"/>
        <w:rPr>
          <w:rFonts w:eastAsia="Times New Roman" w:cstheme="minorHAnsi"/>
          <w:b/>
          <w:bCs/>
          <w:sz w:val="24"/>
          <w:szCs w:val="24"/>
          <w:lang w:val="en-US"/>
        </w:rPr>
      </w:pPr>
      <w:r w:rsidRPr="00B70ABC">
        <w:rPr>
          <w:rFonts w:eastAsia="Times New Roman" w:cstheme="minorHAnsi"/>
          <w:b/>
          <w:bCs/>
          <w:sz w:val="24"/>
          <w:szCs w:val="24"/>
          <w:lang w:val="en-US"/>
        </w:rPr>
        <w:t>Overview of Investigated Literature</w:t>
      </w:r>
    </w:p>
    <w:p w14:paraId="3652A689"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Several foundational works provide a theoretical basis for understanding disengagement and its solutions. </w:t>
      </w:r>
      <w:r w:rsidRPr="00B70ABC">
        <w:rPr>
          <w:rFonts w:eastAsia="Times New Roman" w:cstheme="minorHAnsi"/>
          <w:bCs/>
          <w:sz w:val="24"/>
          <w:szCs w:val="24"/>
          <w:lang w:val="en-US"/>
        </w:rPr>
        <w:t xml:space="preserve">John Dewey’s (1938) </w:t>
      </w:r>
      <w:r w:rsidRPr="00B70ABC">
        <w:rPr>
          <w:rFonts w:eastAsia="Times New Roman" w:cstheme="minorHAnsi"/>
          <w:bCs/>
          <w:i/>
          <w:iCs/>
          <w:sz w:val="24"/>
          <w:szCs w:val="24"/>
          <w:lang w:val="en-US"/>
        </w:rPr>
        <w:t>Experience and Education</w:t>
      </w:r>
      <w:r w:rsidRPr="00B70ABC">
        <w:rPr>
          <w:rFonts w:eastAsia="Times New Roman" w:cstheme="minorHAnsi"/>
          <w:sz w:val="24"/>
          <w:szCs w:val="24"/>
          <w:lang w:val="en-US"/>
        </w:rPr>
        <w:t xml:space="preserve"> advocates for student-</w:t>
      </w:r>
      <w:proofErr w:type="spellStart"/>
      <w:r w:rsidRPr="00B70ABC">
        <w:rPr>
          <w:rFonts w:eastAsia="Times New Roman" w:cstheme="minorHAnsi"/>
          <w:sz w:val="24"/>
          <w:szCs w:val="24"/>
          <w:lang w:val="en-US"/>
        </w:rPr>
        <w:t>centred</w:t>
      </w:r>
      <w:proofErr w:type="spellEnd"/>
      <w:r w:rsidRPr="00B70ABC">
        <w:rPr>
          <w:rFonts w:eastAsia="Times New Roman" w:cstheme="minorHAnsi"/>
          <w:sz w:val="24"/>
          <w:szCs w:val="24"/>
          <w:lang w:val="en-US"/>
        </w:rPr>
        <w:t xml:space="preserve">, experiential learning, arguing that traditional, rigid education systems often alienate learners by failing to connect with their lived experiences. This aligns with </w:t>
      </w:r>
      <w:r w:rsidRPr="00B70ABC">
        <w:rPr>
          <w:rFonts w:eastAsia="Times New Roman" w:cstheme="minorHAnsi"/>
          <w:bCs/>
          <w:sz w:val="24"/>
          <w:szCs w:val="24"/>
          <w:lang w:val="en-US"/>
        </w:rPr>
        <w:t>Kolb’s (1984) experiential learning theory</w:t>
      </w:r>
      <w:r w:rsidRPr="00B70ABC">
        <w:rPr>
          <w:rFonts w:eastAsia="Times New Roman" w:cstheme="minorHAnsi"/>
          <w:sz w:val="24"/>
          <w:szCs w:val="24"/>
          <w:lang w:val="en-US"/>
        </w:rPr>
        <w:t xml:space="preserve">, which </w:t>
      </w:r>
      <w:proofErr w:type="spellStart"/>
      <w:r w:rsidRPr="00B70ABC">
        <w:rPr>
          <w:rFonts w:eastAsia="Times New Roman" w:cstheme="minorHAnsi"/>
          <w:sz w:val="24"/>
          <w:szCs w:val="24"/>
          <w:lang w:val="en-US"/>
        </w:rPr>
        <w:t>emphasises</w:t>
      </w:r>
      <w:proofErr w:type="spellEnd"/>
      <w:r w:rsidRPr="00B70ABC">
        <w:rPr>
          <w:rFonts w:eastAsia="Times New Roman" w:cstheme="minorHAnsi"/>
          <w:sz w:val="24"/>
          <w:szCs w:val="24"/>
          <w:lang w:val="en-US"/>
        </w:rPr>
        <w:t xml:space="preserve"> that students learn best through active engagement and reflection rather than passive knowledge absorption. </w:t>
      </w:r>
    </w:p>
    <w:p w14:paraId="6E6D98BD" w14:textId="3FF1DDE8"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bCs/>
          <w:sz w:val="24"/>
          <w:szCs w:val="24"/>
          <w:lang w:val="en-US"/>
        </w:rPr>
        <w:lastRenderedPageBreak/>
        <w:t xml:space="preserve">Carol Dweck’s (2006) </w:t>
      </w:r>
      <w:r w:rsidRPr="00B70ABC">
        <w:rPr>
          <w:rFonts w:eastAsia="Times New Roman" w:cstheme="minorHAnsi"/>
          <w:bCs/>
          <w:i/>
          <w:iCs/>
          <w:sz w:val="24"/>
          <w:szCs w:val="24"/>
          <w:lang w:val="en-US"/>
        </w:rPr>
        <w:t>Mindset: The New Psychology of Success</w:t>
      </w:r>
      <w:r w:rsidRPr="00B70ABC">
        <w:rPr>
          <w:rFonts w:eastAsia="Times New Roman" w:cstheme="minorHAnsi"/>
          <w:sz w:val="24"/>
          <w:szCs w:val="24"/>
          <w:lang w:val="en-US"/>
        </w:rPr>
        <w:t xml:space="preserve"> is also instrumental in understanding disengagement. Her research highlights how students’ beliefs about intelligence and ability affect their motivation. Contemporary studies build on these theories by exploring their application in FE. </w:t>
      </w:r>
      <w:r w:rsidRPr="00B70ABC">
        <w:rPr>
          <w:rFonts w:eastAsia="Times New Roman" w:cstheme="minorHAnsi"/>
          <w:bCs/>
          <w:sz w:val="24"/>
          <w:szCs w:val="24"/>
          <w:lang w:val="en-US"/>
        </w:rPr>
        <w:t xml:space="preserve">Hattie’s (2008) </w:t>
      </w:r>
      <w:r w:rsidRPr="00B70ABC">
        <w:rPr>
          <w:rFonts w:eastAsia="Times New Roman" w:cstheme="minorHAnsi"/>
          <w:bCs/>
          <w:i/>
          <w:iCs/>
          <w:sz w:val="24"/>
          <w:szCs w:val="24"/>
          <w:lang w:val="en-US"/>
        </w:rPr>
        <w:t>Visible Learning</w:t>
      </w:r>
      <w:r w:rsidRPr="00B70ABC">
        <w:rPr>
          <w:rFonts w:eastAsia="Times New Roman" w:cstheme="minorHAnsi"/>
          <w:sz w:val="24"/>
          <w:szCs w:val="24"/>
          <w:lang w:val="en-US"/>
        </w:rPr>
        <w:t xml:space="preserve"> </w:t>
      </w:r>
      <w:proofErr w:type="spellStart"/>
      <w:r w:rsidRPr="00B70ABC">
        <w:rPr>
          <w:rFonts w:eastAsia="Times New Roman" w:cstheme="minorHAnsi"/>
          <w:sz w:val="24"/>
          <w:szCs w:val="24"/>
          <w:lang w:val="en-US"/>
        </w:rPr>
        <w:t>synthesises</w:t>
      </w:r>
      <w:proofErr w:type="spellEnd"/>
      <w:r w:rsidRPr="00B70ABC">
        <w:rPr>
          <w:rFonts w:eastAsia="Times New Roman" w:cstheme="minorHAnsi"/>
          <w:sz w:val="24"/>
          <w:szCs w:val="24"/>
          <w:lang w:val="en-US"/>
        </w:rPr>
        <w:t xml:space="preserve"> research on what works in education, highlighting the importance of teacher clarity, feedback, and formative assessment in fostering engagement. Meanwhile, </w:t>
      </w:r>
      <w:r w:rsidRPr="00B70ABC">
        <w:rPr>
          <w:rFonts w:eastAsia="Times New Roman" w:cstheme="minorHAnsi"/>
          <w:bCs/>
          <w:sz w:val="24"/>
          <w:szCs w:val="24"/>
          <w:lang w:val="en-US"/>
        </w:rPr>
        <w:t xml:space="preserve">Mitchell and Sutherland’s (2020) </w:t>
      </w:r>
      <w:r w:rsidRPr="00B70ABC">
        <w:rPr>
          <w:rFonts w:eastAsia="Times New Roman" w:cstheme="minorHAnsi"/>
          <w:bCs/>
          <w:i/>
          <w:iCs/>
          <w:sz w:val="24"/>
          <w:szCs w:val="24"/>
          <w:lang w:val="en-US"/>
        </w:rPr>
        <w:t>What Really Works in Special and Inclusive Education</w:t>
      </w:r>
      <w:r w:rsidRPr="00B70ABC">
        <w:rPr>
          <w:rFonts w:eastAsia="Times New Roman" w:cstheme="minorHAnsi"/>
          <w:sz w:val="24"/>
          <w:szCs w:val="24"/>
          <w:lang w:val="en-US"/>
        </w:rPr>
        <w:t xml:space="preserve"> outlines practical engagement strategies for diverse learners, supporting the idea that student-responsive teaching is crucial. </w:t>
      </w:r>
    </w:p>
    <w:p w14:paraId="7D898EC1"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Other research has examined how teacher-student relationships influence engagement. </w:t>
      </w:r>
      <w:r w:rsidRPr="00B70ABC">
        <w:rPr>
          <w:rFonts w:eastAsia="Times New Roman" w:cstheme="minorHAnsi"/>
          <w:bCs/>
          <w:sz w:val="24"/>
          <w:szCs w:val="24"/>
          <w:lang w:val="en-US"/>
        </w:rPr>
        <w:t>Gibbs and Powell (2012)</w:t>
      </w:r>
      <w:r w:rsidRPr="00B70ABC">
        <w:rPr>
          <w:rFonts w:eastAsia="Times New Roman" w:cstheme="minorHAnsi"/>
          <w:sz w:val="24"/>
          <w:szCs w:val="24"/>
          <w:lang w:val="en-US"/>
        </w:rPr>
        <w:t xml:space="preserve"> found that learners respond positively to teachers who demonstrate care, empathy, and belief in their potential. Similarly, </w:t>
      </w:r>
      <w:r w:rsidRPr="00B70ABC">
        <w:rPr>
          <w:rFonts w:eastAsia="Times New Roman" w:cstheme="minorHAnsi"/>
          <w:bCs/>
          <w:sz w:val="24"/>
          <w:szCs w:val="24"/>
          <w:lang w:val="en-US"/>
        </w:rPr>
        <w:t xml:space="preserve">Hu (2023) and </w:t>
      </w:r>
      <w:proofErr w:type="spellStart"/>
      <w:r w:rsidRPr="00B70ABC">
        <w:rPr>
          <w:rFonts w:eastAsia="Times New Roman" w:cstheme="minorHAnsi"/>
          <w:bCs/>
          <w:sz w:val="24"/>
          <w:szCs w:val="24"/>
          <w:lang w:val="en-US"/>
        </w:rPr>
        <w:t>Licorish</w:t>
      </w:r>
      <w:proofErr w:type="spellEnd"/>
      <w:r w:rsidRPr="00B70ABC">
        <w:rPr>
          <w:rFonts w:eastAsia="Times New Roman" w:cstheme="minorHAnsi"/>
          <w:bCs/>
          <w:sz w:val="24"/>
          <w:szCs w:val="24"/>
          <w:lang w:val="en-US"/>
        </w:rPr>
        <w:t xml:space="preserve"> et al. (2018)</w:t>
      </w:r>
      <w:r w:rsidRPr="00B70ABC">
        <w:rPr>
          <w:rFonts w:eastAsia="Times New Roman" w:cstheme="minorHAnsi"/>
          <w:sz w:val="24"/>
          <w:szCs w:val="24"/>
          <w:lang w:val="en-US"/>
        </w:rPr>
        <w:t xml:space="preserve"> highlight how </w:t>
      </w:r>
      <w:proofErr w:type="spellStart"/>
      <w:r w:rsidRPr="00B70ABC">
        <w:rPr>
          <w:rFonts w:eastAsia="Times New Roman" w:cstheme="minorHAnsi"/>
          <w:sz w:val="24"/>
          <w:szCs w:val="24"/>
          <w:lang w:val="en-US"/>
        </w:rPr>
        <w:t>personalised</w:t>
      </w:r>
      <w:proofErr w:type="spellEnd"/>
      <w:r w:rsidRPr="00B70ABC">
        <w:rPr>
          <w:rFonts w:eastAsia="Times New Roman" w:cstheme="minorHAnsi"/>
          <w:sz w:val="24"/>
          <w:szCs w:val="24"/>
          <w:lang w:val="en-US"/>
        </w:rPr>
        <w:t xml:space="preserve"> feedback can significantly improve student participation. </w:t>
      </w:r>
    </w:p>
    <w:p w14:paraId="21368B4F" w14:textId="5E24C75A" w:rsidR="00E0423B" w:rsidRPr="00B70ABC" w:rsidRDefault="00E0423B" w:rsidP="00B70ABC">
      <w:pPr>
        <w:spacing w:after="0" w:line="360" w:lineRule="auto"/>
        <w:jc w:val="both"/>
        <w:rPr>
          <w:rFonts w:eastAsia="Times New Roman" w:cstheme="minorHAnsi"/>
          <w:sz w:val="24"/>
          <w:szCs w:val="24"/>
          <w:lang w:val="en-US"/>
        </w:rPr>
      </w:pPr>
    </w:p>
    <w:p w14:paraId="284A2E39" w14:textId="45A79746" w:rsidR="00E0423B" w:rsidRPr="00B70ABC" w:rsidRDefault="00E0423B" w:rsidP="00B70ABC">
      <w:pPr>
        <w:spacing w:before="100" w:beforeAutospacing="1" w:after="100" w:afterAutospacing="1" w:line="360" w:lineRule="auto"/>
        <w:outlineLvl w:val="1"/>
        <w:rPr>
          <w:rFonts w:eastAsia="Times New Roman" w:cstheme="minorHAnsi"/>
          <w:b/>
          <w:bCs/>
          <w:sz w:val="24"/>
          <w:szCs w:val="24"/>
          <w:lang w:val="en-US"/>
        </w:rPr>
      </w:pPr>
      <w:r w:rsidRPr="00B70ABC">
        <w:rPr>
          <w:rFonts w:eastAsia="Times New Roman" w:cstheme="minorHAnsi"/>
          <w:b/>
          <w:bCs/>
          <w:sz w:val="24"/>
          <w:szCs w:val="24"/>
          <w:lang w:val="en-US"/>
        </w:rPr>
        <w:t>Key Concepts and Findings</w:t>
      </w:r>
      <w:r w:rsidR="006A2651" w:rsidRPr="00B70ABC">
        <w:rPr>
          <w:rFonts w:eastAsia="Times New Roman" w:cstheme="minorHAnsi"/>
          <w:b/>
          <w:bCs/>
          <w:sz w:val="24"/>
          <w:szCs w:val="24"/>
          <w:lang w:val="en-US"/>
        </w:rPr>
        <w:br/>
      </w:r>
      <w:r w:rsidRPr="00B70ABC">
        <w:rPr>
          <w:rFonts w:eastAsia="Times New Roman" w:cstheme="minorHAnsi"/>
          <w:b/>
          <w:bCs/>
          <w:sz w:val="24"/>
          <w:szCs w:val="24"/>
          <w:lang w:val="en-US"/>
        </w:rPr>
        <w:t>Factors Contributing to Learner Disengagement</w:t>
      </w:r>
    </w:p>
    <w:p w14:paraId="40DC1168" w14:textId="77777777" w:rsidR="00E0423B" w:rsidRPr="00B70ABC" w:rsidRDefault="00E0423B" w:rsidP="00B70ABC">
      <w:pPr>
        <w:spacing w:before="100" w:beforeAutospacing="1" w:after="100" w:afterAutospacing="1" w:line="360" w:lineRule="auto"/>
        <w:jc w:val="both"/>
        <w:outlineLvl w:val="3"/>
        <w:rPr>
          <w:rFonts w:eastAsia="Times New Roman" w:cstheme="minorHAnsi"/>
          <w:bCs/>
          <w:sz w:val="24"/>
          <w:szCs w:val="24"/>
          <w:u w:val="single"/>
          <w:lang w:val="en-US"/>
        </w:rPr>
      </w:pPr>
      <w:r w:rsidRPr="00B70ABC">
        <w:rPr>
          <w:rFonts w:eastAsia="Times New Roman" w:cstheme="minorHAnsi"/>
          <w:bCs/>
          <w:sz w:val="24"/>
          <w:szCs w:val="24"/>
          <w:u w:val="single"/>
          <w:lang w:val="en-US"/>
        </w:rPr>
        <w:t>The Impact of Past Educational Experiences</w:t>
      </w:r>
    </w:p>
    <w:p w14:paraId="55948E4F"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Research consistently demonstrates that negative prior schooling experiences contribute to disengagement in FE (Fredricks et al., 2004). Many learners have been conditioned to see education as an uninspiring or even hostile environment due to rigid disciplinary structures, limited autonomy, and exam-focused instruction (Dewey, 1938). For these students, transitioning into FE presents an opportunity for re-engagement, but only if their learning experiences are meaningfully different from those that previously led to disengagement. This links to Research Question 1, as it highlights the need to address past academic trauma through innovative teaching practices.</w:t>
      </w:r>
    </w:p>
    <w:p w14:paraId="3F244A23"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In particular, students who have struggled in compulsory education often develop </w:t>
      </w:r>
      <w:r w:rsidRPr="00B70ABC">
        <w:rPr>
          <w:rFonts w:eastAsia="Times New Roman" w:cstheme="minorHAnsi"/>
          <w:bCs/>
          <w:sz w:val="24"/>
          <w:szCs w:val="24"/>
          <w:lang w:val="en-US"/>
        </w:rPr>
        <w:t>self-defeating attitudes</w:t>
      </w:r>
      <w:r w:rsidRPr="00B70ABC">
        <w:rPr>
          <w:rFonts w:eastAsia="Times New Roman" w:cstheme="minorHAnsi"/>
          <w:sz w:val="24"/>
          <w:szCs w:val="24"/>
          <w:lang w:val="en-US"/>
        </w:rPr>
        <w:t xml:space="preserve"> towards learning. This can lead to a lack of confidence in their abilities and reluctance </w:t>
      </w:r>
      <w:r w:rsidRPr="00B70ABC">
        <w:rPr>
          <w:rFonts w:eastAsia="Times New Roman" w:cstheme="minorHAnsi"/>
          <w:sz w:val="24"/>
          <w:szCs w:val="24"/>
          <w:lang w:val="en-US"/>
        </w:rPr>
        <w:lastRenderedPageBreak/>
        <w:t xml:space="preserve">to participate in further education. Research by Mitchell and Sutherland (2020) suggests that FE institutions need to implement structured interventions to rebuild students' confidence, such as mentoring </w:t>
      </w:r>
      <w:proofErr w:type="spellStart"/>
      <w:r w:rsidRPr="00B70ABC">
        <w:rPr>
          <w:rFonts w:eastAsia="Times New Roman" w:cstheme="minorHAnsi"/>
          <w:sz w:val="24"/>
          <w:szCs w:val="24"/>
          <w:lang w:val="en-US"/>
        </w:rPr>
        <w:t>programmes</w:t>
      </w:r>
      <w:proofErr w:type="spellEnd"/>
      <w:r w:rsidRPr="00B70ABC">
        <w:rPr>
          <w:rFonts w:eastAsia="Times New Roman" w:cstheme="minorHAnsi"/>
          <w:sz w:val="24"/>
          <w:szCs w:val="24"/>
          <w:lang w:val="en-US"/>
        </w:rPr>
        <w:t>, tailored support services, and targeted pedagogical approaches that acknowledge and validate previous struggles.</w:t>
      </w:r>
    </w:p>
    <w:p w14:paraId="6E3CE798" w14:textId="77777777" w:rsidR="00E0423B" w:rsidRPr="00B70ABC" w:rsidRDefault="00E0423B" w:rsidP="00B70ABC">
      <w:pPr>
        <w:spacing w:before="100" w:beforeAutospacing="1" w:after="100" w:afterAutospacing="1" w:line="360" w:lineRule="auto"/>
        <w:jc w:val="both"/>
        <w:outlineLvl w:val="3"/>
        <w:rPr>
          <w:rFonts w:eastAsia="Times New Roman" w:cstheme="minorHAnsi"/>
          <w:bCs/>
          <w:sz w:val="24"/>
          <w:szCs w:val="24"/>
          <w:u w:val="single"/>
          <w:lang w:val="en-US"/>
        </w:rPr>
      </w:pPr>
      <w:r w:rsidRPr="00B70ABC">
        <w:rPr>
          <w:rFonts w:eastAsia="Times New Roman" w:cstheme="minorHAnsi"/>
          <w:bCs/>
          <w:sz w:val="24"/>
          <w:szCs w:val="24"/>
          <w:u w:val="single"/>
          <w:lang w:val="en-US"/>
        </w:rPr>
        <w:t>Socioeconomic and Psychological Barriers</w:t>
      </w:r>
    </w:p>
    <w:p w14:paraId="318DABFA" w14:textId="4FCAE77F"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Economic disadvantage, mental health issues, and lack of familial support significantly contribute to disengagement. </w:t>
      </w:r>
      <w:r w:rsidRPr="006153A5">
        <w:rPr>
          <w:rFonts w:eastAsia="Times New Roman" w:cstheme="minorHAnsi"/>
          <w:sz w:val="24"/>
          <w:szCs w:val="24"/>
          <w:lang w:val="en-US"/>
        </w:rPr>
        <w:t>Learners from low-income backgrounds often face additional responsibilities, such as employment or caregiving duties, which can affect attendance and academic performance. Furthermore, mental health concerns such as anxiety and low self-esteem can further isolate learners</w:t>
      </w:r>
      <w:r w:rsidR="006153A5" w:rsidRPr="006153A5">
        <w:rPr>
          <w:rFonts w:eastAsia="Times New Roman" w:cstheme="minorHAnsi"/>
          <w:sz w:val="24"/>
          <w:szCs w:val="24"/>
          <w:lang w:val="en-US"/>
        </w:rPr>
        <w:t xml:space="preserve"> (Goodman &amp; </w:t>
      </w:r>
      <w:proofErr w:type="spellStart"/>
      <w:r w:rsidR="006153A5" w:rsidRPr="006153A5">
        <w:rPr>
          <w:rFonts w:eastAsia="Times New Roman" w:cstheme="minorHAnsi"/>
          <w:sz w:val="24"/>
          <w:szCs w:val="24"/>
          <w:lang w:val="en-US"/>
        </w:rPr>
        <w:t>Beenen</w:t>
      </w:r>
      <w:proofErr w:type="spellEnd"/>
      <w:r w:rsidR="006153A5" w:rsidRPr="006153A5">
        <w:rPr>
          <w:rFonts w:eastAsia="Times New Roman" w:cstheme="minorHAnsi"/>
          <w:sz w:val="24"/>
          <w:szCs w:val="24"/>
          <w:lang w:val="en-US"/>
        </w:rPr>
        <w:t>, 2008)</w:t>
      </w:r>
      <w:r w:rsidRPr="006153A5">
        <w:rPr>
          <w:rFonts w:eastAsia="Times New Roman" w:cstheme="minorHAnsi"/>
          <w:sz w:val="24"/>
          <w:szCs w:val="24"/>
          <w:lang w:val="en-US"/>
        </w:rPr>
        <w:t>. These</w:t>
      </w:r>
      <w:r w:rsidRPr="00B70ABC">
        <w:rPr>
          <w:rFonts w:eastAsia="Times New Roman" w:cstheme="minorHAnsi"/>
          <w:sz w:val="24"/>
          <w:szCs w:val="24"/>
          <w:lang w:val="en-US"/>
        </w:rPr>
        <w:t xml:space="preserve"> challenges reinforce the need for holistic, student-</w:t>
      </w:r>
      <w:proofErr w:type="spellStart"/>
      <w:r w:rsidRPr="00B70ABC">
        <w:rPr>
          <w:rFonts w:eastAsia="Times New Roman" w:cstheme="minorHAnsi"/>
          <w:sz w:val="24"/>
          <w:szCs w:val="24"/>
          <w:lang w:val="en-US"/>
        </w:rPr>
        <w:t>centred</w:t>
      </w:r>
      <w:proofErr w:type="spellEnd"/>
      <w:r w:rsidRPr="00B70ABC">
        <w:rPr>
          <w:rFonts w:eastAsia="Times New Roman" w:cstheme="minorHAnsi"/>
          <w:sz w:val="24"/>
          <w:szCs w:val="24"/>
          <w:lang w:val="en-US"/>
        </w:rPr>
        <w:t xml:space="preserve"> interventions, directly informing Research Question 1.</w:t>
      </w:r>
    </w:p>
    <w:p w14:paraId="230B761B"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A crucial aspect of this issue is </w:t>
      </w:r>
      <w:r w:rsidRPr="00B70ABC">
        <w:rPr>
          <w:rFonts w:eastAsia="Times New Roman" w:cstheme="minorHAnsi"/>
          <w:bCs/>
          <w:sz w:val="24"/>
          <w:szCs w:val="24"/>
          <w:lang w:val="en-US"/>
        </w:rPr>
        <w:t>financial instability</w:t>
      </w:r>
      <w:r w:rsidRPr="00B70ABC">
        <w:rPr>
          <w:rFonts w:eastAsia="Times New Roman" w:cstheme="minorHAnsi"/>
          <w:sz w:val="24"/>
          <w:szCs w:val="24"/>
          <w:lang w:val="en-US"/>
        </w:rPr>
        <w:t>, which is often overlooked in discussions about student engagement. Learners who experience financial hardship may be unable to afford study materials, transportation, or even basic necessities, which can impact their ability to focus and succeed in education (Levy, 2008). Institutions need to ensure that financial support mechanisms, such as bursaries or hardship funds, are easily accessible and well-</w:t>
      </w:r>
      <w:proofErr w:type="spellStart"/>
      <w:r w:rsidRPr="00B70ABC">
        <w:rPr>
          <w:rFonts w:eastAsia="Times New Roman" w:cstheme="minorHAnsi"/>
          <w:sz w:val="24"/>
          <w:szCs w:val="24"/>
          <w:lang w:val="en-US"/>
        </w:rPr>
        <w:t>publicised</w:t>
      </w:r>
      <w:proofErr w:type="spellEnd"/>
      <w:r w:rsidRPr="00B70ABC">
        <w:rPr>
          <w:rFonts w:eastAsia="Times New Roman" w:cstheme="minorHAnsi"/>
          <w:sz w:val="24"/>
          <w:szCs w:val="24"/>
          <w:lang w:val="en-US"/>
        </w:rPr>
        <w:t xml:space="preserve"> to help alleviate these pressures.</w:t>
      </w:r>
    </w:p>
    <w:p w14:paraId="09BEACF3" w14:textId="77777777" w:rsidR="00E0423B" w:rsidRPr="00B70ABC" w:rsidRDefault="00E0423B" w:rsidP="00B70ABC">
      <w:pPr>
        <w:spacing w:before="100" w:beforeAutospacing="1" w:after="100" w:afterAutospacing="1" w:line="360" w:lineRule="auto"/>
        <w:jc w:val="both"/>
        <w:outlineLvl w:val="3"/>
        <w:rPr>
          <w:rFonts w:eastAsia="Times New Roman" w:cstheme="minorHAnsi"/>
          <w:bCs/>
          <w:sz w:val="24"/>
          <w:szCs w:val="24"/>
          <w:u w:val="single"/>
          <w:lang w:val="en-US"/>
        </w:rPr>
      </w:pPr>
      <w:r w:rsidRPr="00B70ABC">
        <w:rPr>
          <w:rFonts w:eastAsia="Times New Roman" w:cstheme="minorHAnsi"/>
          <w:bCs/>
          <w:sz w:val="24"/>
          <w:szCs w:val="24"/>
          <w:u w:val="single"/>
          <w:lang w:val="en-US"/>
        </w:rPr>
        <w:t>Mismatch Between Teaching Methods and Learning Preferences</w:t>
      </w:r>
    </w:p>
    <w:p w14:paraId="72FD9029"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Traditional teaching methods, which rely heavily on passive learning and </w:t>
      </w:r>
      <w:proofErr w:type="spellStart"/>
      <w:r w:rsidRPr="00B70ABC">
        <w:rPr>
          <w:rFonts w:eastAsia="Times New Roman" w:cstheme="minorHAnsi"/>
          <w:sz w:val="24"/>
          <w:szCs w:val="24"/>
          <w:lang w:val="en-US"/>
        </w:rPr>
        <w:t>memorisation</w:t>
      </w:r>
      <w:proofErr w:type="spellEnd"/>
      <w:r w:rsidRPr="00B70ABC">
        <w:rPr>
          <w:rFonts w:eastAsia="Times New Roman" w:cstheme="minorHAnsi"/>
          <w:sz w:val="24"/>
          <w:szCs w:val="24"/>
          <w:lang w:val="en-US"/>
        </w:rPr>
        <w:t>, fail to engage many FE learners (Kolb, 1984). Studies have shown that students are more likely to remain engaged when learning is active, hands-on, and directly relevant to their career aspirations (</w:t>
      </w:r>
      <w:proofErr w:type="spellStart"/>
      <w:r w:rsidRPr="00B70ABC">
        <w:rPr>
          <w:rFonts w:eastAsia="Times New Roman" w:cstheme="minorHAnsi"/>
          <w:sz w:val="24"/>
          <w:szCs w:val="24"/>
          <w:lang w:val="en-US"/>
        </w:rPr>
        <w:t>Adami</w:t>
      </w:r>
      <w:proofErr w:type="spellEnd"/>
      <w:r w:rsidRPr="00B70ABC">
        <w:rPr>
          <w:rFonts w:eastAsia="Times New Roman" w:cstheme="minorHAnsi"/>
          <w:sz w:val="24"/>
          <w:szCs w:val="24"/>
          <w:lang w:val="en-US"/>
        </w:rPr>
        <w:t>, 2004). This links to both Research Questions 1 and 2, as it highlights the necessity of adapting pedagogical methods to better align with student needs.</w:t>
      </w:r>
    </w:p>
    <w:p w14:paraId="04906358" w14:textId="68D1A2FC"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Furthermore, learners in FE settings often benefit from </w:t>
      </w:r>
      <w:r w:rsidRPr="00B70ABC">
        <w:rPr>
          <w:rFonts w:eastAsia="Times New Roman" w:cstheme="minorHAnsi"/>
          <w:bCs/>
          <w:sz w:val="24"/>
          <w:szCs w:val="24"/>
          <w:lang w:val="en-US"/>
        </w:rPr>
        <w:t>multimodal instruction</w:t>
      </w:r>
      <w:r w:rsidRPr="00B70ABC">
        <w:rPr>
          <w:rFonts w:eastAsia="Times New Roman" w:cstheme="minorHAnsi"/>
          <w:sz w:val="24"/>
          <w:szCs w:val="24"/>
          <w:lang w:val="en-US"/>
        </w:rPr>
        <w:t xml:space="preserve">. Tomlinson (2014) argues that differentiated instruction, where educators tailor their methods to suit different learning styles, is essential in reducing disengagement. Providing students with multiple ways to </w:t>
      </w:r>
      <w:r w:rsidRPr="00B70ABC">
        <w:rPr>
          <w:rFonts w:eastAsia="Times New Roman" w:cstheme="minorHAnsi"/>
          <w:sz w:val="24"/>
          <w:szCs w:val="24"/>
          <w:lang w:val="en-US"/>
        </w:rPr>
        <w:lastRenderedPageBreak/>
        <w:t>engage with the curriculum increases accessibility and fosters a sense of inclusion, directly addressing the barriers that many FE learners face.</w:t>
      </w:r>
    </w:p>
    <w:p w14:paraId="323FD08E" w14:textId="77777777" w:rsidR="00E0423B" w:rsidRPr="00B70ABC" w:rsidRDefault="00E0423B" w:rsidP="00B70ABC">
      <w:pPr>
        <w:spacing w:before="100" w:beforeAutospacing="1" w:after="100" w:afterAutospacing="1" w:line="360" w:lineRule="auto"/>
        <w:jc w:val="both"/>
        <w:outlineLvl w:val="3"/>
        <w:rPr>
          <w:rFonts w:eastAsia="Times New Roman" w:cstheme="minorHAnsi"/>
          <w:bCs/>
          <w:sz w:val="24"/>
          <w:szCs w:val="24"/>
          <w:u w:val="single"/>
          <w:lang w:val="en-US"/>
        </w:rPr>
      </w:pPr>
      <w:r w:rsidRPr="00B70ABC">
        <w:rPr>
          <w:rFonts w:eastAsia="Times New Roman" w:cstheme="minorHAnsi"/>
          <w:bCs/>
          <w:sz w:val="24"/>
          <w:szCs w:val="24"/>
          <w:u w:val="single"/>
          <w:lang w:val="en-US"/>
        </w:rPr>
        <w:t>The Importance of Classroom Environment and Relationships</w:t>
      </w:r>
    </w:p>
    <w:p w14:paraId="5530AA28"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The physical and social environment of the classroom plays a significant role in shaping learner engagement. Research has shown that </w:t>
      </w:r>
      <w:r w:rsidRPr="00B70ABC">
        <w:rPr>
          <w:rFonts w:eastAsia="Times New Roman" w:cstheme="minorHAnsi"/>
          <w:bCs/>
          <w:sz w:val="24"/>
          <w:szCs w:val="24"/>
          <w:lang w:val="en-US"/>
        </w:rPr>
        <w:t>classroom setup and teacher-student interactions</w:t>
      </w:r>
      <w:r w:rsidRPr="00B70ABC">
        <w:rPr>
          <w:rFonts w:eastAsia="Times New Roman" w:cstheme="minorHAnsi"/>
          <w:sz w:val="24"/>
          <w:szCs w:val="24"/>
          <w:lang w:val="en-US"/>
        </w:rPr>
        <w:t xml:space="preserve"> have a direct impact on motivation and participation (Gibbs &amp; Powell, 2012). When students feel valued and respected, they are more likely to invest effort in their studies.</w:t>
      </w:r>
    </w:p>
    <w:p w14:paraId="46FCA0D0"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A supportive classroom culture can be cultivated through the implementation of </w:t>
      </w:r>
      <w:r w:rsidRPr="00B70ABC">
        <w:rPr>
          <w:rFonts w:eastAsia="Times New Roman" w:cstheme="minorHAnsi"/>
          <w:bCs/>
          <w:sz w:val="24"/>
          <w:szCs w:val="24"/>
          <w:lang w:val="en-US"/>
        </w:rPr>
        <w:t>positive reinforcement, clear expectations, and student-led discussions</w:t>
      </w:r>
      <w:r w:rsidRPr="00B70ABC">
        <w:rPr>
          <w:rFonts w:eastAsia="Times New Roman" w:cstheme="minorHAnsi"/>
          <w:sz w:val="24"/>
          <w:szCs w:val="24"/>
          <w:lang w:val="en-US"/>
        </w:rPr>
        <w:t xml:space="preserve"> (Hu, 2023). These strategies not only encourage active learning but also promote a sense of belonging, which is particularly important for students who have experienced educational disengagement in the past.</w:t>
      </w:r>
    </w:p>
    <w:p w14:paraId="64B2350F"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F879F4">
        <w:rPr>
          <w:rFonts w:eastAsia="Times New Roman" w:cstheme="minorHAnsi"/>
          <w:sz w:val="24"/>
          <w:szCs w:val="24"/>
          <w:lang w:val="en-US"/>
        </w:rPr>
        <w:t>This finding is particularly relevant to Research Question 2, as it suggests that simple modifications to classroom environments—such as rearranging seating to encourage collaboration, introducing interactive learning activities, or fostering an atmosphere of mutual respect—can significantly improve engagement.</w:t>
      </w:r>
    </w:p>
    <w:p w14:paraId="23AA7710" w14:textId="77777777" w:rsidR="00E0423B" w:rsidRPr="00B70ABC" w:rsidRDefault="00E0423B" w:rsidP="00B70ABC">
      <w:pPr>
        <w:spacing w:after="0" w:line="360" w:lineRule="auto"/>
        <w:jc w:val="both"/>
        <w:rPr>
          <w:rFonts w:eastAsia="Times New Roman" w:cstheme="minorHAnsi"/>
          <w:sz w:val="24"/>
          <w:szCs w:val="24"/>
          <w:lang w:val="en-US"/>
        </w:rPr>
      </w:pPr>
    </w:p>
    <w:p w14:paraId="5DA668E4" w14:textId="77777777" w:rsidR="00E0423B" w:rsidRPr="00B70ABC" w:rsidRDefault="00E0423B" w:rsidP="00B70ABC">
      <w:pPr>
        <w:spacing w:before="100" w:beforeAutospacing="1" w:after="100" w:afterAutospacing="1" w:line="360" w:lineRule="auto"/>
        <w:jc w:val="both"/>
        <w:outlineLvl w:val="1"/>
        <w:rPr>
          <w:rFonts w:eastAsia="Times New Roman" w:cstheme="minorHAnsi"/>
          <w:b/>
          <w:bCs/>
          <w:sz w:val="24"/>
          <w:szCs w:val="24"/>
          <w:lang w:val="en-US"/>
        </w:rPr>
      </w:pPr>
      <w:r w:rsidRPr="00B70ABC">
        <w:rPr>
          <w:rFonts w:eastAsia="Times New Roman" w:cstheme="minorHAnsi"/>
          <w:b/>
          <w:bCs/>
          <w:sz w:val="24"/>
          <w:szCs w:val="24"/>
          <w:lang w:val="en-US"/>
        </w:rPr>
        <w:t>Debates, Conflicts, and Contradictions</w:t>
      </w:r>
    </w:p>
    <w:p w14:paraId="5412E8FD" w14:textId="77777777" w:rsidR="00E0423B" w:rsidRPr="00B70ABC" w:rsidRDefault="00E0423B" w:rsidP="00B70ABC">
      <w:pPr>
        <w:spacing w:before="100" w:beforeAutospacing="1" w:after="100" w:afterAutospacing="1" w:line="360" w:lineRule="auto"/>
        <w:jc w:val="both"/>
        <w:outlineLvl w:val="2"/>
        <w:rPr>
          <w:rFonts w:eastAsia="Times New Roman" w:cstheme="minorHAnsi"/>
          <w:bCs/>
          <w:sz w:val="24"/>
          <w:szCs w:val="24"/>
          <w:u w:val="single"/>
          <w:lang w:val="en-US"/>
        </w:rPr>
      </w:pPr>
      <w:proofErr w:type="spellStart"/>
      <w:r w:rsidRPr="00B70ABC">
        <w:rPr>
          <w:rFonts w:eastAsia="Times New Roman" w:cstheme="minorHAnsi"/>
          <w:bCs/>
          <w:sz w:val="24"/>
          <w:szCs w:val="24"/>
          <w:u w:val="single"/>
          <w:lang w:val="en-US"/>
        </w:rPr>
        <w:t>Standardisation</w:t>
      </w:r>
      <w:proofErr w:type="spellEnd"/>
      <w:r w:rsidRPr="00B70ABC">
        <w:rPr>
          <w:rFonts w:eastAsia="Times New Roman" w:cstheme="minorHAnsi"/>
          <w:bCs/>
          <w:sz w:val="24"/>
          <w:szCs w:val="24"/>
          <w:u w:val="single"/>
          <w:lang w:val="en-US"/>
        </w:rPr>
        <w:t xml:space="preserve"> vs. </w:t>
      </w:r>
      <w:proofErr w:type="spellStart"/>
      <w:r w:rsidRPr="00B70ABC">
        <w:rPr>
          <w:rFonts w:eastAsia="Times New Roman" w:cstheme="minorHAnsi"/>
          <w:bCs/>
          <w:sz w:val="24"/>
          <w:szCs w:val="24"/>
          <w:u w:val="single"/>
          <w:lang w:val="en-US"/>
        </w:rPr>
        <w:t>Personalisation</w:t>
      </w:r>
      <w:proofErr w:type="spellEnd"/>
    </w:p>
    <w:p w14:paraId="74811CE8" w14:textId="4D667B95"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A significant debate in FE concerns the balance between </w:t>
      </w:r>
      <w:proofErr w:type="spellStart"/>
      <w:r w:rsidRPr="00B70ABC">
        <w:rPr>
          <w:rFonts w:eastAsia="Times New Roman" w:cstheme="minorHAnsi"/>
          <w:sz w:val="24"/>
          <w:szCs w:val="24"/>
          <w:lang w:val="en-US"/>
        </w:rPr>
        <w:t>standardised</w:t>
      </w:r>
      <w:proofErr w:type="spellEnd"/>
      <w:r w:rsidRPr="00B70ABC">
        <w:rPr>
          <w:rFonts w:eastAsia="Times New Roman" w:cstheme="minorHAnsi"/>
          <w:sz w:val="24"/>
          <w:szCs w:val="24"/>
          <w:lang w:val="en-US"/>
        </w:rPr>
        <w:t xml:space="preserve"> curricula and </w:t>
      </w:r>
      <w:proofErr w:type="spellStart"/>
      <w:r w:rsidRPr="00B70ABC">
        <w:rPr>
          <w:rFonts w:eastAsia="Times New Roman" w:cstheme="minorHAnsi"/>
          <w:sz w:val="24"/>
          <w:szCs w:val="24"/>
          <w:lang w:val="en-US"/>
        </w:rPr>
        <w:t>personalised</w:t>
      </w:r>
      <w:proofErr w:type="spellEnd"/>
      <w:r w:rsidRPr="00B70ABC">
        <w:rPr>
          <w:rFonts w:eastAsia="Times New Roman" w:cstheme="minorHAnsi"/>
          <w:sz w:val="24"/>
          <w:szCs w:val="24"/>
          <w:lang w:val="en-US"/>
        </w:rPr>
        <w:t xml:space="preserve"> learning approaches. While policymakers argue that </w:t>
      </w:r>
      <w:proofErr w:type="spellStart"/>
      <w:r w:rsidRPr="00B70ABC">
        <w:rPr>
          <w:rFonts w:eastAsia="Times New Roman" w:cstheme="minorHAnsi"/>
          <w:sz w:val="24"/>
          <w:szCs w:val="24"/>
          <w:lang w:val="en-US"/>
        </w:rPr>
        <w:t>standardisation</w:t>
      </w:r>
      <w:proofErr w:type="spellEnd"/>
      <w:r w:rsidRPr="00B70ABC">
        <w:rPr>
          <w:rFonts w:eastAsia="Times New Roman" w:cstheme="minorHAnsi"/>
          <w:sz w:val="24"/>
          <w:szCs w:val="24"/>
          <w:lang w:val="en-US"/>
        </w:rPr>
        <w:t xml:space="preserve"> ensures consistency and fairness, educators contend that rigid curricula limit differentiation and fail to engage diverse learners (Tomlinson, 2014). </w:t>
      </w:r>
    </w:p>
    <w:p w14:paraId="183ED8CF" w14:textId="77777777" w:rsidR="00E0423B" w:rsidRPr="00B70ABC" w:rsidRDefault="00E0423B" w:rsidP="00B70ABC">
      <w:pPr>
        <w:spacing w:before="100" w:beforeAutospacing="1" w:after="100" w:afterAutospacing="1" w:line="360" w:lineRule="auto"/>
        <w:jc w:val="both"/>
        <w:outlineLvl w:val="2"/>
        <w:rPr>
          <w:rFonts w:eastAsia="Times New Roman" w:cstheme="minorHAnsi"/>
          <w:bCs/>
          <w:sz w:val="24"/>
          <w:szCs w:val="24"/>
          <w:u w:val="single"/>
          <w:lang w:val="en-US"/>
        </w:rPr>
      </w:pPr>
      <w:r w:rsidRPr="00B70ABC">
        <w:rPr>
          <w:rFonts w:eastAsia="Times New Roman" w:cstheme="minorHAnsi"/>
          <w:bCs/>
          <w:sz w:val="24"/>
          <w:szCs w:val="24"/>
          <w:u w:val="single"/>
          <w:lang w:val="en-US"/>
        </w:rPr>
        <w:t>Technology as a Tool for Engagement or a Barrier?</w:t>
      </w:r>
    </w:p>
    <w:p w14:paraId="3E103FA9"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lastRenderedPageBreak/>
        <w:t>While digital platforms can enhance engagement (Hu, 2023), issues of accessibility and digital literacy present challenges (Sarkar, 2024). Not all students have equal access to technology, raising concerns about exacerbating existing inequalities. Research Question 3 is particularly relevant here, as institutions must consider equity when integrating technology into engagement strategies.</w:t>
      </w:r>
    </w:p>
    <w:p w14:paraId="106714A8" w14:textId="77777777" w:rsidR="00E0423B" w:rsidRPr="00B70ABC" w:rsidRDefault="00E0423B" w:rsidP="00B70ABC">
      <w:pPr>
        <w:spacing w:before="100" w:beforeAutospacing="1" w:after="100" w:afterAutospacing="1" w:line="360" w:lineRule="auto"/>
        <w:jc w:val="both"/>
        <w:outlineLvl w:val="2"/>
        <w:rPr>
          <w:rFonts w:eastAsia="Times New Roman" w:cstheme="minorHAnsi"/>
          <w:bCs/>
          <w:sz w:val="24"/>
          <w:szCs w:val="24"/>
          <w:u w:val="single"/>
          <w:lang w:val="en-US"/>
        </w:rPr>
      </w:pPr>
      <w:proofErr w:type="spellStart"/>
      <w:r w:rsidRPr="00B70ABC">
        <w:rPr>
          <w:rFonts w:eastAsia="Times New Roman" w:cstheme="minorHAnsi"/>
          <w:bCs/>
          <w:sz w:val="24"/>
          <w:szCs w:val="24"/>
          <w:u w:val="single"/>
          <w:lang w:val="en-US"/>
        </w:rPr>
        <w:t>Behavioural</w:t>
      </w:r>
      <w:proofErr w:type="spellEnd"/>
      <w:r w:rsidRPr="00B70ABC">
        <w:rPr>
          <w:rFonts w:eastAsia="Times New Roman" w:cstheme="minorHAnsi"/>
          <w:bCs/>
          <w:sz w:val="24"/>
          <w:szCs w:val="24"/>
          <w:u w:val="single"/>
          <w:lang w:val="en-US"/>
        </w:rPr>
        <w:t xml:space="preserve"> Interventions vs. Structural Change</w:t>
      </w:r>
    </w:p>
    <w:p w14:paraId="5D9037D6"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Some researchers argue that disengagement can be addressed by improving classroom </w:t>
      </w:r>
      <w:proofErr w:type="spellStart"/>
      <w:r w:rsidRPr="00B70ABC">
        <w:rPr>
          <w:rFonts w:eastAsia="Times New Roman" w:cstheme="minorHAnsi"/>
          <w:sz w:val="24"/>
          <w:szCs w:val="24"/>
          <w:lang w:val="en-US"/>
        </w:rPr>
        <w:t>behaviour</w:t>
      </w:r>
      <w:proofErr w:type="spellEnd"/>
      <w:r w:rsidRPr="00B70ABC">
        <w:rPr>
          <w:rFonts w:eastAsia="Times New Roman" w:cstheme="minorHAnsi"/>
          <w:sz w:val="24"/>
          <w:szCs w:val="24"/>
          <w:lang w:val="en-US"/>
        </w:rPr>
        <w:t xml:space="preserve"> management, while others advocate for systemic changes to educational structures (Hattie, 2008). This debate is central to Research Question 2, as it considers whether individual teacher practices or broader institutional reforms are more effective in sustaining engagement.</w:t>
      </w:r>
    </w:p>
    <w:p w14:paraId="00BAFF89" w14:textId="77777777" w:rsidR="00E0423B" w:rsidRPr="00B70ABC" w:rsidRDefault="00E0423B" w:rsidP="00B70ABC">
      <w:pPr>
        <w:spacing w:before="100" w:beforeAutospacing="1" w:after="100" w:afterAutospacing="1" w:line="360" w:lineRule="auto"/>
        <w:jc w:val="both"/>
        <w:outlineLvl w:val="2"/>
        <w:rPr>
          <w:rFonts w:eastAsia="Times New Roman" w:cstheme="minorHAnsi"/>
          <w:bCs/>
          <w:sz w:val="24"/>
          <w:szCs w:val="24"/>
          <w:u w:val="single"/>
          <w:lang w:val="en-US"/>
        </w:rPr>
      </w:pPr>
      <w:r w:rsidRPr="00B70ABC">
        <w:rPr>
          <w:rFonts w:eastAsia="Times New Roman" w:cstheme="minorHAnsi"/>
          <w:bCs/>
          <w:sz w:val="24"/>
          <w:szCs w:val="24"/>
          <w:u w:val="single"/>
          <w:lang w:val="en-US"/>
        </w:rPr>
        <w:t>Short-Term vs. Long-Term Engagement Strategies</w:t>
      </w:r>
    </w:p>
    <w:p w14:paraId="20E9E8BD" w14:textId="77777777" w:rsidR="00E0423B" w:rsidRPr="00B70ABC" w:rsidRDefault="00E0423B"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There is also disagreement over whether engagement strategies should focus on immediate classroom participation or long-term academic progression. While project-based learning may increase short-term motivation (Kolb, 1984), it is unclear whether this leads to sustained success. Research Question 1 is key here, as it explores how different strategies impact overall educational outcomes.</w:t>
      </w:r>
    </w:p>
    <w:p w14:paraId="48925674" w14:textId="4400B132" w:rsidR="00E0423B" w:rsidRPr="00B70ABC" w:rsidRDefault="00E0423B" w:rsidP="00B70ABC">
      <w:pPr>
        <w:spacing w:after="0" w:line="360" w:lineRule="auto"/>
        <w:jc w:val="both"/>
        <w:rPr>
          <w:rFonts w:eastAsia="Times New Roman" w:cstheme="minorHAnsi"/>
          <w:sz w:val="24"/>
          <w:szCs w:val="24"/>
          <w:lang w:val="en-US"/>
        </w:rPr>
      </w:pPr>
    </w:p>
    <w:p w14:paraId="310B8389" w14:textId="77777777" w:rsidR="00E0423B" w:rsidRPr="00B70ABC" w:rsidRDefault="00E0423B" w:rsidP="00B70ABC">
      <w:pPr>
        <w:spacing w:before="100" w:beforeAutospacing="1" w:after="100" w:afterAutospacing="1" w:line="360" w:lineRule="auto"/>
        <w:jc w:val="both"/>
        <w:outlineLvl w:val="1"/>
        <w:rPr>
          <w:rFonts w:eastAsia="Times New Roman" w:cstheme="minorHAnsi"/>
          <w:b/>
          <w:bCs/>
          <w:sz w:val="24"/>
          <w:szCs w:val="24"/>
          <w:lang w:val="en-US"/>
        </w:rPr>
      </w:pPr>
      <w:r w:rsidRPr="00B70ABC">
        <w:rPr>
          <w:rFonts w:eastAsia="Times New Roman" w:cstheme="minorHAnsi"/>
          <w:b/>
          <w:bCs/>
          <w:sz w:val="24"/>
          <w:szCs w:val="24"/>
          <w:lang w:val="en-US"/>
        </w:rPr>
        <w:t>Areas for Further Investigation</w:t>
      </w:r>
    </w:p>
    <w:p w14:paraId="263DCEF2" w14:textId="157DD8AA" w:rsidR="00E0423B" w:rsidRPr="00B70ABC" w:rsidRDefault="00B70ABC" w:rsidP="00B70ABC">
      <w:pPr>
        <w:spacing w:before="100" w:beforeAutospacing="1" w:after="100" w:afterAutospacing="1" w:line="360" w:lineRule="auto"/>
        <w:jc w:val="both"/>
        <w:rPr>
          <w:rFonts w:eastAsia="Times New Roman" w:cstheme="minorHAnsi"/>
          <w:sz w:val="24"/>
          <w:szCs w:val="24"/>
          <w:lang w:val="en-US"/>
        </w:rPr>
      </w:pPr>
      <w:r>
        <w:rPr>
          <w:rFonts w:eastAsia="Times New Roman" w:cstheme="minorHAnsi"/>
          <w:sz w:val="24"/>
          <w:szCs w:val="24"/>
          <w:lang w:val="en-US"/>
        </w:rPr>
        <w:t>W</w:t>
      </w:r>
      <w:r w:rsidR="00E0423B" w:rsidRPr="00B70ABC">
        <w:rPr>
          <w:rFonts w:eastAsia="Times New Roman" w:cstheme="minorHAnsi"/>
          <w:sz w:val="24"/>
          <w:szCs w:val="24"/>
          <w:lang w:val="en-US"/>
        </w:rPr>
        <w:t xml:space="preserve">hile socioeconomic factors are widely acknowledged as barriers to engagement, further investigation is required to develop targeted strategies that address these issues within FE settings. More research is needed to explore how institutions can support learners facing economic and mental health challenges without </w:t>
      </w:r>
      <w:proofErr w:type="spellStart"/>
      <w:r w:rsidR="00E0423B" w:rsidRPr="00B70ABC">
        <w:rPr>
          <w:rFonts w:eastAsia="Times New Roman" w:cstheme="minorHAnsi"/>
          <w:sz w:val="24"/>
          <w:szCs w:val="24"/>
          <w:lang w:val="en-US"/>
        </w:rPr>
        <w:t>stigmatising</w:t>
      </w:r>
      <w:proofErr w:type="spellEnd"/>
      <w:r w:rsidR="00E0423B" w:rsidRPr="00B70ABC">
        <w:rPr>
          <w:rFonts w:eastAsia="Times New Roman" w:cstheme="minorHAnsi"/>
          <w:sz w:val="24"/>
          <w:szCs w:val="24"/>
          <w:lang w:val="en-US"/>
        </w:rPr>
        <w:t xml:space="preserve"> them or creating additional burdens.</w:t>
      </w:r>
    </w:p>
    <w:p w14:paraId="2C38DC4D" w14:textId="76AFF657" w:rsidR="00E0423B" w:rsidRPr="00B70ABC" w:rsidRDefault="00B70ABC" w:rsidP="00B70ABC">
      <w:pPr>
        <w:spacing w:before="100" w:beforeAutospacing="1" w:after="100" w:afterAutospacing="1" w:line="360" w:lineRule="auto"/>
        <w:jc w:val="both"/>
        <w:rPr>
          <w:rFonts w:eastAsia="Times New Roman" w:cstheme="minorHAnsi"/>
          <w:sz w:val="24"/>
          <w:szCs w:val="24"/>
          <w:lang w:val="en-US"/>
        </w:rPr>
      </w:pPr>
      <w:r>
        <w:rPr>
          <w:rFonts w:eastAsia="Times New Roman" w:cstheme="minorHAnsi"/>
          <w:sz w:val="24"/>
          <w:szCs w:val="24"/>
          <w:lang w:val="en-US"/>
        </w:rPr>
        <w:lastRenderedPageBreak/>
        <w:t>Additionally</w:t>
      </w:r>
      <w:r w:rsidR="00E0423B" w:rsidRPr="00B70ABC">
        <w:rPr>
          <w:rFonts w:eastAsia="Times New Roman" w:cstheme="minorHAnsi"/>
          <w:sz w:val="24"/>
          <w:szCs w:val="24"/>
          <w:lang w:val="en-US"/>
        </w:rPr>
        <w:t>, scaling engagement strategies remains a challenge. While individual classrooms have successfully implemented student-</w:t>
      </w:r>
      <w:proofErr w:type="spellStart"/>
      <w:r w:rsidR="00E0423B" w:rsidRPr="00B70ABC">
        <w:rPr>
          <w:rFonts w:eastAsia="Times New Roman" w:cstheme="minorHAnsi"/>
          <w:sz w:val="24"/>
          <w:szCs w:val="24"/>
          <w:lang w:val="en-US"/>
        </w:rPr>
        <w:t>centred</w:t>
      </w:r>
      <w:proofErr w:type="spellEnd"/>
      <w:r w:rsidR="00E0423B" w:rsidRPr="00B70ABC">
        <w:rPr>
          <w:rFonts w:eastAsia="Times New Roman" w:cstheme="minorHAnsi"/>
          <w:sz w:val="24"/>
          <w:szCs w:val="24"/>
          <w:lang w:val="en-US"/>
        </w:rPr>
        <w:t xml:space="preserve"> approaches, </w:t>
      </w:r>
      <w:proofErr w:type="spellStart"/>
      <w:r w:rsidR="00E0423B" w:rsidRPr="00B70ABC">
        <w:rPr>
          <w:rFonts w:eastAsia="Times New Roman" w:cstheme="minorHAnsi"/>
          <w:sz w:val="24"/>
          <w:szCs w:val="24"/>
          <w:lang w:val="en-US"/>
        </w:rPr>
        <w:t>institutionalising</w:t>
      </w:r>
      <w:proofErr w:type="spellEnd"/>
      <w:r w:rsidR="00E0423B" w:rsidRPr="00B70ABC">
        <w:rPr>
          <w:rFonts w:eastAsia="Times New Roman" w:cstheme="minorHAnsi"/>
          <w:sz w:val="24"/>
          <w:szCs w:val="24"/>
          <w:lang w:val="en-US"/>
        </w:rPr>
        <w:t xml:space="preserve"> these methods on a broader scale presents logistical and financial difficulties. Future research should examine how training </w:t>
      </w:r>
      <w:proofErr w:type="spellStart"/>
      <w:r w:rsidR="00E0423B" w:rsidRPr="00B70ABC">
        <w:rPr>
          <w:rFonts w:eastAsia="Times New Roman" w:cstheme="minorHAnsi"/>
          <w:sz w:val="24"/>
          <w:szCs w:val="24"/>
          <w:lang w:val="en-US"/>
        </w:rPr>
        <w:t>programmes</w:t>
      </w:r>
      <w:proofErr w:type="spellEnd"/>
      <w:r w:rsidR="00E0423B" w:rsidRPr="00B70ABC">
        <w:rPr>
          <w:rFonts w:eastAsia="Times New Roman" w:cstheme="minorHAnsi"/>
          <w:sz w:val="24"/>
          <w:szCs w:val="24"/>
          <w:lang w:val="en-US"/>
        </w:rPr>
        <w:t xml:space="preserve"> and policy frameworks can support the widespread adoption of effective engagement strategies.</w:t>
      </w:r>
    </w:p>
    <w:p w14:paraId="669ED1CC" w14:textId="77777777" w:rsidR="00B95A28" w:rsidRPr="00B70ABC" w:rsidRDefault="00B95A28" w:rsidP="00B70ABC">
      <w:pPr>
        <w:spacing w:line="360" w:lineRule="auto"/>
        <w:jc w:val="both"/>
        <w:rPr>
          <w:rFonts w:cstheme="minorHAnsi"/>
          <w:b/>
          <w:sz w:val="24"/>
          <w:szCs w:val="24"/>
          <w:u w:val="single"/>
        </w:rPr>
      </w:pPr>
    </w:p>
    <w:p w14:paraId="75E362FC" w14:textId="77777777" w:rsidR="00B95A28" w:rsidRPr="00B70ABC" w:rsidRDefault="00B95A28" w:rsidP="00B70ABC">
      <w:pPr>
        <w:spacing w:line="360" w:lineRule="auto"/>
        <w:jc w:val="both"/>
        <w:rPr>
          <w:rFonts w:cstheme="minorHAnsi"/>
          <w:b/>
          <w:sz w:val="24"/>
          <w:szCs w:val="24"/>
        </w:rPr>
      </w:pPr>
      <w:r w:rsidRPr="00B70ABC">
        <w:rPr>
          <w:rFonts w:cstheme="minorHAnsi"/>
          <w:b/>
          <w:sz w:val="24"/>
          <w:szCs w:val="24"/>
        </w:rPr>
        <w:t>Conclusion</w:t>
      </w:r>
    </w:p>
    <w:p w14:paraId="23371C94" w14:textId="77777777" w:rsidR="00804612" w:rsidRPr="00B70ABC" w:rsidRDefault="00804612" w:rsidP="00B70ABC">
      <w:pPr>
        <w:pStyle w:val="NormalWeb"/>
        <w:spacing w:line="360" w:lineRule="auto"/>
        <w:jc w:val="both"/>
        <w:rPr>
          <w:rFonts w:asciiTheme="minorHAnsi" w:hAnsiTheme="minorHAnsi" w:cstheme="minorHAnsi"/>
        </w:rPr>
      </w:pPr>
      <w:r w:rsidRPr="00B70ABC">
        <w:rPr>
          <w:rFonts w:asciiTheme="minorHAnsi" w:hAnsiTheme="minorHAnsi" w:cstheme="minorHAnsi"/>
        </w:rPr>
        <w:t>Engaging disengaged learners in Further Education requires a multifaceted, evidence-based approach that tackles both root causes and practical classroom strategies. The literature reveals that disengagement arises from negative experiences, socioeconomic challenges, and mismatched teaching methods. Interventions like experiential learning, growth mindset cultivation, differentiated instruction, and strong teacher-student relationships enhance outcomes. Institutional support, professional development, and technology integration are essential for replicating these strategies, ensuring more inclusive and effective learning environments.</w:t>
      </w:r>
    </w:p>
    <w:p w14:paraId="2E67BCAD" w14:textId="77777777" w:rsidR="00B95A28" w:rsidRPr="00B70ABC" w:rsidRDefault="00B95A28" w:rsidP="00B70ABC">
      <w:pPr>
        <w:spacing w:line="360" w:lineRule="auto"/>
        <w:jc w:val="both"/>
        <w:rPr>
          <w:rFonts w:cstheme="minorHAnsi"/>
          <w:sz w:val="24"/>
          <w:szCs w:val="24"/>
        </w:rPr>
      </w:pPr>
    </w:p>
    <w:p w14:paraId="6E896BF6" w14:textId="77777777" w:rsidR="00B70ABC" w:rsidRDefault="00B70ABC" w:rsidP="00B70ABC">
      <w:pPr>
        <w:spacing w:line="360" w:lineRule="auto"/>
        <w:jc w:val="both"/>
        <w:rPr>
          <w:rFonts w:cstheme="minorHAnsi"/>
          <w:b/>
          <w:sz w:val="24"/>
          <w:szCs w:val="24"/>
          <w:u w:val="single"/>
        </w:rPr>
      </w:pPr>
      <w:r>
        <w:rPr>
          <w:rFonts w:cstheme="minorHAnsi"/>
          <w:b/>
          <w:sz w:val="24"/>
          <w:szCs w:val="24"/>
          <w:u w:val="single"/>
        </w:rPr>
        <w:br w:type="page"/>
      </w:r>
    </w:p>
    <w:p w14:paraId="0442C3F0" w14:textId="6F92D1D9" w:rsidR="00B95A28" w:rsidRPr="00B70ABC" w:rsidRDefault="00B95A28" w:rsidP="00B70ABC">
      <w:pPr>
        <w:spacing w:line="360" w:lineRule="auto"/>
        <w:jc w:val="both"/>
        <w:rPr>
          <w:rFonts w:cstheme="minorHAnsi"/>
          <w:b/>
          <w:sz w:val="24"/>
          <w:szCs w:val="24"/>
          <w:u w:val="single"/>
        </w:rPr>
      </w:pPr>
      <w:r w:rsidRPr="00B70ABC">
        <w:rPr>
          <w:rFonts w:cstheme="minorHAnsi"/>
          <w:b/>
          <w:sz w:val="24"/>
          <w:szCs w:val="24"/>
          <w:u w:val="single"/>
        </w:rPr>
        <w:lastRenderedPageBreak/>
        <w:t>Methodology</w:t>
      </w:r>
    </w:p>
    <w:p w14:paraId="10638DBB" w14:textId="77777777" w:rsidR="00B95A28" w:rsidRPr="00B70ABC" w:rsidRDefault="00B95A28" w:rsidP="00B70ABC">
      <w:pPr>
        <w:spacing w:line="360" w:lineRule="auto"/>
        <w:jc w:val="both"/>
        <w:rPr>
          <w:rFonts w:cstheme="minorHAnsi"/>
          <w:sz w:val="24"/>
          <w:szCs w:val="24"/>
        </w:rPr>
      </w:pPr>
    </w:p>
    <w:p w14:paraId="5640F39B" w14:textId="7AFD81B0" w:rsidR="00B95A28" w:rsidRPr="00AA2D81" w:rsidRDefault="00B95A28" w:rsidP="00B70ABC">
      <w:pPr>
        <w:spacing w:line="360" w:lineRule="auto"/>
        <w:jc w:val="both"/>
        <w:rPr>
          <w:rFonts w:cstheme="minorHAnsi"/>
          <w:sz w:val="24"/>
          <w:szCs w:val="24"/>
        </w:rPr>
      </w:pPr>
      <w:r w:rsidRPr="00AA2D81">
        <w:rPr>
          <w:rFonts w:cstheme="minorHAnsi"/>
          <w:sz w:val="24"/>
          <w:szCs w:val="24"/>
        </w:rPr>
        <w:t>This action research project follows a cyclical process of reflection, planning, action, and evaluation to explore the teaching methods that contributed to disengaged learners pursuing further education in a college setting. Central to this approach is the use of a reflective cycle—a structured process whereby practitioners continuously analyse and refine their practices through successive iterations of reflection and action</w:t>
      </w:r>
      <w:r w:rsidR="00AA2D81" w:rsidRPr="00AA2D81">
        <w:rPr>
          <w:sz w:val="24"/>
          <w:szCs w:val="24"/>
        </w:rPr>
        <w:t xml:space="preserve"> (Schön, 1983)</w:t>
      </w:r>
      <w:r w:rsidRPr="00AA2D81">
        <w:rPr>
          <w:rFonts w:cstheme="minorHAnsi"/>
          <w:sz w:val="24"/>
          <w:szCs w:val="24"/>
        </w:rPr>
        <w:t xml:space="preserve">. This cycle, as depicted in Figure 1, promotes ongoing learning and adaptive change by integrating feedback from each stage into subsequent planning and implementation (Elliott, 1991). As a practitioner-researcher, I draw on my own experiences as a tutor within UK Further Education (FE), allowing for an insider perspective on the effectiveness of pedagogical strategies. This qualitative research adopts a phenomenological approach, aiming to understand the lived experiences of disengaged learners and the teaching strategies that influenced their progression.  </w:t>
      </w:r>
    </w:p>
    <w:p w14:paraId="14CE75C0" w14:textId="77777777" w:rsidR="00B95A28" w:rsidRPr="00B70ABC" w:rsidRDefault="00B95A28" w:rsidP="00B70ABC">
      <w:pPr>
        <w:spacing w:line="360" w:lineRule="auto"/>
        <w:jc w:val="both"/>
        <w:rPr>
          <w:rFonts w:cstheme="minorHAnsi"/>
          <w:sz w:val="24"/>
          <w:szCs w:val="24"/>
        </w:rPr>
      </w:pPr>
      <w:r w:rsidRPr="00B70ABC">
        <w:rPr>
          <w:rFonts w:cstheme="minorHAnsi"/>
          <w:noProof/>
          <w:sz w:val="24"/>
          <w:szCs w:val="24"/>
        </w:rPr>
        <w:drawing>
          <wp:anchor distT="0" distB="0" distL="114300" distR="114300" simplePos="0" relativeHeight="251659264" behindDoc="0" locked="0" layoutInCell="1" allowOverlap="1" wp14:anchorId="5A821CE0" wp14:editId="4C9A9FD5">
            <wp:simplePos x="0" y="0"/>
            <wp:positionH relativeFrom="margin">
              <wp:align>left</wp:align>
            </wp:positionH>
            <wp:positionV relativeFrom="paragraph">
              <wp:posOffset>8890</wp:posOffset>
            </wp:positionV>
            <wp:extent cx="2381250" cy="3176270"/>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250" cy="3176270"/>
                    </a:xfrm>
                    <a:prstGeom prst="rect">
                      <a:avLst/>
                    </a:prstGeom>
                    <a:noFill/>
                  </pic:spPr>
                </pic:pic>
              </a:graphicData>
            </a:graphic>
            <wp14:sizeRelH relativeFrom="margin">
              <wp14:pctWidth>0</wp14:pctWidth>
            </wp14:sizeRelH>
            <wp14:sizeRelV relativeFrom="margin">
              <wp14:pctHeight>0</wp14:pctHeight>
            </wp14:sizeRelV>
          </wp:anchor>
        </w:drawing>
      </w:r>
    </w:p>
    <w:p w14:paraId="4F880491" w14:textId="77777777" w:rsidR="00B95A28" w:rsidRPr="00B70ABC" w:rsidRDefault="00B95A28" w:rsidP="00B70ABC">
      <w:pPr>
        <w:spacing w:line="360" w:lineRule="auto"/>
        <w:jc w:val="both"/>
        <w:rPr>
          <w:rFonts w:cstheme="minorHAnsi"/>
          <w:sz w:val="24"/>
          <w:szCs w:val="24"/>
        </w:rPr>
      </w:pPr>
    </w:p>
    <w:p w14:paraId="302402E5" w14:textId="77777777" w:rsidR="00B95A28" w:rsidRPr="00B70ABC" w:rsidRDefault="00B95A28" w:rsidP="00B70ABC">
      <w:pPr>
        <w:spacing w:line="360" w:lineRule="auto"/>
        <w:jc w:val="both"/>
        <w:rPr>
          <w:rFonts w:cstheme="minorHAnsi"/>
          <w:sz w:val="24"/>
          <w:szCs w:val="24"/>
        </w:rPr>
      </w:pPr>
    </w:p>
    <w:p w14:paraId="708FEB52" w14:textId="77777777" w:rsidR="00B95A28" w:rsidRPr="00B70ABC" w:rsidRDefault="00B95A28" w:rsidP="00B70ABC">
      <w:pPr>
        <w:spacing w:line="360" w:lineRule="auto"/>
        <w:jc w:val="both"/>
        <w:rPr>
          <w:rFonts w:cstheme="minorHAnsi"/>
          <w:sz w:val="24"/>
          <w:szCs w:val="24"/>
        </w:rPr>
      </w:pPr>
      <w:r w:rsidRPr="00B70ABC">
        <w:rPr>
          <w:rFonts w:cstheme="minorHAnsi"/>
          <w:noProof/>
          <w:sz w:val="24"/>
          <w:szCs w:val="24"/>
        </w:rPr>
        <mc:AlternateContent>
          <mc:Choice Requires="wps">
            <w:drawing>
              <wp:anchor distT="0" distB="0" distL="114300" distR="114300" simplePos="0" relativeHeight="251660288" behindDoc="0" locked="0" layoutInCell="1" allowOverlap="1" wp14:anchorId="62F27BC7" wp14:editId="0B83737D">
                <wp:simplePos x="0" y="0"/>
                <wp:positionH relativeFrom="margin">
                  <wp:posOffset>3155950</wp:posOffset>
                </wp:positionH>
                <wp:positionV relativeFrom="paragraph">
                  <wp:posOffset>205105</wp:posOffset>
                </wp:positionV>
                <wp:extent cx="1581150" cy="635"/>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1581150" cy="635"/>
                        </a:xfrm>
                        <a:prstGeom prst="rect">
                          <a:avLst/>
                        </a:prstGeom>
                        <a:solidFill>
                          <a:prstClr val="white"/>
                        </a:solidFill>
                        <a:ln>
                          <a:noFill/>
                        </a:ln>
                      </wps:spPr>
                      <wps:txbx>
                        <w:txbxContent>
                          <w:p w14:paraId="68427809" w14:textId="77777777" w:rsidR="00B95A28" w:rsidRPr="006C278B" w:rsidRDefault="00B95A28" w:rsidP="00B95A28">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6F3997">
                              <w:t>The Implementation Flow of Classroom Action Research</w:t>
                            </w:r>
                            <w:r>
                              <w:rPr>
                                <w:noProof/>
                              </w:rPr>
                              <w:t xml:space="preserve"> (</w:t>
                            </w:r>
                            <w:r w:rsidRPr="006F3997">
                              <w:rPr>
                                <w:noProof/>
                              </w:rPr>
                              <w:t xml:space="preserve">John Elliott </w:t>
                            </w:r>
                            <w:r>
                              <w:rPr>
                                <w:noProof/>
                              </w:rPr>
                              <w:t>1</w:t>
                            </w:r>
                            <w:r w:rsidRPr="006F3997">
                              <w:rPr>
                                <w:noProof/>
                              </w:rPr>
                              <w:t>991)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2F27BC7" id="_x0000_t202" coordsize="21600,21600" o:spt="202" path="m,l,21600r21600,l21600,xe">
                <v:stroke joinstyle="miter"/>
                <v:path gradientshapeok="t" o:connecttype="rect"/>
              </v:shapetype>
              <v:shape id="Text Box 1" o:spid="_x0000_s1026" type="#_x0000_t202" style="position:absolute;left:0;text-align:left;margin-left:248.5pt;margin-top:16.15pt;width:124.5pt;height:.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" stroked="f">
                <v:textbox style="mso-fit-shape-to-text:t" inset="0,0,0,0">
                  <w:txbxContent>
                    <w:p w14:paraId="68427809" w14:textId="77777777" w:rsidR="00B95A28" w:rsidRPr="006C278B" w:rsidRDefault="00B95A28" w:rsidP="00B95A28">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6F3997">
                        <w:t>The Implementation Flow of Classroom Action Research</w:t>
                      </w:r>
                      <w:r>
                        <w:rPr>
                          <w:noProof/>
                        </w:rPr>
                        <w:t xml:space="preserve"> (</w:t>
                      </w:r>
                      <w:r w:rsidRPr="006F3997">
                        <w:rPr>
                          <w:noProof/>
                        </w:rPr>
                        <w:t xml:space="preserve">John Elliott </w:t>
                      </w:r>
                      <w:r>
                        <w:rPr>
                          <w:noProof/>
                        </w:rPr>
                        <w:t>1</w:t>
                      </w:r>
                      <w:r w:rsidRPr="006F3997">
                        <w:rPr>
                          <w:noProof/>
                        </w:rPr>
                        <w:t>991)</w:t>
                      </w:r>
                    </w:p>
                  </w:txbxContent>
                </v:textbox>
                <w10:wrap anchorx="margin"/>
              </v:shape>
            </w:pict>
          </mc:Fallback>
        </mc:AlternateContent>
      </w:r>
    </w:p>
    <w:p w14:paraId="5C43AAB7" w14:textId="77777777" w:rsidR="00B95A28" w:rsidRPr="00B70ABC" w:rsidRDefault="00B95A28" w:rsidP="00B70ABC">
      <w:pPr>
        <w:spacing w:line="360" w:lineRule="auto"/>
        <w:jc w:val="both"/>
        <w:rPr>
          <w:rFonts w:cstheme="minorHAnsi"/>
          <w:sz w:val="24"/>
          <w:szCs w:val="24"/>
        </w:rPr>
      </w:pPr>
    </w:p>
    <w:p w14:paraId="2AF9071F" w14:textId="77777777" w:rsidR="00B95A28" w:rsidRPr="00B70ABC" w:rsidRDefault="00B95A28" w:rsidP="00B70ABC">
      <w:pPr>
        <w:spacing w:line="360" w:lineRule="auto"/>
        <w:jc w:val="both"/>
        <w:rPr>
          <w:rFonts w:cstheme="minorHAnsi"/>
          <w:sz w:val="24"/>
          <w:szCs w:val="24"/>
        </w:rPr>
      </w:pPr>
    </w:p>
    <w:p w14:paraId="2E930588" w14:textId="77777777" w:rsidR="00B95A28" w:rsidRPr="00B70ABC" w:rsidRDefault="00B95A28" w:rsidP="00B70ABC">
      <w:pPr>
        <w:spacing w:line="360" w:lineRule="auto"/>
        <w:jc w:val="both"/>
        <w:rPr>
          <w:rFonts w:cstheme="minorHAnsi"/>
          <w:sz w:val="24"/>
          <w:szCs w:val="24"/>
        </w:rPr>
      </w:pPr>
    </w:p>
    <w:p w14:paraId="59480101" w14:textId="77777777" w:rsidR="00B95A28" w:rsidRPr="00B70ABC" w:rsidRDefault="00B95A28" w:rsidP="00B70ABC">
      <w:pPr>
        <w:spacing w:line="360" w:lineRule="auto"/>
        <w:jc w:val="both"/>
        <w:rPr>
          <w:rFonts w:cstheme="minorHAnsi"/>
          <w:sz w:val="24"/>
          <w:szCs w:val="24"/>
        </w:rPr>
      </w:pPr>
    </w:p>
    <w:p w14:paraId="3A5B71F5" w14:textId="77777777" w:rsidR="00B95A28" w:rsidRPr="00B70ABC" w:rsidRDefault="00B95A28" w:rsidP="00B70ABC">
      <w:pPr>
        <w:spacing w:line="360" w:lineRule="auto"/>
        <w:jc w:val="both"/>
        <w:rPr>
          <w:rFonts w:cstheme="minorHAnsi"/>
          <w:sz w:val="24"/>
          <w:szCs w:val="24"/>
        </w:rPr>
      </w:pPr>
    </w:p>
    <w:p w14:paraId="612FA1BD" w14:textId="77777777" w:rsidR="00B95A28" w:rsidRPr="00B70ABC" w:rsidRDefault="00B95A28" w:rsidP="00B70ABC">
      <w:pPr>
        <w:spacing w:line="360" w:lineRule="auto"/>
        <w:jc w:val="both"/>
        <w:rPr>
          <w:rFonts w:cstheme="minorHAnsi"/>
          <w:sz w:val="24"/>
          <w:szCs w:val="24"/>
        </w:rPr>
      </w:pPr>
    </w:p>
    <w:p w14:paraId="7B5CB26A" w14:textId="77777777" w:rsidR="00B95A28" w:rsidRPr="00B70ABC" w:rsidRDefault="00B95A28" w:rsidP="00B70ABC">
      <w:pPr>
        <w:spacing w:line="360" w:lineRule="auto"/>
        <w:jc w:val="both"/>
        <w:rPr>
          <w:rFonts w:cstheme="minorHAnsi"/>
          <w:sz w:val="24"/>
          <w:szCs w:val="24"/>
        </w:rPr>
      </w:pPr>
    </w:p>
    <w:p w14:paraId="1C37474A" w14:textId="2D7E2D68" w:rsidR="00B70ABC" w:rsidRDefault="00B95A28" w:rsidP="00B70ABC">
      <w:pPr>
        <w:spacing w:line="360" w:lineRule="auto"/>
        <w:jc w:val="both"/>
        <w:rPr>
          <w:rFonts w:cstheme="minorHAnsi"/>
          <w:sz w:val="24"/>
          <w:szCs w:val="24"/>
        </w:rPr>
      </w:pPr>
      <w:r w:rsidRPr="00B70ABC">
        <w:rPr>
          <w:rFonts w:cstheme="minorHAnsi"/>
          <w:sz w:val="24"/>
          <w:szCs w:val="24"/>
        </w:rPr>
        <w:lastRenderedPageBreak/>
        <w:t xml:space="preserve">This study is primarily desktop-based research, analysing secondary sources such as peer-reviewed journals, books, educational policy documents, and government reports. These sources provide a robust foundation for evaluating the relationship between classroom setup, inclusive teaching methods, empathy, and the balance of practical and theoretical learning in promoting student engagement. Secondary data is complemented by self-reflective analysis drawn from my own teaching experiences, offering practical insights into how these strategies have been implemented and their impact on learner engagement.  </w:t>
      </w:r>
    </w:p>
    <w:p w14:paraId="5CA0A986" w14:textId="77777777" w:rsidR="00B70ABC" w:rsidRPr="00B70ABC" w:rsidRDefault="00B70ABC" w:rsidP="00B70ABC">
      <w:pPr>
        <w:spacing w:line="360" w:lineRule="auto"/>
        <w:jc w:val="both"/>
        <w:rPr>
          <w:rFonts w:cstheme="minorHAnsi"/>
          <w:sz w:val="24"/>
          <w:szCs w:val="24"/>
        </w:rPr>
      </w:pPr>
    </w:p>
    <w:p w14:paraId="4E5DBF7F" w14:textId="77777777" w:rsidR="00B95A28" w:rsidRPr="00B70ABC" w:rsidRDefault="00B95A28" w:rsidP="00B70ABC">
      <w:pPr>
        <w:spacing w:line="360" w:lineRule="auto"/>
        <w:jc w:val="both"/>
        <w:rPr>
          <w:rFonts w:cstheme="minorHAnsi"/>
          <w:b/>
          <w:sz w:val="24"/>
          <w:szCs w:val="24"/>
          <w:u w:val="single"/>
        </w:rPr>
      </w:pPr>
      <w:r w:rsidRPr="00B70ABC">
        <w:rPr>
          <w:rFonts w:cstheme="minorHAnsi"/>
          <w:b/>
          <w:sz w:val="24"/>
          <w:szCs w:val="24"/>
          <w:u w:val="single"/>
        </w:rPr>
        <w:t xml:space="preserve">Epistemological and Ontological Considerations </w:t>
      </w:r>
    </w:p>
    <w:p w14:paraId="7D8839BC" w14:textId="1A94631B" w:rsidR="00B95A28" w:rsidRDefault="005345CE" w:rsidP="00B70ABC">
      <w:pPr>
        <w:spacing w:line="360" w:lineRule="auto"/>
        <w:jc w:val="both"/>
        <w:rPr>
          <w:rFonts w:cstheme="minorHAnsi"/>
          <w:sz w:val="24"/>
          <w:szCs w:val="24"/>
        </w:rPr>
      </w:pPr>
      <w:r w:rsidRPr="00B70ABC">
        <w:rPr>
          <w:rFonts w:cstheme="minorHAnsi"/>
          <w:sz w:val="24"/>
          <w:szCs w:val="24"/>
        </w:rPr>
        <w:t>This study is grounded in a constructivist epistemology, acknowledging that student engagement is shaped by social constructs, individual perceptions, institutional frameworks, and teaching methodologies</w:t>
      </w:r>
      <w:r w:rsidR="00B95A28" w:rsidRPr="00B70ABC">
        <w:rPr>
          <w:rFonts w:cstheme="minorHAnsi"/>
          <w:sz w:val="24"/>
          <w:szCs w:val="24"/>
        </w:rPr>
        <w:t>. The ontological stance is relativist, acknowledging that disengagement and re-engagement are shaped by a variety of contextual factors, including past educational experiences, socio-economic backgrounds, and teacher-student interactions. This aligns with the principles of Transactional Analysis (</w:t>
      </w:r>
      <w:r w:rsidR="00B95A28" w:rsidRPr="00F879F4">
        <w:rPr>
          <w:rFonts w:cstheme="minorHAnsi"/>
          <w:sz w:val="24"/>
          <w:szCs w:val="24"/>
        </w:rPr>
        <w:t>Berne, 1961</w:t>
      </w:r>
      <w:r w:rsidR="00B95A28" w:rsidRPr="00B70ABC">
        <w:rPr>
          <w:rFonts w:cstheme="minorHAnsi"/>
          <w:sz w:val="24"/>
          <w:szCs w:val="24"/>
        </w:rPr>
        <w:t xml:space="preserve">), which highlights the importance of teacher-learner relationships in shaping attitudes toward education.  </w:t>
      </w:r>
    </w:p>
    <w:p w14:paraId="49AACC17" w14:textId="77777777" w:rsidR="00B70ABC" w:rsidRPr="00B70ABC" w:rsidRDefault="00B70ABC" w:rsidP="00B70ABC">
      <w:pPr>
        <w:spacing w:line="360" w:lineRule="auto"/>
        <w:jc w:val="both"/>
        <w:rPr>
          <w:rFonts w:cstheme="minorHAnsi"/>
          <w:sz w:val="24"/>
          <w:szCs w:val="24"/>
        </w:rPr>
      </w:pPr>
    </w:p>
    <w:p w14:paraId="6E1BCFE3" w14:textId="77777777" w:rsidR="00B95A28" w:rsidRPr="00B70ABC" w:rsidRDefault="00B95A28" w:rsidP="00B70ABC">
      <w:pPr>
        <w:spacing w:line="360" w:lineRule="auto"/>
        <w:jc w:val="both"/>
        <w:rPr>
          <w:rFonts w:cstheme="minorHAnsi"/>
          <w:b/>
          <w:sz w:val="24"/>
          <w:szCs w:val="24"/>
          <w:u w:val="single"/>
        </w:rPr>
      </w:pPr>
      <w:r w:rsidRPr="00B70ABC">
        <w:rPr>
          <w:rFonts w:cstheme="minorHAnsi"/>
          <w:b/>
          <w:sz w:val="24"/>
          <w:szCs w:val="24"/>
          <w:u w:val="single"/>
        </w:rPr>
        <w:t>Data Collection and Analysis</w:t>
      </w:r>
    </w:p>
    <w:p w14:paraId="074B624A" w14:textId="03370F60" w:rsidR="005345CE" w:rsidRPr="00B70ABC" w:rsidRDefault="005345CE" w:rsidP="00B70ABC">
      <w:pPr>
        <w:spacing w:line="360" w:lineRule="auto"/>
        <w:jc w:val="both"/>
        <w:rPr>
          <w:rFonts w:cstheme="minorHAnsi"/>
          <w:sz w:val="24"/>
          <w:szCs w:val="24"/>
        </w:rPr>
      </w:pPr>
      <w:r w:rsidRPr="00B70ABC">
        <w:rPr>
          <w:rFonts w:cstheme="minorHAnsi"/>
          <w:sz w:val="24"/>
          <w:szCs w:val="24"/>
        </w:rPr>
        <w:t>A thematic analysis of secondary data was conducted to identify recurring patterns in the existing literature concerning learner disengagement, inclusive teaching strategies, and student progression. The analysis highlighted several key themes, including the influence of classroom environment on student engagement, the effectiveness of experiential and differentiated learning approaches, the role of teacher empathy in fostering trust and motivation, and the importance of institutional support in scaling successful teaching interventions.</w:t>
      </w:r>
    </w:p>
    <w:p w14:paraId="306A6961" w14:textId="7206755D" w:rsidR="00B95A28" w:rsidRPr="00B70ABC" w:rsidRDefault="005345CE" w:rsidP="00B70ABC">
      <w:pPr>
        <w:spacing w:line="360" w:lineRule="auto"/>
        <w:jc w:val="both"/>
        <w:rPr>
          <w:rFonts w:cstheme="minorHAnsi"/>
          <w:sz w:val="24"/>
          <w:szCs w:val="24"/>
        </w:rPr>
      </w:pPr>
      <w:r w:rsidRPr="00B70ABC">
        <w:rPr>
          <w:rFonts w:cstheme="minorHAnsi"/>
          <w:sz w:val="24"/>
          <w:szCs w:val="24"/>
        </w:rPr>
        <w:t xml:space="preserve">Additionally, reflective journal entries were integrated to contextualise these themes within real-world teaching experiences. This approach provided insight into how theoretical strategies were </w:t>
      </w:r>
      <w:r w:rsidRPr="00B70ABC">
        <w:rPr>
          <w:rFonts w:cstheme="minorHAnsi"/>
          <w:sz w:val="24"/>
          <w:szCs w:val="24"/>
        </w:rPr>
        <w:lastRenderedPageBreak/>
        <w:t>implemented in practice and their observed impact on learners, further reinforcing the relationship between pedagogical approaches and student engagement.</w:t>
      </w:r>
    </w:p>
    <w:p w14:paraId="55C27C09" w14:textId="77777777" w:rsidR="005345CE" w:rsidRPr="00B70ABC" w:rsidRDefault="005345CE" w:rsidP="00B70ABC">
      <w:pPr>
        <w:spacing w:line="360" w:lineRule="auto"/>
        <w:jc w:val="both"/>
        <w:rPr>
          <w:rFonts w:cstheme="minorHAnsi"/>
          <w:b/>
          <w:sz w:val="24"/>
          <w:szCs w:val="24"/>
          <w:u w:val="single"/>
        </w:rPr>
      </w:pPr>
    </w:p>
    <w:p w14:paraId="7D5979B0" w14:textId="72558454" w:rsidR="00B95A28" w:rsidRPr="00B70ABC" w:rsidRDefault="00B95A28" w:rsidP="00B70ABC">
      <w:pPr>
        <w:spacing w:line="360" w:lineRule="auto"/>
        <w:jc w:val="both"/>
        <w:rPr>
          <w:rFonts w:cstheme="minorHAnsi"/>
          <w:sz w:val="24"/>
          <w:szCs w:val="24"/>
        </w:rPr>
      </w:pPr>
      <w:r w:rsidRPr="00B70ABC">
        <w:rPr>
          <w:rFonts w:cstheme="minorHAnsi"/>
          <w:b/>
          <w:sz w:val="24"/>
          <w:szCs w:val="24"/>
          <w:u w:val="single"/>
        </w:rPr>
        <w:t>Limitations and Ethical Considerations</w:t>
      </w:r>
    </w:p>
    <w:p w14:paraId="10B3BDB9" w14:textId="6A6533EC" w:rsidR="00B95A28" w:rsidRPr="00B70ABC" w:rsidRDefault="00B95A28" w:rsidP="00B70ABC">
      <w:pPr>
        <w:spacing w:line="360" w:lineRule="auto"/>
        <w:jc w:val="both"/>
        <w:rPr>
          <w:rFonts w:cstheme="minorHAnsi"/>
          <w:sz w:val="24"/>
          <w:szCs w:val="24"/>
        </w:rPr>
      </w:pPr>
      <w:r w:rsidRPr="00B70ABC">
        <w:rPr>
          <w:rFonts w:cstheme="minorHAnsi"/>
          <w:sz w:val="24"/>
          <w:szCs w:val="24"/>
        </w:rPr>
        <w:t xml:space="preserve">While the use of secondary data provides broad insights into disengagement and engagement strategies, it does not capture direct learner perspectives. However, by integrating self-reflective insights, the research maintains a practitioner-based perspective, ensuring that findings remain applicable and actionable in FE settings. This methodology is designed to ensure that the study remains reflexive and iterative, continuously integrating new insights from both academic literature and my teaching experiences. </w:t>
      </w:r>
    </w:p>
    <w:p w14:paraId="090A3332" w14:textId="77777777" w:rsidR="00B95A28" w:rsidRPr="00B70ABC" w:rsidRDefault="00B95A28" w:rsidP="00B70ABC">
      <w:pPr>
        <w:spacing w:line="360" w:lineRule="auto"/>
        <w:jc w:val="both"/>
        <w:rPr>
          <w:rFonts w:cstheme="minorHAnsi"/>
          <w:sz w:val="24"/>
          <w:szCs w:val="24"/>
        </w:rPr>
      </w:pPr>
    </w:p>
    <w:p w14:paraId="5AAC696F" w14:textId="77777777" w:rsidR="007A47D1" w:rsidRPr="00B70ABC" w:rsidRDefault="007A47D1" w:rsidP="00B70ABC">
      <w:pPr>
        <w:spacing w:before="100" w:beforeAutospacing="1" w:after="100" w:afterAutospacing="1" w:line="360" w:lineRule="auto"/>
        <w:jc w:val="both"/>
        <w:outlineLvl w:val="0"/>
        <w:rPr>
          <w:rFonts w:eastAsia="Times New Roman" w:cstheme="minorHAnsi"/>
          <w:b/>
          <w:bCs/>
          <w:kern w:val="36"/>
          <w:sz w:val="24"/>
          <w:szCs w:val="24"/>
          <w:lang w:val="en-US"/>
        </w:rPr>
      </w:pPr>
      <w:r w:rsidRPr="00B70ABC">
        <w:rPr>
          <w:rFonts w:eastAsia="Times New Roman" w:cstheme="minorHAnsi"/>
          <w:b/>
          <w:bCs/>
          <w:kern w:val="36"/>
          <w:sz w:val="24"/>
          <w:szCs w:val="24"/>
          <w:lang w:val="en-US"/>
        </w:rPr>
        <w:br w:type="page"/>
      </w:r>
    </w:p>
    <w:p w14:paraId="5AD24FE2" w14:textId="77777777" w:rsidR="00846263" w:rsidRPr="00B70ABC" w:rsidRDefault="00846263" w:rsidP="00B70ABC">
      <w:pPr>
        <w:spacing w:before="100" w:beforeAutospacing="1" w:after="100" w:afterAutospacing="1" w:line="360" w:lineRule="auto"/>
        <w:jc w:val="both"/>
        <w:outlineLvl w:val="0"/>
        <w:rPr>
          <w:rFonts w:eastAsia="Times New Roman" w:cstheme="minorHAnsi"/>
          <w:b/>
          <w:bCs/>
          <w:kern w:val="36"/>
          <w:sz w:val="24"/>
          <w:szCs w:val="24"/>
          <w:lang w:val="en-US"/>
        </w:rPr>
      </w:pPr>
      <w:r w:rsidRPr="00B70ABC">
        <w:rPr>
          <w:rFonts w:eastAsia="Times New Roman" w:cstheme="minorHAnsi"/>
          <w:b/>
          <w:bCs/>
          <w:kern w:val="36"/>
          <w:sz w:val="24"/>
          <w:szCs w:val="24"/>
          <w:lang w:val="en-US"/>
        </w:rPr>
        <w:lastRenderedPageBreak/>
        <w:t>Results and Discussion</w:t>
      </w:r>
    </w:p>
    <w:p w14:paraId="514F71D5" w14:textId="737C4196"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This section presents the outcomes of the interventions implemented in my teaching practice and discusses their implications in relation to the research questions, particularly Research Question 2, which asks: "In what ways did my pedagogical strategies as a tutor impact the engagement, learning experience, and academic progression of the learners?" The discussion also touches on aspects related to Research Questions 1 and 3, providing a comprehensive analysis of how targeted teaching interventions can address underlying disengagement factors and be scaled across Further Education (FE) institutions.</w:t>
      </w:r>
    </w:p>
    <w:p w14:paraId="6FCEE552" w14:textId="77777777" w:rsidR="00846263" w:rsidRPr="00B70ABC" w:rsidRDefault="00846263" w:rsidP="00B70ABC">
      <w:pPr>
        <w:spacing w:before="100" w:beforeAutospacing="1" w:after="100" w:afterAutospacing="1" w:line="360" w:lineRule="auto"/>
        <w:jc w:val="both"/>
        <w:outlineLvl w:val="1"/>
        <w:rPr>
          <w:rFonts w:eastAsia="Times New Roman" w:cstheme="minorHAnsi"/>
          <w:b/>
          <w:bCs/>
          <w:sz w:val="24"/>
          <w:szCs w:val="24"/>
          <w:lang w:val="en-US"/>
        </w:rPr>
      </w:pPr>
      <w:r w:rsidRPr="00B70ABC">
        <w:rPr>
          <w:rFonts w:eastAsia="Times New Roman" w:cstheme="minorHAnsi"/>
          <w:b/>
          <w:bCs/>
          <w:sz w:val="24"/>
          <w:szCs w:val="24"/>
          <w:lang w:val="en-US"/>
        </w:rPr>
        <w:t>Creating a Supportive and Inclusive Environment</w:t>
      </w:r>
    </w:p>
    <w:p w14:paraId="6F407F09" w14:textId="77777777"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One of the most significant findings is the impact of reconfiguring the classroom environment to be welcoming and supportive. In my practice, I intentionally designed the classroom to be inclusive and relaxed, moving away from the rigid, traditional setups that many disengaged learners had experienced in the past. By involving learners in constructing class rules, I established a mutual understanding from the outset. This participatory process ensured that students not only understood what was expected of them but also had a voice in shaping the learning environment. Such involvement fosters a sense of ownership and empowerment, directly addressing Research Question 1 by mitigating the negative influences of previous, less supportive educational experiences.</w:t>
      </w:r>
    </w:p>
    <w:p w14:paraId="18566D0A" w14:textId="5C96A92D" w:rsidR="00846263" w:rsidRPr="00B70ABC" w:rsidRDefault="008F67C1" w:rsidP="00B70ABC">
      <w:pPr>
        <w:spacing w:before="100" w:beforeAutospacing="1" w:after="100" w:afterAutospacing="1" w:line="360" w:lineRule="auto"/>
        <w:jc w:val="both"/>
        <w:rPr>
          <w:rFonts w:eastAsia="Times New Roman" w:cstheme="minorHAnsi"/>
          <w:sz w:val="24"/>
          <w:szCs w:val="24"/>
          <w:lang w:val="en-US"/>
        </w:rPr>
      </w:pPr>
      <w:r>
        <w:rPr>
          <w:rFonts w:eastAsia="Times New Roman" w:cstheme="minorHAnsi"/>
          <w:sz w:val="24"/>
          <w:szCs w:val="24"/>
          <w:lang w:val="en-US"/>
        </w:rPr>
        <w:t>As a tutor,</w:t>
      </w:r>
      <w:r w:rsidR="00846263" w:rsidRPr="00B70ABC">
        <w:rPr>
          <w:rFonts w:eastAsia="Times New Roman" w:cstheme="minorHAnsi"/>
          <w:sz w:val="24"/>
          <w:szCs w:val="24"/>
          <w:lang w:val="en-US"/>
        </w:rPr>
        <w:t xml:space="preserve"> this collaborative approach has been highly effective. </w:t>
      </w:r>
      <w:r>
        <w:rPr>
          <w:rFonts w:eastAsia="Times New Roman" w:cstheme="minorHAnsi"/>
          <w:sz w:val="24"/>
          <w:szCs w:val="24"/>
          <w:lang w:val="en-US"/>
        </w:rPr>
        <w:t xml:space="preserve">The </w:t>
      </w:r>
      <w:proofErr w:type="gramStart"/>
      <w:r>
        <w:rPr>
          <w:rFonts w:eastAsia="Times New Roman" w:cstheme="minorHAnsi"/>
          <w:sz w:val="24"/>
          <w:szCs w:val="24"/>
          <w:lang w:val="en-US"/>
        </w:rPr>
        <w:t>learners</w:t>
      </w:r>
      <w:proofErr w:type="gramEnd"/>
      <w:r>
        <w:rPr>
          <w:rFonts w:eastAsia="Times New Roman" w:cstheme="minorHAnsi"/>
          <w:sz w:val="24"/>
          <w:szCs w:val="24"/>
          <w:lang w:val="en-US"/>
        </w:rPr>
        <w:t xml:space="preserve"> demeanor was evidentially</w:t>
      </w:r>
      <w:r w:rsidR="00846263" w:rsidRPr="00B70ABC">
        <w:rPr>
          <w:rFonts w:eastAsia="Times New Roman" w:cstheme="minorHAnsi"/>
          <w:sz w:val="24"/>
          <w:szCs w:val="24"/>
          <w:lang w:val="en-US"/>
        </w:rPr>
        <w:t xml:space="preserve"> more comfortable and valued, which in turn has led to increased participation and attendance. The classroom is perceived not as a strict, authoritarian space but as a community where mutual respect is cultivated between the tutor and the learners. This transformation in the classroom culture is a clear testament to the power of inclusive pedagogical strategies. The improved engagement levels also support the findings of previous research, which </w:t>
      </w:r>
      <w:proofErr w:type="spellStart"/>
      <w:r w:rsidR="00846263" w:rsidRPr="00B70ABC">
        <w:rPr>
          <w:rFonts w:eastAsia="Times New Roman" w:cstheme="minorHAnsi"/>
          <w:sz w:val="24"/>
          <w:szCs w:val="24"/>
          <w:lang w:val="en-US"/>
        </w:rPr>
        <w:t>emphasises</w:t>
      </w:r>
      <w:proofErr w:type="spellEnd"/>
      <w:r w:rsidR="00846263" w:rsidRPr="00B70ABC">
        <w:rPr>
          <w:rFonts w:eastAsia="Times New Roman" w:cstheme="minorHAnsi"/>
          <w:sz w:val="24"/>
          <w:szCs w:val="24"/>
          <w:lang w:val="en-US"/>
        </w:rPr>
        <w:t xml:space="preserve"> that learner involvement in rule-setting promotes self-regulation and accountability.</w:t>
      </w:r>
    </w:p>
    <w:p w14:paraId="4561CADD" w14:textId="77777777" w:rsidR="008F3F9D" w:rsidRPr="00B70ABC" w:rsidRDefault="008F3F9D" w:rsidP="00B70ABC">
      <w:pPr>
        <w:spacing w:before="100" w:beforeAutospacing="1" w:after="100" w:afterAutospacing="1" w:line="360" w:lineRule="auto"/>
        <w:jc w:val="both"/>
        <w:outlineLvl w:val="1"/>
        <w:rPr>
          <w:rFonts w:eastAsia="Times New Roman" w:cstheme="minorHAnsi"/>
          <w:b/>
          <w:bCs/>
          <w:sz w:val="24"/>
          <w:szCs w:val="24"/>
          <w:lang w:val="en-US"/>
        </w:rPr>
      </w:pPr>
      <w:r w:rsidRPr="00B70ABC">
        <w:rPr>
          <w:rFonts w:eastAsia="Times New Roman" w:cstheme="minorHAnsi"/>
          <w:b/>
          <w:bCs/>
          <w:sz w:val="24"/>
          <w:szCs w:val="24"/>
          <w:lang w:val="en-US"/>
        </w:rPr>
        <w:br w:type="page"/>
      </w:r>
    </w:p>
    <w:p w14:paraId="46A1DA58" w14:textId="5EA39A42" w:rsidR="00846263" w:rsidRPr="00B70ABC" w:rsidRDefault="00846263" w:rsidP="00B70ABC">
      <w:pPr>
        <w:spacing w:before="100" w:beforeAutospacing="1" w:after="100" w:afterAutospacing="1" w:line="360" w:lineRule="auto"/>
        <w:jc w:val="both"/>
        <w:outlineLvl w:val="1"/>
        <w:rPr>
          <w:rFonts w:eastAsia="Times New Roman" w:cstheme="minorHAnsi"/>
          <w:b/>
          <w:bCs/>
          <w:sz w:val="24"/>
          <w:szCs w:val="24"/>
          <w:lang w:val="en-US"/>
        </w:rPr>
      </w:pPr>
      <w:r w:rsidRPr="00B70ABC">
        <w:rPr>
          <w:rFonts w:eastAsia="Times New Roman" w:cstheme="minorHAnsi"/>
          <w:b/>
          <w:bCs/>
          <w:sz w:val="24"/>
          <w:szCs w:val="24"/>
          <w:lang w:val="en-US"/>
        </w:rPr>
        <w:lastRenderedPageBreak/>
        <w:t>Strategies to Enhance Engagement and Learning Experiences</w:t>
      </w:r>
    </w:p>
    <w:p w14:paraId="4A424746" w14:textId="77777777" w:rsidR="00846263" w:rsidRPr="00B70ABC" w:rsidRDefault="00846263" w:rsidP="00B70ABC">
      <w:pPr>
        <w:spacing w:before="100" w:beforeAutospacing="1" w:after="100" w:afterAutospacing="1" w:line="360" w:lineRule="auto"/>
        <w:jc w:val="both"/>
        <w:outlineLvl w:val="2"/>
        <w:rPr>
          <w:rFonts w:eastAsia="Times New Roman" w:cstheme="minorHAnsi"/>
          <w:b/>
          <w:bCs/>
          <w:sz w:val="24"/>
          <w:szCs w:val="24"/>
          <w:lang w:val="en-US"/>
        </w:rPr>
      </w:pPr>
      <w:r w:rsidRPr="00B70ABC">
        <w:rPr>
          <w:rFonts w:eastAsia="Times New Roman" w:cstheme="minorHAnsi"/>
          <w:b/>
          <w:bCs/>
          <w:sz w:val="24"/>
          <w:szCs w:val="24"/>
          <w:lang w:val="en-US"/>
        </w:rPr>
        <w:t>Experiential and Active Learning</w:t>
      </w:r>
    </w:p>
    <w:p w14:paraId="6BB51215" w14:textId="77777777"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Central to my teaching approach is the integration of experiential learning activities that actively involve students in their own learning process. I deliberately "shake up" the traditional lesson structure by incorporating a variety of activities such as games, group work, matching tasks, and practical sessions. The balance between theoretical and practical components is carefully maintained so that learners can first understand the theory behind a concept and then apply it in a real-life context. This blend of instruction ensures that learning is not only theoretically sound but also practically relevant, which is particularly important for learners who may otherwise feel that the academic content is abstract or disconnected from their lived experiences.</w:t>
      </w:r>
    </w:p>
    <w:p w14:paraId="1C839EAD" w14:textId="77777777"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For instance, by using group-based games and matching activities, learners are not only engaged through interactive tasks but are also encouraged to collaborate and share diverse perspectives. This method has led to an increase in participation and has helped demystify challenging subjects. The practical sessions, in which learners apply theoretical knowledge to hands-on tasks, further enhance understanding and retention of the subject matter. The success of these strategies is evident in the enhanced classroom dynamics and the noticeable improvement in learner performance. Such outcomes directly answer Research Question 2 by demonstrating that well-structured, interactive lessons can transform disengagement into active and sustained learning.</w:t>
      </w:r>
    </w:p>
    <w:p w14:paraId="006B0DD2" w14:textId="77777777" w:rsidR="00846263" w:rsidRPr="00B70ABC" w:rsidRDefault="00846263" w:rsidP="00B70ABC">
      <w:pPr>
        <w:spacing w:before="100" w:beforeAutospacing="1" w:after="100" w:afterAutospacing="1" w:line="360" w:lineRule="auto"/>
        <w:jc w:val="both"/>
        <w:outlineLvl w:val="2"/>
        <w:rPr>
          <w:rFonts w:eastAsia="Times New Roman" w:cstheme="minorHAnsi"/>
          <w:b/>
          <w:bCs/>
          <w:sz w:val="24"/>
          <w:szCs w:val="24"/>
          <w:lang w:val="en-US"/>
        </w:rPr>
      </w:pPr>
      <w:r w:rsidRPr="00B70ABC">
        <w:rPr>
          <w:rFonts w:eastAsia="Times New Roman" w:cstheme="minorHAnsi"/>
          <w:b/>
          <w:bCs/>
          <w:sz w:val="24"/>
          <w:szCs w:val="24"/>
          <w:lang w:val="en-US"/>
        </w:rPr>
        <w:t>Establishing a Safe Zone for Learner Wellbeing</w:t>
      </w:r>
    </w:p>
    <w:p w14:paraId="25FDE2E5" w14:textId="77777777"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An innovative aspect of my approach has been the creation of a safe zone or “chill-out” space within the classroom. This designated area provides learners with a physical space to retreat to if they feel overwhelmed or anxious during lessons. The availability of a safe zone is critical because it acknowledges the emotional and psychological dimensions of disengagement. Learners who might otherwise withdraw from the lesson due to stress or frustration are given an opportunity to pause, collect their thoughts, and return when they feel more capable of engaging with the content.</w:t>
      </w:r>
    </w:p>
    <w:p w14:paraId="17F6281D" w14:textId="77777777"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lastRenderedPageBreak/>
        <w:t xml:space="preserve">The use of a safe zone has not only reduced the incidence of disruptive </w:t>
      </w:r>
      <w:r w:rsidRPr="001251DD">
        <w:rPr>
          <w:rFonts w:eastAsia="Times New Roman" w:cstheme="minorHAnsi"/>
          <w:sz w:val="24"/>
          <w:szCs w:val="24"/>
        </w:rPr>
        <w:t>behaviour</w:t>
      </w:r>
      <w:r w:rsidRPr="00B70ABC">
        <w:rPr>
          <w:rFonts w:eastAsia="Times New Roman" w:cstheme="minorHAnsi"/>
          <w:sz w:val="24"/>
          <w:szCs w:val="24"/>
          <w:lang w:val="en-US"/>
        </w:rPr>
        <w:t xml:space="preserve"> but has also facilitated one-on-one interactions between the tutor and learners. Following a learner’s use of the safe space, I make it a point to engage in reflective discussions with them. These conversations provide valuable insights into the specific triggers of disengagement and allow us to collaboratively explore alternative strategies that might better support their learning. The implementation of this supportive measure is linked to Research Question 2, as it highlights how empathetic and responsive teaching practices can directly improve the overall learning experience.</w:t>
      </w:r>
    </w:p>
    <w:p w14:paraId="596D9300" w14:textId="77777777" w:rsidR="00846263" w:rsidRPr="00B70ABC" w:rsidRDefault="00846263" w:rsidP="00B70ABC">
      <w:pPr>
        <w:spacing w:before="100" w:beforeAutospacing="1" w:after="100" w:afterAutospacing="1" w:line="360" w:lineRule="auto"/>
        <w:jc w:val="both"/>
        <w:outlineLvl w:val="2"/>
        <w:rPr>
          <w:rFonts w:eastAsia="Times New Roman" w:cstheme="minorHAnsi"/>
          <w:b/>
          <w:bCs/>
          <w:sz w:val="24"/>
          <w:szCs w:val="24"/>
          <w:lang w:val="en-US"/>
        </w:rPr>
      </w:pPr>
      <w:r w:rsidRPr="00B70ABC">
        <w:rPr>
          <w:rFonts w:eastAsia="Times New Roman" w:cstheme="minorHAnsi"/>
          <w:b/>
          <w:bCs/>
          <w:sz w:val="24"/>
          <w:szCs w:val="24"/>
          <w:lang w:val="en-US"/>
        </w:rPr>
        <w:t>Fostering Empathy and Building Rapport</w:t>
      </w:r>
    </w:p>
    <w:p w14:paraId="5BAD3A82" w14:textId="77777777"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The manner in which I communicate with learners has also had a profound impact on engagement. I consistently employ empathetic language and maintain an open, approachable </w:t>
      </w:r>
      <w:proofErr w:type="spellStart"/>
      <w:r w:rsidRPr="00B70ABC">
        <w:rPr>
          <w:rFonts w:eastAsia="Times New Roman" w:cstheme="minorHAnsi"/>
          <w:sz w:val="24"/>
          <w:szCs w:val="24"/>
          <w:lang w:val="en-US"/>
        </w:rPr>
        <w:t>demeanour</w:t>
      </w:r>
      <w:proofErr w:type="spellEnd"/>
      <w:r w:rsidRPr="00B70ABC">
        <w:rPr>
          <w:rFonts w:eastAsia="Times New Roman" w:cstheme="minorHAnsi"/>
          <w:sz w:val="24"/>
          <w:szCs w:val="24"/>
          <w:lang w:val="en-US"/>
        </w:rPr>
        <w:t>. By reassuring students that it is acceptable to make mistakes and that uncertainty is part of the learning process, I have cultivated an environment in which learners feel safe to express themselves and take risks. This emphasis on empathy and rapport-building is critical; it enables learners to develop trust in both the teaching process and in my support as their tutor.</w:t>
      </w:r>
    </w:p>
    <w:p w14:paraId="1FAA64BF" w14:textId="73BE7662"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The resulting improvement in learner confidence and willingness to participate is a direct response to Research Question 2, which focuses on the impact of my pedagogical strategies on learner engagement and progression. The positive changes in classroom dynamics and the development of a trusting tutor-learner relationship further underscore</w:t>
      </w:r>
      <w:r w:rsidR="00044C3E">
        <w:rPr>
          <w:rFonts w:eastAsia="Times New Roman" w:cstheme="minorHAnsi"/>
          <w:sz w:val="24"/>
          <w:szCs w:val="24"/>
          <w:lang w:val="en-US"/>
        </w:rPr>
        <w:t>s</w:t>
      </w:r>
      <w:r w:rsidRPr="00B70ABC">
        <w:rPr>
          <w:rFonts w:eastAsia="Times New Roman" w:cstheme="minorHAnsi"/>
          <w:sz w:val="24"/>
          <w:szCs w:val="24"/>
          <w:lang w:val="en-US"/>
        </w:rPr>
        <w:t xml:space="preserve"> the effectiveness of these approaches.</w:t>
      </w:r>
    </w:p>
    <w:p w14:paraId="66E7ACDB" w14:textId="77777777" w:rsidR="00846263" w:rsidRPr="00B70ABC" w:rsidRDefault="00846263" w:rsidP="00B70ABC">
      <w:pPr>
        <w:spacing w:before="100" w:beforeAutospacing="1" w:after="100" w:afterAutospacing="1" w:line="360" w:lineRule="auto"/>
        <w:jc w:val="both"/>
        <w:outlineLvl w:val="2"/>
        <w:rPr>
          <w:rFonts w:eastAsia="Times New Roman" w:cstheme="minorHAnsi"/>
          <w:b/>
          <w:bCs/>
          <w:sz w:val="24"/>
          <w:szCs w:val="24"/>
          <w:lang w:val="en-US"/>
        </w:rPr>
      </w:pPr>
      <w:r w:rsidRPr="00B70ABC">
        <w:rPr>
          <w:rFonts w:eastAsia="Times New Roman" w:cstheme="minorHAnsi"/>
          <w:b/>
          <w:bCs/>
          <w:sz w:val="24"/>
          <w:szCs w:val="24"/>
          <w:lang w:val="en-US"/>
        </w:rPr>
        <w:t>Integrating Learner Feedback</w:t>
      </w:r>
    </w:p>
    <w:p w14:paraId="6DCBD0A5" w14:textId="2475D8AD"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Another cornerstone of my teaching practice is the systematic incorporation of learner feedback. At the end of each lesson, I invite students to provide their reflections on what worked well and what could be improved. This continuous feedback loop serves several purposes. Firstly, it reinforces the notion that learners have a stake in their educational experience. Secondly, it provides me with actionable insights that inform future lesson planning and pedagogical </w:t>
      </w:r>
      <w:r w:rsidRPr="00B70ABC">
        <w:rPr>
          <w:rFonts w:eastAsia="Times New Roman" w:cstheme="minorHAnsi"/>
          <w:sz w:val="24"/>
          <w:szCs w:val="24"/>
          <w:lang w:val="en-US"/>
        </w:rPr>
        <w:lastRenderedPageBreak/>
        <w:t>adjustments. The practice of collecting and acting on feedback is essential for maintaining a dynamic and responsive learning environment, directly addressing Research Question 2 by showing how reflective practice contributes to improved engagement and academic outcomes.</w:t>
      </w:r>
      <w:r w:rsidR="00044C3E">
        <w:rPr>
          <w:rFonts w:eastAsia="Times New Roman" w:cstheme="minorHAnsi"/>
          <w:sz w:val="24"/>
          <w:szCs w:val="24"/>
          <w:lang w:val="en-US"/>
        </w:rPr>
        <w:t xml:space="preserve"> </w:t>
      </w:r>
      <w:r w:rsidRPr="00B70ABC">
        <w:rPr>
          <w:rFonts w:eastAsia="Times New Roman" w:cstheme="minorHAnsi"/>
          <w:sz w:val="24"/>
          <w:szCs w:val="24"/>
          <w:lang w:val="en-US"/>
        </w:rPr>
        <w:t>The iterative process of refining lesson structures based on student input has led to measurable improvements in both the quality of instruction and learner satisfaction</w:t>
      </w:r>
    </w:p>
    <w:p w14:paraId="3F103623" w14:textId="77777777" w:rsidR="00846263" w:rsidRPr="00B70ABC" w:rsidRDefault="00846263" w:rsidP="00B70ABC">
      <w:pPr>
        <w:spacing w:before="100" w:beforeAutospacing="1" w:after="100" w:afterAutospacing="1" w:line="360" w:lineRule="auto"/>
        <w:jc w:val="both"/>
        <w:outlineLvl w:val="2"/>
        <w:rPr>
          <w:rFonts w:eastAsia="Times New Roman" w:cstheme="minorHAnsi"/>
          <w:b/>
          <w:bCs/>
          <w:sz w:val="24"/>
          <w:szCs w:val="24"/>
          <w:lang w:val="en-US"/>
        </w:rPr>
      </w:pPr>
      <w:r w:rsidRPr="00B70ABC">
        <w:rPr>
          <w:rFonts w:eastAsia="Times New Roman" w:cstheme="minorHAnsi"/>
          <w:b/>
          <w:bCs/>
          <w:sz w:val="24"/>
          <w:szCs w:val="24"/>
          <w:lang w:val="en-US"/>
        </w:rPr>
        <w:t>Outcomes and Evidence of Success</w:t>
      </w:r>
    </w:p>
    <w:p w14:paraId="6BF9C1A4" w14:textId="158073F4"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The impact of these teaching strategies is evident in the improved academic progression and increased engagement observed among my learners. Many students who previously stated they would never pursue further education have demonstrated significant progress and enthusiasm towards learning. These improvements are corroborated by both qualitative and quantitative data collected throughout the project</w:t>
      </w:r>
      <w:r w:rsidR="00044C3E">
        <w:rPr>
          <w:rFonts w:eastAsia="Times New Roman" w:cstheme="minorHAnsi"/>
          <w:sz w:val="24"/>
          <w:szCs w:val="24"/>
          <w:lang w:val="en-US"/>
        </w:rPr>
        <w:t xml:space="preserve">, demonstrating </w:t>
      </w:r>
      <w:r w:rsidRPr="00B70ABC">
        <w:rPr>
          <w:rFonts w:eastAsia="Times New Roman" w:cstheme="minorHAnsi"/>
          <w:sz w:val="24"/>
          <w:szCs w:val="24"/>
          <w:lang w:val="en-US"/>
        </w:rPr>
        <w:t xml:space="preserve">learners feel more motivated and supported, while attendance and academic performance </w:t>
      </w:r>
      <w:r w:rsidR="003063ED">
        <w:rPr>
          <w:rFonts w:eastAsia="Times New Roman" w:cstheme="minorHAnsi"/>
          <w:sz w:val="24"/>
          <w:szCs w:val="24"/>
          <w:lang w:val="en-US"/>
        </w:rPr>
        <w:t>display</w:t>
      </w:r>
      <w:r w:rsidRPr="00B70ABC">
        <w:rPr>
          <w:rFonts w:eastAsia="Times New Roman" w:cstheme="minorHAnsi"/>
          <w:sz w:val="24"/>
          <w:szCs w:val="24"/>
          <w:lang w:val="en-US"/>
        </w:rPr>
        <w:t xml:space="preserve"> improvements.</w:t>
      </w:r>
    </w:p>
    <w:p w14:paraId="6786A41E" w14:textId="77777777" w:rsidR="00846263" w:rsidRPr="00B70ABC" w:rsidRDefault="00846263" w:rsidP="00B70ABC">
      <w:pPr>
        <w:spacing w:before="100" w:beforeAutospacing="1" w:after="100" w:afterAutospacing="1" w:line="360" w:lineRule="auto"/>
        <w:jc w:val="both"/>
        <w:rPr>
          <w:rFonts w:eastAsia="Times New Roman" w:cstheme="minorHAnsi"/>
          <w:sz w:val="24"/>
          <w:szCs w:val="24"/>
          <w:lang w:val="en-US"/>
        </w:rPr>
      </w:pPr>
      <w:r w:rsidRPr="00B70ABC">
        <w:rPr>
          <w:rFonts w:eastAsia="Times New Roman" w:cstheme="minorHAnsi"/>
          <w:sz w:val="24"/>
          <w:szCs w:val="24"/>
          <w:lang w:val="en-US"/>
        </w:rPr>
        <w:t xml:space="preserve">For example, learners who initially exhibited signs of disengagement—such as low participation and high absenteeism—began to attend classes regularly and actively contribute to group discussions. This change in </w:t>
      </w:r>
      <w:proofErr w:type="spellStart"/>
      <w:r w:rsidRPr="00B70ABC">
        <w:rPr>
          <w:rFonts w:eastAsia="Times New Roman" w:cstheme="minorHAnsi"/>
          <w:sz w:val="24"/>
          <w:szCs w:val="24"/>
          <w:lang w:val="en-US"/>
        </w:rPr>
        <w:t>behaviour</w:t>
      </w:r>
      <w:proofErr w:type="spellEnd"/>
      <w:r w:rsidRPr="00B70ABC">
        <w:rPr>
          <w:rFonts w:eastAsia="Times New Roman" w:cstheme="minorHAnsi"/>
          <w:sz w:val="24"/>
          <w:szCs w:val="24"/>
          <w:lang w:val="en-US"/>
        </w:rPr>
        <w:t xml:space="preserve"> can be attributed to the combination of a welcoming classroom environment, the safe zone for emotional regulation, and the varied, interactive lesson structures. The success of these interventions in reversing disengagement and promoting academic progression directly addresses Research Question 2 by providing concrete evidence of the effectiveness of tailored, empathetic teaching strategies.</w:t>
      </w:r>
    </w:p>
    <w:p w14:paraId="3352F056" w14:textId="190BA117" w:rsidR="00846263" w:rsidRPr="00E26C10" w:rsidRDefault="00846263" w:rsidP="00B70ABC">
      <w:pPr>
        <w:spacing w:before="100" w:beforeAutospacing="1" w:after="100" w:afterAutospacing="1" w:line="360" w:lineRule="auto"/>
        <w:jc w:val="both"/>
        <w:rPr>
          <w:rFonts w:eastAsia="Times New Roman" w:cstheme="minorHAnsi"/>
          <w:sz w:val="24"/>
          <w:szCs w:val="24"/>
          <w:lang w:val="en-US"/>
        </w:rPr>
      </w:pPr>
      <w:r w:rsidRPr="00E26C10">
        <w:rPr>
          <w:rFonts w:eastAsia="Times New Roman" w:cstheme="minorHAnsi"/>
          <w:sz w:val="24"/>
          <w:szCs w:val="24"/>
          <w:lang w:val="en-US"/>
        </w:rPr>
        <w:t xml:space="preserve">Furthermore, the ability to replicate these positive outcomes in a structured manner speaks to the potential scalability of these interventions across other FE institutions. The strategies I have employed, including collaborative rule-setting, the provision of safe spaces, and the integration of multiple learning modalities, offer a model that can be adapted and implemented widely. </w:t>
      </w:r>
    </w:p>
    <w:p w14:paraId="427DA9E7" w14:textId="77777777" w:rsidR="00E26C10" w:rsidRPr="00B70ABC" w:rsidRDefault="00E26C10" w:rsidP="00B70ABC">
      <w:pPr>
        <w:spacing w:before="100" w:beforeAutospacing="1" w:after="100" w:afterAutospacing="1" w:line="360" w:lineRule="auto"/>
        <w:jc w:val="both"/>
        <w:rPr>
          <w:rFonts w:eastAsia="Times New Roman" w:cstheme="minorHAnsi"/>
          <w:sz w:val="24"/>
          <w:szCs w:val="24"/>
          <w:lang w:val="en-US"/>
        </w:rPr>
      </w:pPr>
    </w:p>
    <w:p w14:paraId="61AF87CA" w14:textId="77777777" w:rsidR="00E26C10" w:rsidRDefault="00E26C10" w:rsidP="00E26C10">
      <w:pPr>
        <w:pStyle w:val="Heading2"/>
        <w:spacing w:line="360" w:lineRule="auto"/>
        <w:jc w:val="both"/>
        <w:rPr>
          <w:rFonts w:asciiTheme="minorHAnsi" w:hAnsiTheme="minorHAnsi" w:cstheme="minorHAnsi"/>
          <w:sz w:val="24"/>
          <w:szCs w:val="24"/>
        </w:rPr>
      </w:pPr>
      <w:r>
        <w:rPr>
          <w:rFonts w:asciiTheme="minorHAnsi" w:hAnsiTheme="minorHAnsi" w:cstheme="minorHAnsi"/>
          <w:sz w:val="24"/>
          <w:szCs w:val="24"/>
        </w:rPr>
        <w:br w:type="page"/>
      </w:r>
    </w:p>
    <w:p w14:paraId="4348492C" w14:textId="336FC399" w:rsidR="008F3F9D" w:rsidRPr="00B70ABC" w:rsidRDefault="008F3F9D" w:rsidP="00E26C10">
      <w:pPr>
        <w:pStyle w:val="Heading2"/>
        <w:spacing w:line="360" w:lineRule="auto"/>
        <w:jc w:val="both"/>
        <w:rPr>
          <w:rFonts w:asciiTheme="minorHAnsi" w:hAnsiTheme="minorHAnsi" w:cstheme="minorHAnsi"/>
          <w:sz w:val="24"/>
          <w:szCs w:val="24"/>
        </w:rPr>
      </w:pPr>
      <w:r w:rsidRPr="00B70ABC">
        <w:rPr>
          <w:rFonts w:asciiTheme="minorHAnsi" w:hAnsiTheme="minorHAnsi" w:cstheme="minorHAnsi"/>
          <w:sz w:val="24"/>
          <w:szCs w:val="24"/>
        </w:rPr>
        <w:lastRenderedPageBreak/>
        <w:t>Scaling Successful Interventions Across Educational Institutions</w:t>
      </w:r>
    </w:p>
    <w:p w14:paraId="472BE79D" w14:textId="7BED1813" w:rsidR="008F3F9D" w:rsidRDefault="008F3F9D" w:rsidP="00B70ABC">
      <w:pPr>
        <w:pStyle w:val="NormalWeb"/>
        <w:spacing w:line="360" w:lineRule="auto"/>
        <w:jc w:val="both"/>
        <w:rPr>
          <w:rFonts w:asciiTheme="minorHAnsi" w:hAnsiTheme="minorHAnsi" w:cstheme="minorHAnsi"/>
        </w:rPr>
      </w:pPr>
      <w:r w:rsidRPr="00B70ABC">
        <w:rPr>
          <w:rFonts w:asciiTheme="minorHAnsi" w:hAnsiTheme="minorHAnsi" w:cstheme="minorHAnsi"/>
        </w:rPr>
        <w:t>The successful outcomes of my teaching interventions provide a promising blueprint for re-engaging disengaged learners in Further Education. To ensure that these strategies can be systematically replicated across other UK institutions, several key factors must be considered, which directly address Research Question 3.</w:t>
      </w:r>
    </w:p>
    <w:p w14:paraId="51C19932" w14:textId="77777777" w:rsidR="003063ED" w:rsidRPr="00B70ABC" w:rsidRDefault="003063ED" w:rsidP="00B70ABC">
      <w:pPr>
        <w:pStyle w:val="NormalWeb"/>
        <w:spacing w:line="360" w:lineRule="auto"/>
        <w:jc w:val="both"/>
        <w:rPr>
          <w:rFonts w:asciiTheme="minorHAnsi" w:hAnsiTheme="minorHAnsi" w:cstheme="minorHAnsi"/>
        </w:rPr>
      </w:pPr>
    </w:p>
    <w:p w14:paraId="7386E40C" w14:textId="77777777" w:rsidR="008F3F9D" w:rsidRPr="00B70ABC" w:rsidRDefault="008F3F9D" w:rsidP="00B70ABC">
      <w:pPr>
        <w:pStyle w:val="NormalWeb"/>
        <w:spacing w:line="360" w:lineRule="auto"/>
        <w:jc w:val="both"/>
        <w:rPr>
          <w:rStyle w:val="Strong"/>
          <w:rFonts w:asciiTheme="minorHAnsi" w:hAnsiTheme="minorHAnsi" w:cstheme="minorHAnsi"/>
        </w:rPr>
      </w:pPr>
      <w:r w:rsidRPr="00B70ABC">
        <w:rPr>
          <w:rStyle w:val="Strong"/>
          <w:rFonts w:asciiTheme="minorHAnsi" w:hAnsiTheme="minorHAnsi" w:cstheme="minorHAnsi"/>
        </w:rPr>
        <w:t>Institutional Support and Professional Development</w:t>
      </w:r>
    </w:p>
    <w:p w14:paraId="7A614893" w14:textId="5AEE38F7" w:rsidR="008F3F9D" w:rsidRDefault="008F3F9D" w:rsidP="00B70ABC">
      <w:pPr>
        <w:pStyle w:val="NormalWeb"/>
        <w:spacing w:line="360" w:lineRule="auto"/>
        <w:jc w:val="both"/>
        <w:rPr>
          <w:rFonts w:asciiTheme="minorHAnsi" w:hAnsiTheme="minorHAnsi" w:cstheme="minorHAnsi"/>
        </w:rPr>
      </w:pPr>
      <w:r w:rsidRPr="00B70ABC">
        <w:rPr>
          <w:rFonts w:asciiTheme="minorHAnsi" w:hAnsiTheme="minorHAnsi" w:cstheme="minorHAnsi"/>
        </w:rPr>
        <w:br/>
        <w:t xml:space="preserve">A critical element in scaling these interventions is robust institutional backing. As Hattie (2008) notes, sustainable change in educational practice requires that institutions not only endorse innovative approaches but also provide ongoing professional development and allocate sufficient resources. In my experience, the success of creating a supportive, inclusive classroom environment was underpinned by </w:t>
      </w:r>
      <w:r w:rsidR="003063ED">
        <w:rPr>
          <w:rFonts w:asciiTheme="minorHAnsi" w:hAnsiTheme="minorHAnsi" w:cstheme="minorHAnsi"/>
        </w:rPr>
        <w:t>continuous professional development</w:t>
      </w:r>
      <w:r w:rsidRPr="00B70ABC">
        <w:rPr>
          <w:rFonts w:asciiTheme="minorHAnsi" w:hAnsiTheme="minorHAnsi" w:cstheme="minorHAnsi"/>
        </w:rPr>
        <w:t xml:space="preserve">. These </w:t>
      </w:r>
      <w:proofErr w:type="spellStart"/>
      <w:r w:rsidRPr="00B70ABC">
        <w:rPr>
          <w:rFonts w:asciiTheme="minorHAnsi" w:hAnsiTheme="minorHAnsi" w:cstheme="minorHAnsi"/>
        </w:rPr>
        <w:t>programmes</w:t>
      </w:r>
      <w:proofErr w:type="spellEnd"/>
      <w:r w:rsidRPr="00B70ABC">
        <w:rPr>
          <w:rFonts w:asciiTheme="minorHAnsi" w:hAnsiTheme="minorHAnsi" w:cstheme="minorHAnsi"/>
        </w:rPr>
        <w:t xml:space="preserve"> equip educators with the skills to implement differentiated instruction, facilitate active learning, and foster strong teacher-student relationships. This directly links to Research Question 3, as it </w:t>
      </w:r>
      <w:proofErr w:type="spellStart"/>
      <w:r w:rsidRPr="00B70ABC">
        <w:rPr>
          <w:rFonts w:asciiTheme="minorHAnsi" w:hAnsiTheme="minorHAnsi" w:cstheme="minorHAnsi"/>
        </w:rPr>
        <w:t>emphasises</w:t>
      </w:r>
      <w:proofErr w:type="spellEnd"/>
      <w:r w:rsidRPr="00B70ABC">
        <w:rPr>
          <w:rFonts w:asciiTheme="minorHAnsi" w:hAnsiTheme="minorHAnsi" w:cstheme="minorHAnsi"/>
        </w:rPr>
        <w:t xml:space="preserve"> that replication on a systemic level hinges on structured support and continuous professional development.</w:t>
      </w:r>
    </w:p>
    <w:p w14:paraId="000C4A54" w14:textId="77777777" w:rsidR="003063ED" w:rsidRPr="00B70ABC" w:rsidRDefault="003063ED" w:rsidP="00B70ABC">
      <w:pPr>
        <w:pStyle w:val="NormalWeb"/>
        <w:spacing w:line="360" w:lineRule="auto"/>
        <w:jc w:val="both"/>
        <w:rPr>
          <w:rFonts w:asciiTheme="minorHAnsi" w:hAnsiTheme="minorHAnsi" w:cstheme="minorHAnsi"/>
        </w:rPr>
      </w:pPr>
    </w:p>
    <w:p w14:paraId="2923403C" w14:textId="77777777" w:rsidR="00B70ABC" w:rsidRDefault="008F3F9D" w:rsidP="00B70ABC">
      <w:pPr>
        <w:pStyle w:val="NormalWeb"/>
        <w:spacing w:line="360" w:lineRule="auto"/>
        <w:jc w:val="both"/>
        <w:rPr>
          <w:rStyle w:val="Strong"/>
          <w:rFonts w:asciiTheme="minorHAnsi" w:hAnsiTheme="minorHAnsi" w:cstheme="minorHAnsi"/>
        </w:rPr>
      </w:pPr>
      <w:r w:rsidRPr="00B70ABC">
        <w:rPr>
          <w:rStyle w:val="Strong"/>
          <w:rFonts w:asciiTheme="minorHAnsi" w:hAnsiTheme="minorHAnsi" w:cstheme="minorHAnsi"/>
        </w:rPr>
        <w:t>Integrating Technology to Enhance Engagement</w:t>
      </w:r>
    </w:p>
    <w:p w14:paraId="012A27BE" w14:textId="728C2FE3" w:rsidR="008F3F9D" w:rsidRDefault="008F3F9D" w:rsidP="00B70ABC">
      <w:pPr>
        <w:pStyle w:val="NormalWeb"/>
        <w:spacing w:line="360" w:lineRule="auto"/>
        <w:jc w:val="both"/>
        <w:rPr>
          <w:rFonts w:asciiTheme="minorHAnsi" w:hAnsiTheme="minorHAnsi" w:cstheme="minorHAnsi"/>
        </w:rPr>
      </w:pPr>
      <w:r w:rsidRPr="00B70ABC">
        <w:rPr>
          <w:rFonts w:asciiTheme="minorHAnsi" w:hAnsiTheme="minorHAnsi" w:cstheme="minorHAnsi"/>
        </w:rPr>
        <w:br/>
        <w:t xml:space="preserve">The incorporation of digital tools, such as interactive platforms and game-based learning systems like </w:t>
      </w:r>
      <w:proofErr w:type="gramStart"/>
      <w:r w:rsidRPr="00B70ABC">
        <w:rPr>
          <w:rFonts w:asciiTheme="minorHAnsi" w:hAnsiTheme="minorHAnsi" w:cstheme="minorHAnsi"/>
        </w:rPr>
        <w:t>Kahoot!,</w:t>
      </w:r>
      <w:proofErr w:type="gramEnd"/>
      <w:r w:rsidRPr="00B70ABC">
        <w:rPr>
          <w:rFonts w:asciiTheme="minorHAnsi" w:hAnsiTheme="minorHAnsi" w:cstheme="minorHAnsi"/>
        </w:rPr>
        <w:t xml:space="preserve"> has played a significant role in boosting student engagement. However, while technology can offer innovative ways to </w:t>
      </w:r>
      <w:proofErr w:type="spellStart"/>
      <w:r w:rsidRPr="00B70ABC">
        <w:rPr>
          <w:rFonts w:asciiTheme="minorHAnsi" w:hAnsiTheme="minorHAnsi" w:cstheme="minorHAnsi"/>
        </w:rPr>
        <w:t>personalise</w:t>
      </w:r>
      <w:proofErr w:type="spellEnd"/>
      <w:r w:rsidRPr="00B70ABC">
        <w:rPr>
          <w:rFonts w:asciiTheme="minorHAnsi" w:hAnsiTheme="minorHAnsi" w:cstheme="minorHAnsi"/>
        </w:rPr>
        <w:t xml:space="preserve"> learning and sustain engagement, it also introduces challenges related to equity and access. As Sarkar (2024) cautions, not all learners have equal access to digital resources. Therefore, any plan to replicate these interventions must </w:t>
      </w:r>
      <w:r w:rsidRPr="00B70ABC">
        <w:rPr>
          <w:rFonts w:asciiTheme="minorHAnsi" w:hAnsiTheme="minorHAnsi" w:cstheme="minorHAnsi"/>
        </w:rPr>
        <w:lastRenderedPageBreak/>
        <w:t xml:space="preserve">include strategies for ensuring equitable technology access. This might involve providing devices or improving digital infrastructure within institutions. By carefully balancing digital integration with traditional teaching methods, other FE institutions can adopt these practices in a manner that supports </w:t>
      </w:r>
      <w:proofErr w:type="spellStart"/>
      <w:r w:rsidRPr="00B70ABC">
        <w:rPr>
          <w:rFonts w:asciiTheme="minorHAnsi" w:hAnsiTheme="minorHAnsi" w:cstheme="minorHAnsi"/>
        </w:rPr>
        <w:t>personalised</w:t>
      </w:r>
      <w:proofErr w:type="spellEnd"/>
      <w:r w:rsidRPr="00B70ABC">
        <w:rPr>
          <w:rFonts w:asciiTheme="minorHAnsi" w:hAnsiTheme="minorHAnsi" w:cstheme="minorHAnsi"/>
        </w:rPr>
        <w:t xml:space="preserve"> learning, thereby addressing Research Question 3.</w:t>
      </w:r>
    </w:p>
    <w:p w14:paraId="0715FA3A" w14:textId="77777777" w:rsidR="003063ED" w:rsidRPr="00B70ABC" w:rsidRDefault="003063ED" w:rsidP="00B70ABC">
      <w:pPr>
        <w:pStyle w:val="NormalWeb"/>
        <w:spacing w:line="360" w:lineRule="auto"/>
        <w:jc w:val="both"/>
        <w:rPr>
          <w:rFonts w:asciiTheme="minorHAnsi" w:hAnsiTheme="minorHAnsi" w:cstheme="minorHAnsi"/>
          <w:b/>
          <w:bCs/>
        </w:rPr>
      </w:pPr>
    </w:p>
    <w:p w14:paraId="70707147" w14:textId="77777777" w:rsidR="008F3F9D" w:rsidRPr="00B70ABC" w:rsidRDefault="008F3F9D" w:rsidP="00B70ABC">
      <w:pPr>
        <w:pStyle w:val="NormalWeb"/>
        <w:spacing w:line="360" w:lineRule="auto"/>
        <w:jc w:val="both"/>
        <w:rPr>
          <w:rStyle w:val="Strong"/>
          <w:rFonts w:asciiTheme="minorHAnsi" w:hAnsiTheme="minorHAnsi" w:cstheme="minorHAnsi"/>
        </w:rPr>
      </w:pPr>
      <w:r w:rsidRPr="00B70ABC">
        <w:rPr>
          <w:rStyle w:val="Strong"/>
          <w:rFonts w:asciiTheme="minorHAnsi" w:hAnsiTheme="minorHAnsi" w:cstheme="minorHAnsi"/>
        </w:rPr>
        <w:t xml:space="preserve">Balancing </w:t>
      </w:r>
      <w:proofErr w:type="spellStart"/>
      <w:r w:rsidRPr="00B70ABC">
        <w:rPr>
          <w:rStyle w:val="Strong"/>
          <w:rFonts w:asciiTheme="minorHAnsi" w:hAnsiTheme="minorHAnsi" w:cstheme="minorHAnsi"/>
        </w:rPr>
        <w:t>Standardisation</w:t>
      </w:r>
      <w:proofErr w:type="spellEnd"/>
      <w:r w:rsidRPr="00B70ABC">
        <w:rPr>
          <w:rStyle w:val="Strong"/>
          <w:rFonts w:asciiTheme="minorHAnsi" w:hAnsiTheme="minorHAnsi" w:cstheme="minorHAnsi"/>
        </w:rPr>
        <w:t xml:space="preserve"> with </w:t>
      </w:r>
      <w:proofErr w:type="spellStart"/>
      <w:r w:rsidRPr="00B70ABC">
        <w:rPr>
          <w:rStyle w:val="Strong"/>
          <w:rFonts w:asciiTheme="minorHAnsi" w:hAnsiTheme="minorHAnsi" w:cstheme="minorHAnsi"/>
        </w:rPr>
        <w:t>Personalisation</w:t>
      </w:r>
      <w:proofErr w:type="spellEnd"/>
    </w:p>
    <w:p w14:paraId="49434CB6" w14:textId="3832BB86" w:rsidR="008F3F9D" w:rsidRDefault="008F3F9D" w:rsidP="00B70ABC">
      <w:pPr>
        <w:pStyle w:val="NormalWeb"/>
        <w:spacing w:line="360" w:lineRule="auto"/>
        <w:jc w:val="both"/>
        <w:rPr>
          <w:rFonts w:asciiTheme="minorHAnsi" w:hAnsiTheme="minorHAnsi" w:cstheme="minorHAnsi"/>
        </w:rPr>
      </w:pPr>
      <w:r w:rsidRPr="00B70ABC">
        <w:rPr>
          <w:rFonts w:asciiTheme="minorHAnsi" w:hAnsiTheme="minorHAnsi" w:cstheme="minorHAnsi"/>
        </w:rPr>
        <w:br/>
        <w:t xml:space="preserve">Another challenge in scaling successful interventions is achieving the right balance between </w:t>
      </w:r>
      <w:r w:rsidRPr="001251DD">
        <w:rPr>
          <w:rFonts w:asciiTheme="minorHAnsi" w:hAnsiTheme="minorHAnsi" w:cstheme="minorHAnsi"/>
          <w:lang w:val="en-GB"/>
        </w:rPr>
        <w:t>standardised</w:t>
      </w:r>
      <w:r w:rsidRPr="00B70ABC">
        <w:rPr>
          <w:rFonts w:asciiTheme="minorHAnsi" w:hAnsiTheme="minorHAnsi" w:cstheme="minorHAnsi"/>
        </w:rPr>
        <w:t xml:space="preserve"> curricula and </w:t>
      </w:r>
      <w:proofErr w:type="spellStart"/>
      <w:r w:rsidRPr="00B70ABC">
        <w:rPr>
          <w:rFonts w:asciiTheme="minorHAnsi" w:hAnsiTheme="minorHAnsi" w:cstheme="minorHAnsi"/>
        </w:rPr>
        <w:t>personalised</w:t>
      </w:r>
      <w:proofErr w:type="spellEnd"/>
      <w:r w:rsidRPr="00B70ABC">
        <w:rPr>
          <w:rFonts w:asciiTheme="minorHAnsi" w:hAnsiTheme="minorHAnsi" w:cstheme="minorHAnsi"/>
        </w:rPr>
        <w:t xml:space="preserve"> learning approaches. While </w:t>
      </w:r>
      <w:proofErr w:type="spellStart"/>
      <w:r w:rsidRPr="00B70ABC">
        <w:rPr>
          <w:rFonts w:asciiTheme="minorHAnsi" w:hAnsiTheme="minorHAnsi" w:cstheme="minorHAnsi"/>
        </w:rPr>
        <w:t>standardisation</w:t>
      </w:r>
      <w:proofErr w:type="spellEnd"/>
      <w:r w:rsidRPr="00B70ABC">
        <w:rPr>
          <w:rFonts w:asciiTheme="minorHAnsi" w:hAnsiTheme="minorHAnsi" w:cstheme="minorHAnsi"/>
        </w:rPr>
        <w:t xml:space="preserve"> is important for maintaining academic quality across diverse classrooms, rigid frameworks can hinder the flexibility necessary for effective, learner-</w:t>
      </w:r>
      <w:r w:rsidR="001251DD" w:rsidRPr="00B70ABC">
        <w:rPr>
          <w:rFonts w:asciiTheme="minorHAnsi" w:hAnsiTheme="minorHAnsi" w:cstheme="minorHAnsi"/>
        </w:rPr>
        <w:t>centered</w:t>
      </w:r>
      <w:r w:rsidRPr="00B70ABC">
        <w:rPr>
          <w:rFonts w:asciiTheme="minorHAnsi" w:hAnsiTheme="minorHAnsi" w:cstheme="minorHAnsi"/>
        </w:rPr>
        <w:t xml:space="preserve"> teaching. Tomlinson (2014) argues that differentiation must be embedded within a consistent framework that allows for individual adjustment. In my practice, the adoption of multimodal instructional strategies—such as blending theory with practical activities—ensured that lessons were both coherent and tailored to individual needs. Replicating these methods on a wider scale will require FE institutions to develop flexible curricular frameworks that maintain high standards while accommodating </w:t>
      </w:r>
      <w:proofErr w:type="spellStart"/>
      <w:r w:rsidRPr="00B70ABC">
        <w:rPr>
          <w:rFonts w:asciiTheme="minorHAnsi" w:hAnsiTheme="minorHAnsi" w:cstheme="minorHAnsi"/>
        </w:rPr>
        <w:t>personalised</w:t>
      </w:r>
      <w:proofErr w:type="spellEnd"/>
      <w:r w:rsidRPr="00B70ABC">
        <w:rPr>
          <w:rFonts w:asciiTheme="minorHAnsi" w:hAnsiTheme="minorHAnsi" w:cstheme="minorHAnsi"/>
        </w:rPr>
        <w:t xml:space="preserve"> learning experiences, directly supporting Research Question 3.</w:t>
      </w:r>
    </w:p>
    <w:p w14:paraId="6D33BA4E" w14:textId="77777777" w:rsidR="003063ED" w:rsidRPr="00B70ABC" w:rsidRDefault="003063ED" w:rsidP="00B70ABC">
      <w:pPr>
        <w:pStyle w:val="NormalWeb"/>
        <w:spacing w:line="360" w:lineRule="auto"/>
        <w:jc w:val="both"/>
        <w:rPr>
          <w:rFonts w:asciiTheme="minorHAnsi" w:hAnsiTheme="minorHAnsi" w:cstheme="minorHAnsi"/>
          <w:b/>
          <w:bCs/>
        </w:rPr>
      </w:pPr>
    </w:p>
    <w:p w14:paraId="05AC0CA8" w14:textId="77777777" w:rsidR="008F3F9D" w:rsidRPr="00B70ABC" w:rsidRDefault="008F3F9D" w:rsidP="00B70ABC">
      <w:pPr>
        <w:pStyle w:val="NormalWeb"/>
        <w:spacing w:line="360" w:lineRule="auto"/>
        <w:jc w:val="both"/>
        <w:rPr>
          <w:rStyle w:val="Strong"/>
          <w:rFonts w:asciiTheme="minorHAnsi" w:hAnsiTheme="minorHAnsi" w:cstheme="minorHAnsi"/>
        </w:rPr>
      </w:pPr>
      <w:r w:rsidRPr="00B70ABC">
        <w:rPr>
          <w:rStyle w:val="Strong"/>
          <w:rFonts w:asciiTheme="minorHAnsi" w:hAnsiTheme="minorHAnsi" w:cstheme="minorHAnsi"/>
        </w:rPr>
        <w:t>Collaborative Structures and Policy Implications</w:t>
      </w:r>
    </w:p>
    <w:p w14:paraId="35E2ADCC" w14:textId="036C9F18" w:rsidR="008F3F9D" w:rsidRPr="003063ED" w:rsidRDefault="008F3F9D" w:rsidP="00B70ABC">
      <w:pPr>
        <w:pStyle w:val="NormalWeb"/>
        <w:spacing w:line="360" w:lineRule="auto"/>
        <w:jc w:val="both"/>
        <w:rPr>
          <w:rFonts w:asciiTheme="minorHAnsi" w:hAnsiTheme="minorHAnsi" w:cstheme="minorHAnsi"/>
        </w:rPr>
      </w:pPr>
      <w:r w:rsidRPr="003063ED">
        <w:rPr>
          <w:rFonts w:asciiTheme="minorHAnsi" w:hAnsiTheme="minorHAnsi" w:cstheme="minorHAnsi"/>
        </w:rPr>
        <w:br/>
        <w:t>Successful replication also demands a cultural shift within institutions. Establishing collaborative learning communities, where educators can share best practices, support each other, and collaboratively plan lessons, is essential</w:t>
      </w:r>
      <w:r w:rsidR="003063ED" w:rsidRPr="003063ED">
        <w:rPr>
          <w:rFonts w:asciiTheme="minorHAnsi" w:hAnsiTheme="minorHAnsi" w:cstheme="minorHAnsi"/>
        </w:rPr>
        <w:t xml:space="preserve"> (Hattie, 2008)</w:t>
      </w:r>
      <w:r w:rsidRPr="003063ED">
        <w:rPr>
          <w:rFonts w:asciiTheme="minorHAnsi" w:hAnsiTheme="minorHAnsi" w:cstheme="minorHAnsi"/>
        </w:rPr>
        <w:t xml:space="preserve">. Such communities not only facilitate professional growth but also help </w:t>
      </w:r>
      <w:proofErr w:type="spellStart"/>
      <w:r w:rsidRPr="003063ED">
        <w:rPr>
          <w:rFonts w:asciiTheme="minorHAnsi" w:hAnsiTheme="minorHAnsi" w:cstheme="minorHAnsi"/>
        </w:rPr>
        <w:t>standardise</w:t>
      </w:r>
      <w:proofErr w:type="spellEnd"/>
      <w:r w:rsidRPr="003063ED">
        <w:rPr>
          <w:rFonts w:asciiTheme="minorHAnsi" w:hAnsiTheme="minorHAnsi" w:cstheme="minorHAnsi"/>
        </w:rPr>
        <w:t xml:space="preserve"> effective practices. Furthermore, policy reviews and revisions are necessary to create an environment that encourages innovation. Clear policies that advocate for flexible teaching methods, coupled with effective communication and risk </w:t>
      </w:r>
      <w:r w:rsidRPr="003063ED">
        <w:rPr>
          <w:rFonts w:asciiTheme="minorHAnsi" w:hAnsiTheme="minorHAnsi" w:cstheme="minorHAnsi"/>
        </w:rPr>
        <w:lastRenderedPageBreak/>
        <w:t>mitigation strategies, can help sustain these interventions. This multi-layered approach ensures that successful strategies are not isolated to individual classrooms but become integral parts of institutional practice, directly addressing the scalability concerns of Research Question 3.</w:t>
      </w:r>
    </w:p>
    <w:p w14:paraId="54323B95" w14:textId="2DB51151" w:rsidR="008F3F9D" w:rsidRPr="00B70ABC" w:rsidRDefault="008F3F9D" w:rsidP="00B70ABC">
      <w:pPr>
        <w:pStyle w:val="NormalWeb"/>
        <w:spacing w:line="360" w:lineRule="auto"/>
        <w:jc w:val="both"/>
        <w:rPr>
          <w:rFonts w:asciiTheme="minorHAnsi" w:hAnsiTheme="minorHAnsi" w:cstheme="minorHAnsi"/>
        </w:rPr>
      </w:pPr>
      <w:r w:rsidRPr="00B70ABC">
        <w:rPr>
          <w:rFonts w:asciiTheme="minorHAnsi" w:hAnsiTheme="minorHAnsi" w:cstheme="minorHAnsi"/>
        </w:rPr>
        <w:t xml:space="preserve">In summary, the systematic replication of successful teaching interventions in FE depends on multi-faceted strategies that include robust institutional support, continuous professional development, careful technology integration, and balanced curricular frameworks. These components, when combined with a collaborative </w:t>
      </w:r>
      <w:proofErr w:type="spellStart"/>
      <w:r w:rsidRPr="00B70ABC">
        <w:rPr>
          <w:rFonts w:asciiTheme="minorHAnsi" w:hAnsiTheme="minorHAnsi" w:cstheme="minorHAnsi"/>
        </w:rPr>
        <w:t>organisational</w:t>
      </w:r>
      <w:proofErr w:type="spellEnd"/>
      <w:r w:rsidRPr="00B70ABC">
        <w:rPr>
          <w:rFonts w:asciiTheme="minorHAnsi" w:hAnsiTheme="minorHAnsi" w:cstheme="minorHAnsi"/>
        </w:rPr>
        <w:t xml:space="preserve"> culture and supportive policies, can create the conditions necessary for sustained and scalable improvement in learner engagement across the UK.</w:t>
      </w:r>
    </w:p>
    <w:p w14:paraId="4B2B3038" w14:textId="77777777" w:rsidR="00657D02" w:rsidRPr="00B70ABC" w:rsidRDefault="00657D02" w:rsidP="00B70ABC">
      <w:pPr>
        <w:pStyle w:val="NormalWeb"/>
        <w:spacing w:line="360" w:lineRule="auto"/>
        <w:jc w:val="both"/>
        <w:rPr>
          <w:rFonts w:asciiTheme="minorHAnsi" w:hAnsiTheme="minorHAnsi" w:cstheme="minorHAnsi"/>
          <w:b/>
        </w:rPr>
      </w:pPr>
    </w:p>
    <w:p w14:paraId="0AADC3A6" w14:textId="61E0051E" w:rsidR="00657D02" w:rsidRPr="00B70ABC" w:rsidRDefault="00657D02" w:rsidP="00B70ABC">
      <w:pPr>
        <w:pStyle w:val="NormalWeb"/>
        <w:spacing w:line="360" w:lineRule="auto"/>
        <w:jc w:val="both"/>
        <w:rPr>
          <w:rFonts w:asciiTheme="minorHAnsi" w:hAnsiTheme="minorHAnsi" w:cstheme="minorHAnsi"/>
          <w:b/>
        </w:rPr>
      </w:pPr>
      <w:r w:rsidRPr="00B70ABC">
        <w:rPr>
          <w:rFonts w:asciiTheme="minorHAnsi" w:hAnsiTheme="minorHAnsi" w:cstheme="minorHAnsi"/>
          <w:b/>
        </w:rPr>
        <w:t>Conclusion</w:t>
      </w:r>
    </w:p>
    <w:p w14:paraId="32C93AAF" w14:textId="315D167A" w:rsidR="00657D02" w:rsidRPr="00B70ABC" w:rsidRDefault="00657D02" w:rsidP="00B70ABC">
      <w:pPr>
        <w:pStyle w:val="NormalWeb"/>
        <w:spacing w:line="360" w:lineRule="auto"/>
        <w:jc w:val="both"/>
        <w:rPr>
          <w:rFonts w:asciiTheme="minorHAnsi" w:hAnsiTheme="minorHAnsi" w:cstheme="minorHAnsi"/>
        </w:rPr>
      </w:pPr>
      <w:r w:rsidRPr="00B70ABC">
        <w:rPr>
          <w:rFonts w:asciiTheme="minorHAnsi" w:hAnsiTheme="minorHAnsi" w:cstheme="minorHAnsi"/>
        </w:rPr>
        <w:t>This action research project has offered a comprehensive investigation into the multifaceted challenge of learner disengagement in Further Education. The literature review demonstrated that disengagement arises from negative past educational experiences, socioeconomic disadvantages, and a misalignment between traditional teaching methods and diverse learner needs. Seminal works by Dewey (1938), Dweck (2006), and Kolb (1984), alongside contemporary studies by Mitchell and Sutherland (2020) and Hattie (2008), provided the theoretical foundations that informed our targeted interventions.</w:t>
      </w:r>
    </w:p>
    <w:p w14:paraId="6CDD220A" w14:textId="77777777" w:rsidR="00657D02" w:rsidRPr="00B70ABC" w:rsidRDefault="00657D02" w:rsidP="00B70ABC">
      <w:pPr>
        <w:pStyle w:val="NormalWeb"/>
        <w:spacing w:line="360" w:lineRule="auto"/>
        <w:jc w:val="both"/>
        <w:rPr>
          <w:rFonts w:asciiTheme="minorHAnsi" w:hAnsiTheme="minorHAnsi" w:cstheme="minorHAnsi"/>
        </w:rPr>
      </w:pPr>
      <w:r w:rsidRPr="00B70ABC">
        <w:rPr>
          <w:rFonts w:asciiTheme="minorHAnsi" w:hAnsiTheme="minorHAnsi" w:cstheme="minorHAnsi"/>
        </w:rPr>
        <w:t>The methodology adopted a cyclical process of reflection, planning, action, and evaluation. Employing a reflective cycle and a phenomenological framework allowed for an in-depth exploration of the lived experiences of disengaged learners. Drawing on my experiences as a tutor in FE, I integrated self-reflective insights with secondary data to construct a robust, iterative model of intervention. This approach enabled continuous refinement of teaching practices to better address learner needs.</w:t>
      </w:r>
    </w:p>
    <w:p w14:paraId="7A6FCAFF" w14:textId="77777777" w:rsidR="00657D02" w:rsidRPr="00B70ABC" w:rsidRDefault="00657D02" w:rsidP="00B70ABC">
      <w:pPr>
        <w:pStyle w:val="NormalWeb"/>
        <w:spacing w:line="360" w:lineRule="auto"/>
        <w:jc w:val="both"/>
        <w:rPr>
          <w:rFonts w:asciiTheme="minorHAnsi" w:hAnsiTheme="minorHAnsi" w:cstheme="minorHAnsi"/>
        </w:rPr>
      </w:pPr>
    </w:p>
    <w:p w14:paraId="73AF7F1E" w14:textId="77777777" w:rsidR="00E26C10" w:rsidRDefault="00657D02" w:rsidP="00B70ABC">
      <w:pPr>
        <w:pStyle w:val="NormalWeb"/>
        <w:spacing w:line="360" w:lineRule="auto"/>
        <w:jc w:val="both"/>
        <w:rPr>
          <w:rFonts w:asciiTheme="minorHAnsi" w:hAnsiTheme="minorHAnsi" w:cstheme="minorHAnsi"/>
        </w:rPr>
      </w:pPr>
      <w:r w:rsidRPr="00B70ABC">
        <w:rPr>
          <w:rFonts w:asciiTheme="minorHAnsi" w:hAnsiTheme="minorHAnsi" w:cstheme="minorHAnsi"/>
        </w:rPr>
        <w:lastRenderedPageBreak/>
        <w:t xml:space="preserve">The results and discussion revealed that transforming the classroom into an inclusive, supportive environment significantly enhanced engagement. Strategies such as participatory rule-setting, the creation of a safe zone for emotional regulation, and the integration of experiential and active learning not only improved attendance and participation but also facilitated the acquisition of transferable skills. Additionally, fostering empathetic teacher-student relationships and systematically incorporating learner feedback led to measurable improvements in academic progression. </w:t>
      </w:r>
    </w:p>
    <w:p w14:paraId="16660999" w14:textId="7E7F460E" w:rsidR="00657D02" w:rsidRPr="00B70ABC" w:rsidRDefault="00657D02" w:rsidP="00B70ABC">
      <w:pPr>
        <w:pStyle w:val="NormalWeb"/>
        <w:spacing w:line="360" w:lineRule="auto"/>
        <w:jc w:val="both"/>
        <w:rPr>
          <w:rFonts w:asciiTheme="minorHAnsi" w:hAnsiTheme="minorHAnsi" w:cstheme="minorHAnsi"/>
        </w:rPr>
      </w:pPr>
      <w:r w:rsidRPr="00B70ABC">
        <w:rPr>
          <w:rFonts w:asciiTheme="minorHAnsi" w:hAnsiTheme="minorHAnsi" w:cstheme="minorHAnsi"/>
        </w:rPr>
        <w:t>These outcomes provide concrete evidence that tailored, empathetic pedagogical strategies can transform disengagement into active learning and indicate that such interventions are scalable across FE institutions, provided that robust institutional support and professional development are in place.</w:t>
      </w:r>
      <w:r w:rsidR="00E26C10">
        <w:rPr>
          <w:rFonts w:asciiTheme="minorHAnsi" w:hAnsiTheme="minorHAnsi" w:cstheme="minorHAnsi"/>
        </w:rPr>
        <w:t xml:space="preserve">  </w:t>
      </w:r>
      <w:r w:rsidRPr="00B70ABC">
        <w:rPr>
          <w:rFonts w:asciiTheme="minorHAnsi" w:hAnsiTheme="minorHAnsi" w:cstheme="minorHAnsi"/>
        </w:rPr>
        <w:t>The insights gained offer a replicable model for educational practice and policy, paving the way for more inclusive and effective learning environments in Further Education.</w:t>
      </w:r>
    </w:p>
    <w:p w14:paraId="20FB5F8E" w14:textId="668D8F12" w:rsidR="00B95A28" w:rsidRPr="00B70ABC" w:rsidRDefault="00B95A28" w:rsidP="00B70ABC">
      <w:pPr>
        <w:spacing w:line="360" w:lineRule="auto"/>
        <w:jc w:val="both"/>
        <w:rPr>
          <w:rFonts w:cstheme="minorHAnsi"/>
          <w:sz w:val="24"/>
          <w:szCs w:val="24"/>
        </w:rPr>
      </w:pPr>
    </w:p>
    <w:p w14:paraId="5FB68020" w14:textId="775E3C9D" w:rsidR="00B95A28" w:rsidRPr="00B70ABC" w:rsidRDefault="00B95A28" w:rsidP="00B70ABC">
      <w:pPr>
        <w:spacing w:line="360" w:lineRule="auto"/>
        <w:jc w:val="both"/>
        <w:rPr>
          <w:rFonts w:cstheme="minorHAnsi"/>
          <w:sz w:val="24"/>
          <w:szCs w:val="24"/>
        </w:rPr>
      </w:pPr>
    </w:p>
    <w:p w14:paraId="75484FF0" w14:textId="722FA298" w:rsidR="00B95A28" w:rsidRPr="00B70ABC" w:rsidRDefault="00B95A28" w:rsidP="00B70ABC">
      <w:pPr>
        <w:spacing w:line="360" w:lineRule="auto"/>
        <w:jc w:val="both"/>
        <w:rPr>
          <w:rFonts w:cstheme="minorHAnsi"/>
          <w:sz w:val="24"/>
          <w:szCs w:val="24"/>
        </w:rPr>
      </w:pPr>
    </w:p>
    <w:p w14:paraId="287D9D87" w14:textId="761104B4" w:rsidR="00B95A28" w:rsidRPr="00B70ABC" w:rsidRDefault="00B95A28" w:rsidP="00B70ABC">
      <w:pPr>
        <w:spacing w:line="360" w:lineRule="auto"/>
        <w:jc w:val="both"/>
        <w:rPr>
          <w:rFonts w:cstheme="minorHAnsi"/>
          <w:sz w:val="24"/>
          <w:szCs w:val="24"/>
        </w:rPr>
      </w:pPr>
    </w:p>
    <w:p w14:paraId="05EE643B" w14:textId="77777777" w:rsidR="00B95A28" w:rsidRPr="00B70ABC" w:rsidRDefault="00B95A28" w:rsidP="00B70ABC">
      <w:pPr>
        <w:spacing w:line="360" w:lineRule="auto"/>
        <w:jc w:val="both"/>
        <w:rPr>
          <w:rFonts w:cstheme="minorHAnsi"/>
          <w:sz w:val="24"/>
          <w:szCs w:val="24"/>
        </w:rPr>
      </w:pPr>
    </w:p>
    <w:p w14:paraId="614F33E0" w14:textId="722FD773" w:rsidR="00634555" w:rsidRDefault="00634555" w:rsidP="00B70ABC">
      <w:pPr>
        <w:spacing w:line="360" w:lineRule="auto"/>
        <w:jc w:val="both"/>
        <w:rPr>
          <w:rFonts w:cstheme="minorHAnsi"/>
          <w:sz w:val="24"/>
          <w:szCs w:val="24"/>
        </w:rPr>
      </w:pPr>
    </w:p>
    <w:p w14:paraId="30695748" w14:textId="54462C6A" w:rsidR="006C4A5B" w:rsidRDefault="006C4A5B" w:rsidP="00B70ABC">
      <w:pPr>
        <w:spacing w:line="360" w:lineRule="auto"/>
        <w:jc w:val="both"/>
        <w:rPr>
          <w:rFonts w:cstheme="minorHAnsi"/>
          <w:sz w:val="24"/>
          <w:szCs w:val="24"/>
        </w:rPr>
      </w:pPr>
    </w:p>
    <w:p w14:paraId="2322AE62" w14:textId="0488B135" w:rsidR="006C4A5B" w:rsidRDefault="006C4A5B" w:rsidP="00B70ABC">
      <w:pPr>
        <w:spacing w:line="360" w:lineRule="auto"/>
        <w:jc w:val="both"/>
        <w:rPr>
          <w:rFonts w:cstheme="minorHAnsi"/>
          <w:sz w:val="24"/>
          <w:szCs w:val="24"/>
        </w:rPr>
      </w:pPr>
    </w:p>
    <w:p w14:paraId="0B02FC4C" w14:textId="0C95B260" w:rsidR="006C4A5B" w:rsidRDefault="006C4A5B" w:rsidP="00B70ABC">
      <w:pPr>
        <w:spacing w:line="360" w:lineRule="auto"/>
        <w:jc w:val="both"/>
        <w:rPr>
          <w:rFonts w:cstheme="minorHAnsi"/>
          <w:sz w:val="24"/>
          <w:szCs w:val="24"/>
        </w:rPr>
      </w:pPr>
    </w:p>
    <w:p w14:paraId="65E8BA48" w14:textId="2C3F38D8" w:rsidR="006C4A5B" w:rsidRDefault="006C4A5B" w:rsidP="00B70ABC">
      <w:pPr>
        <w:spacing w:line="360" w:lineRule="auto"/>
        <w:jc w:val="both"/>
        <w:rPr>
          <w:rFonts w:cstheme="minorHAnsi"/>
          <w:sz w:val="24"/>
          <w:szCs w:val="24"/>
        </w:rPr>
      </w:pPr>
    </w:p>
    <w:p w14:paraId="10748466" w14:textId="6107ECEF" w:rsidR="006C4A5B" w:rsidRDefault="006C4A5B" w:rsidP="00B70ABC">
      <w:pPr>
        <w:spacing w:line="360" w:lineRule="auto"/>
        <w:jc w:val="both"/>
        <w:rPr>
          <w:rFonts w:cstheme="minorHAnsi"/>
          <w:sz w:val="24"/>
          <w:szCs w:val="24"/>
        </w:rPr>
      </w:pPr>
    </w:p>
    <w:p w14:paraId="26E3959A" w14:textId="77777777" w:rsidR="006C4A5B" w:rsidRDefault="006C4A5B" w:rsidP="00B70ABC">
      <w:pPr>
        <w:spacing w:line="360" w:lineRule="auto"/>
        <w:jc w:val="both"/>
        <w:rPr>
          <w:rFonts w:cstheme="minorHAnsi"/>
          <w:b/>
          <w:sz w:val="24"/>
          <w:szCs w:val="24"/>
        </w:rPr>
      </w:pPr>
      <w:r>
        <w:rPr>
          <w:rFonts w:cstheme="minorHAnsi"/>
          <w:b/>
          <w:sz w:val="24"/>
          <w:szCs w:val="24"/>
        </w:rPr>
        <w:br w:type="page"/>
      </w:r>
    </w:p>
    <w:p w14:paraId="0819694A" w14:textId="5AAC8127" w:rsidR="006C4A5B" w:rsidRPr="006C4A5B" w:rsidRDefault="006C4A5B" w:rsidP="00B70ABC">
      <w:pPr>
        <w:spacing w:line="360" w:lineRule="auto"/>
        <w:jc w:val="both"/>
        <w:rPr>
          <w:rFonts w:cstheme="minorHAnsi"/>
          <w:b/>
          <w:sz w:val="24"/>
          <w:szCs w:val="24"/>
        </w:rPr>
      </w:pPr>
      <w:r w:rsidRPr="006C4A5B">
        <w:rPr>
          <w:rFonts w:cstheme="minorHAnsi"/>
          <w:b/>
          <w:sz w:val="24"/>
          <w:szCs w:val="24"/>
        </w:rPr>
        <w:lastRenderedPageBreak/>
        <w:t>References</w:t>
      </w:r>
    </w:p>
    <w:p w14:paraId="345AFAAF"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proofErr w:type="spellStart"/>
      <w:r w:rsidRPr="006C4A5B">
        <w:rPr>
          <w:rFonts w:eastAsia="Times New Roman" w:cstheme="minorHAnsi"/>
          <w:sz w:val="24"/>
          <w:szCs w:val="24"/>
          <w:lang w:val="en-US"/>
        </w:rPr>
        <w:t>Adami</w:t>
      </w:r>
      <w:proofErr w:type="spellEnd"/>
      <w:r w:rsidRPr="006C4A5B">
        <w:rPr>
          <w:rFonts w:eastAsia="Times New Roman" w:cstheme="minorHAnsi"/>
          <w:sz w:val="24"/>
          <w:szCs w:val="24"/>
          <w:lang w:val="en-US"/>
        </w:rPr>
        <w:t xml:space="preserve">, A. (2004) ‘Project-based learning in vocational education: Improving engagement and retention’, </w:t>
      </w:r>
      <w:r w:rsidRPr="006C4A5B">
        <w:rPr>
          <w:rFonts w:eastAsia="Times New Roman" w:cstheme="minorHAnsi"/>
          <w:i/>
          <w:iCs/>
          <w:sz w:val="24"/>
          <w:szCs w:val="24"/>
          <w:lang w:val="en-US"/>
        </w:rPr>
        <w:t>Journal of Educational Practice</w:t>
      </w:r>
      <w:r w:rsidRPr="006C4A5B">
        <w:rPr>
          <w:rFonts w:eastAsia="Times New Roman" w:cstheme="minorHAnsi"/>
          <w:sz w:val="24"/>
          <w:szCs w:val="24"/>
          <w:lang w:val="en-US"/>
        </w:rPr>
        <w:t>, 10(3), pp. 45-58.</w:t>
      </w:r>
    </w:p>
    <w:p w14:paraId="214FCB91"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Berne, E. (1961) </w:t>
      </w:r>
      <w:r w:rsidRPr="006C4A5B">
        <w:rPr>
          <w:rFonts w:eastAsia="Times New Roman" w:cstheme="minorHAnsi"/>
          <w:i/>
          <w:iCs/>
          <w:sz w:val="24"/>
          <w:szCs w:val="24"/>
          <w:lang w:val="en-US"/>
        </w:rPr>
        <w:t>Transactional Analysis in Psychotherapy: A Systematic Individual and Social Psychiatry</w:t>
      </w:r>
      <w:r w:rsidRPr="006C4A5B">
        <w:rPr>
          <w:rFonts w:eastAsia="Times New Roman" w:cstheme="minorHAnsi"/>
          <w:sz w:val="24"/>
          <w:szCs w:val="24"/>
          <w:lang w:val="en-US"/>
        </w:rPr>
        <w:t>. New York: Grove Press.</w:t>
      </w:r>
    </w:p>
    <w:p w14:paraId="0D4131CD"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Dewey, J. (1938) </w:t>
      </w:r>
      <w:r w:rsidRPr="006C4A5B">
        <w:rPr>
          <w:rFonts w:eastAsia="Times New Roman" w:cstheme="minorHAnsi"/>
          <w:i/>
          <w:iCs/>
          <w:sz w:val="24"/>
          <w:szCs w:val="24"/>
          <w:lang w:val="en-US"/>
        </w:rPr>
        <w:t>Experience and Education</w:t>
      </w:r>
      <w:r w:rsidRPr="006C4A5B">
        <w:rPr>
          <w:rFonts w:eastAsia="Times New Roman" w:cstheme="minorHAnsi"/>
          <w:sz w:val="24"/>
          <w:szCs w:val="24"/>
          <w:lang w:val="en-US"/>
        </w:rPr>
        <w:t>. New York: Macmillan.</w:t>
      </w:r>
    </w:p>
    <w:p w14:paraId="19203AD3"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Dweck, C. (2006) </w:t>
      </w:r>
      <w:r w:rsidRPr="006C4A5B">
        <w:rPr>
          <w:rFonts w:eastAsia="Times New Roman" w:cstheme="minorHAnsi"/>
          <w:i/>
          <w:iCs/>
          <w:sz w:val="24"/>
          <w:szCs w:val="24"/>
          <w:lang w:val="en-US"/>
        </w:rPr>
        <w:t>Mindset: The New Psychology of Success</w:t>
      </w:r>
      <w:r w:rsidRPr="006C4A5B">
        <w:rPr>
          <w:rFonts w:eastAsia="Times New Roman" w:cstheme="minorHAnsi"/>
          <w:sz w:val="24"/>
          <w:szCs w:val="24"/>
          <w:lang w:val="en-US"/>
        </w:rPr>
        <w:t>. New York: Random House.</w:t>
      </w:r>
    </w:p>
    <w:p w14:paraId="047D70B8"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Elliott, J. (1991) </w:t>
      </w:r>
      <w:r w:rsidRPr="006C4A5B">
        <w:rPr>
          <w:rFonts w:eastAsia="Times New Roman" w:cstheme="minorHAnsi"/>
          <w:i/>
          <w:iCs/>
          <w:sz w:val="24"/>
          <w:szCs w:val="24"/>
          <w:lang w:val="en-US"/>
        </w:rPr>
        <w:t>Action Research for Educational Change</w:t>
      </w:r>
      <w:r w:rsidRPr="006C4A5B">
        <w:rPr>
          <w:rFonts w:eastAsia="Times New Roman" w:cstheme="minorHAnsi"/>
          <w:sz w:val="24"/>
          <w:szCs w:val="24"/>
          <w:lang w:val="en-US"/>
        </w:rPr>
        <w:t>. Milton Keynes: Open University Press.</w:t>
      </w:r>
    </w:p>
    <w:p w14:paraId="5B5A01EF"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Fredricks, J., Blumenfeld, P. and Paris, A. (2004) ‘School engagement: Potential of the concept, state of the evidence’, </w:t>
      </w:r>
      <w:r w:rsidRPr="006C4A5B">
        <w:rPr>
          <w:rFonts w:eastAsia="Times New Roman" w:cstheme="minorHAnsi"/>
          <w:i/>
          <w:iCs/>
          <w:sz w:val="24"/>
          <w:szCs w:val="24"/>
          <w:lang w:val="en-US"/>
        </w:rPr>
        <w:t>Review of Educational Research</w:t>
      </w:r>
      <w:r w:rsidRPr="006C4A5B">
        <w:rPr>
          <w:rFonts w:eastAsia="Times New Roman" w:cstheme="minorHAnsi"/>
          <w:sz w:val="24"/>
          <w:szCs w:val="24"/>
          <w:lang w:val="en-US"/>
        </w:rPr>
        <w:t>, 74(1), pp. 59-109.</w:t>
      </w:r>
    </w:p>
    <w:p w14:paraId="2709056B"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Gibbs, G. and Powell, C. (2012) ‘Teacher-student relationships and their impact on student engagement’, </w:t>
      </w:r>
      <w:r w:rsidRPr="006C4A5B">
        <w:rPr>
          <w:rFonts w:eastAsia="Times New Roman" w:cstheme="minorHAnsi"/>
          <w:i/>
          <w:iCs/>
          <w:sz w:val="24"/>
          <w:szCs w:val="24"/>
          <w:lang w:val="en-US"/>
        </w:rPr>
        <w:t>Journal of Educational Psychology</w:t>
      </w:r>
      <w:r w:rsidRPr="006C4A5B">
        <w:rPr>
          <w:rFonts w:eastAsia="Times New Roman" w:cstheme="minorHAnsi"/>
          <w:sz w:val="24"/>
          <w:szCs w:val="24"/>
          <w:lang w:val="en-US"/>
        </w:rPr>
        <w:t>, 24(2), pp. 178-194.</w:t>
      </w:r>
    </w:p>
    <w:p w14:paraId="20219A50"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Goodman, S. and </w:t>
      </w:r>
      <w:proofErr w:type="spellStart"/>
      <w:r w:rsidRPr="006C4A5B">
        <w:rPr>
          <w:rFonts w:eastAsia="Times New Roman" w:cstheme="minorHAnsi"/>
          <w:sz w:val="24"/>
          <w:szCs w:val="24"/>
          <w:lang w:val="en-US"/>
        </w:rPr>
        <w:t>Beenen</w:t>
      </w:r>
      <w:proofErr w:type="spellEnd"/>
      <w:r w:rsidRPr="006C4A5B">
        <w:rPr>
          <w:rFonts w:eastAsia="Times New Roman" w:cstheme="minorHAnsi"/>
          <w:sz w:val="24"/>
          <w:szCs w:val="24"/>
          <w:lang w:val="en-US"/>
        </w:rPr>
        <w:t xml:space="preserve">, G. (2008) ‘Motivation and student engagement: The impact of socioeconomic factors’, </w:t>
      </w:r>
      <w:r w:rsidRPr="006C4A5B">
        <w:rPr>
          <w:rFonts w:eastAsia="Times New Roman" w:cstheme="minorHAnsi"/>
          <w:i/>
          <w:iCs/>
          <w:sz w:val="24"/>
          <w:szCs w:val="24"/>
          <w:lang w:val="en-US"/>
        </w:rPr>
        <w:t>Education Research Quarterly</w:t>
      </w:r>
      <w:r w:rsidRPr="006C4A5B">
        <w:rPr>
          <w:rFonts w:eastAsia="Times New Roman" w:cstheme="minorHAnsi"/>
          <w:sz w:val="24"/>
          <w:szCs w:val="24"/>
          <w:lang w:val="en-US"/>
        </w:rPr>
        <w:t>, 31(3), pp. 45-60.</w:t>
      </w:r>
    </w:p>
    <w:p w14:paraId="4429AAA1"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Hattie, J. (2008) </w:t>
      </w:r>
      <w:r w:rsidRPr="006C4A5B">
        <w:rPr>
          <w:rFonts w:eastAsia="Times New Roman" w:cstheme="minorHAnsi"/>
          <w:i/>
          <w:iCs/>
          <w:sz w:val="24"/>
          <w:szCs w:val="24"/>
          <w:lang w:val="en-US"/>
        </w:rPr>
        <w:t>Visible Learning: A Synthesis of Over 800 Meta-Analyses Relating to Achievement</w:t>
      </w:r>
      <w:r w:rsidRPr="006C4A5B">
        <w:rPr>
          <w:rFonts w:eastAsia="Times New Roman" w:cstheme="minorHAnsi"/>
          <w:sz w:val="24"/>
          <w:szCs w:val="24"/>
          <w:lang w:val="en-US"/>
        </w:rPr>
        <w:t>. London: Routledge.</w:t>
      </w:r>
    </w:p>
    <w:p w14:paraId="0D83CBD7"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Hu, X. (2023) ‘The role of </w:t>
      </w:r>
      <w:proofErr w:type="spellStart"/>
      <w:r w:rsidRPr="006C4A5B">
        <w:rPr>
          <w:rFonts w:eastAsia="Times New Roman" w:cstheme="minorHAnsi"/>
          <w:sz w:val="24"/>
          <w:szCs w:val="24"/>
          <w:lang w:val="en-US"/>
        </w:rPr>
        <w:t>personalised</w:t>
      </w:r>
      <w:proofErr w:type="spellEnd"/>
      <w:r w:rsidRPr="006C4A5B">
        <w:rPr>
          <w:rFonts w:eastAsia="Times New Roman" w:cstheme="minorHAnsi"/>
          <w:sz w:val="24"/>
          <w:szCs w:val="24"/>
          <w:lang w:val="en-US"/>
        </w:rPr>
        <w:t xml:space="preserve"> feedback in student engagement’, </w:t>
      </w:r>
      <w:r w:rsidRPr="006C4A5B">
        <w:rPr>
          <w:rFonts w:eastAsia="Times New Roman" w:cstheme="minorHAnsi"/>
          <w:i/>
          <w:iCs/>
          <w:sz w:val="24"/>
          <w:szCs w:val="24"/>
          <w:lang w:val="en-US"/>
        </w:rPr>
        <w:t>Educational Research Review</w:t>
      </w:r>
      <w:r w:rsidRPr="006C4A5B">
        <w:rPr>
          <w:rFonts w:eastAsia="Times New Roman" w:cstheme="minorHAnsi"/>
          <w:sz w:val="24"/>
          <w:szCs w:val="24"/>
          <w:lang w:val="en-US"/>
        </w:rPr>
        <w:t>, 18(1), pp. 33-50.</w:t>
      </w:r>
    </w:p>
    <w:p w14:paraId="142FB96C"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Kolb, D. A. (1984) </w:t>
      </w:r>
      <w:r w:rsidRPr="006C4A5B">
        <w:rPr>
          <w:rFonts w:eastAsia="Times New Roman" w:cstheme="minorHAnsi"/>
          <w:i/>
          <w:iCs/>
          <w:sz w:val="24"/>
          <w:szCs w:val="24"/>
          <w:lang w:val="en-US"/>
        </w:rPr>
        <w:t>Experiential Learning: Experience as the Source of Learning and Development</w:t>
      </w:r>
      <w:r w:rsidRPr="006C4A5B">
        <w:rPr>
          <w:rFonts w:eastAsia="Times New Roman" w:cstheme="minorHAnsi"/>
          <w:sz w:val="24"/>
          <w:szCs w:val="24"/>
          <w:lang w:val="en-US"/>
        </w:rPr>
        <w:t>. Englewood Cliffs: Prentice Hall.</w:t>
      </w:r>
    </w:p>
    <w:p w14:paraId="05E90E33"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Lave, J. and Weng</w:t>
      </w:r>
      <w:bookmarkStart w:id="0" w:name="_GoBack"/>
      <w:bookmarkEnd w:id="0"/>
      <w:r w:rsidRPr="006C4A5B">
        <w:rPr>
          <w:rFonts w:eastAsia="Times New Roman" w:cstheme="minorHAnsi"/>
          <w:sz w:val="24"/>
          <w:szCs w:val="24"/>
          <w:lang w:val="en-US"/>
        </w:rPr>
        <w:t xml:space="preserve">er, E. (1991) </w:t>
      </w:r>
      <w:r w:rsidRPr="006C4A5B">
        <w:rPr>
          <w:rFonts w:eastAsia="Times New Roman" w:cstheme="minorHAnsi"/>
          <w:i/>
          <w:iCs/>
          <w:sz w:val="24"/>
          <w:szCs w:val="24"/>
          <w:lang w:val="en-US"/>
        </w:rPr>
        <w:t>Situated Learning: Legitimate Peripheral Participation</w:t>
      </w:r>
      <w:r w:rsidRPr="006C4A5B">
        <w:rPr>
          <w:rFonts w:eastAsia="Times New Roman" w:cstheme="minorHAnsi"/>
          <w:sz w:val="24"/>
          <w:szCs w:val="24"/>
          <w:lang w:val="en-US"/>
        </w:rPr>
        <w:t>. Cambridge: Cambridge University Press.</w:t>
      </w:r>
    </w:p>
    <w:p w14:paraId="58D26336"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Levy, P. (2008) ‘Fostering a growth mindset in further education settings’, </w:t>
      </w:r>
      <w:r w:rsidRPr="006C4A5B">
        <w:rPr>
          <w:rFonts w:eastAsia="Times New Roman" w:cstheme="minorHAnsi"/>
          <w:i/>
          <w:iCs/>
          <w:sz w:val="24"/>
          <w:szCs w:val="24"/>
          <w:lang w:val="en-US"/>
        </w:rPr>
        <w:t>Journal of Learning and Teaching</w:t>
      </w:r>
      <w:r w:rsidRPr="006C4A5B">
        <w:rPr>
          <w:rFonts w:eastAsia="Times New Roman" w:cstheme="minorHAnsi"/>
          <w:sz w:val="24"/>
          <w:szCs w:val="24"/>
          <w:lang w:val="en-US"/>
        </w:rPr>
        <w:t>, 22(4), pp. 67-82.</w:t>
      </w:r>
    </w:p>
    <w:p w14:paraId="1A3500A9"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proofErr w:type="spellStart"/>
      <w:r w:rsidRPr="006C4A5B">
        <w:rPr>
          <w:rFonts w:eastAsia="Times New Roman" w:cstheme="minorHAnsi"/>
          <w:sz w:val="24"/>
          <w:szCs w:val="24"/>
          <w:lang w:val="en-US"/>
        </w:rPr>
        <w:t>Licorish</w:t>
      </w:r>
      <w:proofErr w:type="spellEnd"/>
      <w:r w:rsidRPr="006C4A5B">
        <w:rPr>
          <w:rFonts w:eastAsia="Times New Roman" w:cstheme="minorHAnsi"/>
          <w:sz w:val="24"/>
          <w:szCs w:val="24"/>
          <w:lang w:val="en-US"/>
        </w:rPr>
        <w:t xml:space="preserve">, S., Owen, H., Daniel, B. and George, J. (2018) ‘Students’ perception of </w:t>
      </w:r>
      <w:proofErr w:type="spellStart"/>
      <w:r w:rsidRPr="006C4A5B">
        <w:rPr>
          <w:rFonts w:eastAsia="Times New Roman" w:cstheme="minorHAnsi"/>
          <w:sz w:val="24"/>
          <w:szCs w:val="24"/>
          <w:lang w:val="en-US"/>
        </w:rPr>
        <w:t>Kahoot!’s</w:t>
      </w:r>
      <w:proofErr w:type="spellEnd"/>
      <w:r w:rsidRPr="006C4A5B">
        <w:rPr>
          <w:rFonts w:eastAsia="Times New Roman" w:cstheme="minorHAnsi"/>
          <w:sz w:val="24"/>
          <w:szCs w:val="24"/>
          <w:lang w:val="en-US"/>
        </w:rPr>
        <w:t xml:space="preserve"> influence on teaching and learning’, </w:t>
      </w:r>
      <w:r w:rsidRPr="006C4A5B">
        <w:rPr>
          <w:rFonts w:eastAsia="Times New Roman" w:cstheme="minorHAnsi"/>
          <w:i/>
          <w:iCs/>
          <w:sz w:val="24"/>
          <w:szCs w:val="24"/>
          <w:lang w:val="en-US"/>
        </w:rPr>
        <w:t>Research in Learning Technology</w:t>
      </w:r>
      <w:r w:rsidRPr="006C4A5B">
        <w:rPr>
          <w:rFonts w:eastAsia="Times New Roman" w:cstheme="minorHAnsi"/>
          <w:sz w:val="24"/>
          <w:szCs w:val="24"/>
          <w:lang w:val="en-US"/>
        </w:rPr>
        <w:t>, 26, pp. 1-15.</w:t>
      </w:r>
    </w:p>
    <w:p w14:paraId="7E671866"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lastRenderedPageBreak/>
        <w:t xml:space="preserve">Mitchell, D. and Sutherland, D. (2020) </w:t>
      </w:r>
      <w:r w:rsidRPr="006C4A5B">
        <w:rPr>
          <w:rFonts w:eastAsia="Times New Roman" w:cstheme="minorHAnsi"/>
          <w:i/>
          <w:iCs/>
          <w:sz w:val="24"/>
          <w:szCs w:val="24"/>
          <w:lang w:val="en-US"/>
        </w:rPr>
        <w:t>What Really Works in Special and Inclusive Education: Using Evidence-Based Teaching Strategies</w:t>
      </w:r>
      <w:r w:rsidRPr="006C4A5B">
        <w:rPr>
          <w:rFonts w:eastAsia="Times New Roman" w:cstheme="minorHAnsi"/>
          <w:sz w:val="24"/>
          <w:szCs w:val="24"/>
          <w:lang w:val="en-US"/>
        </w:rPr>
        <w:t xml:space="preserve">. 3rd </w:t>
      </w:r>
      <w:proofErr w:type="spellStart"/>
      <w:r w:rsidRPr="006C4A5B">
        <w:rPr>
          <w:rFonts w:eastAsia="Times New Roman" w:cstheme="minorHAnsi"/>
          <w:sz w:val="24"/>
          <w:szCs w:val="24"/>
          <w:lang w:val="en-US"/>
        </w:rPr>
        <w:t>edn</w:t>
      </w:r>
      <w:proofErr w:type="spellEnd"/>
      <w:r w:rsidRPr="006C4A5B">
        <w:rPr>
          <w:rFonts w:eastAsia="Times New Roman" w:cstheme="minorHAnsi"/>
          <w:sz w:val="24"/>
          <w:szCs w:val="24"/>
          <w:lang w:val="en-US"/>
        </w:rPr>
        <w:t>. London: Routledge.</w:t>
      </w:r>
    </w:p>
    <w:p w14:paraId="54200C6C"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Philp, J., Adams, R. and Iwashita, N. (2014) </w:t>
      </w:r>
      <w:r w:rsidRPr="006C4A5B">
        <w:rPr>
          <w:rFonts w:eastAsia="Times New Roman" w:cstheme="minorHAnsi"/>
          <w:i/>
          <w:iCs/>
          <w:sz w:val="24"/>
          <w:szCs w:val="24"/>
          <w:lang w:val="en-US"/>
        </w:rPr>
        <w:t>Peer Collaboration and Second Language Learning: Classroom Applications</w:t>
      </w:r>
      <w:r w:rsidRPr="006C4A5B">
        <w:rPr>
          <w:rFonts w:eastAsia="Times New Roman" w:cstheme="minorHAnsi"/>
          <w:sz w:val="24"/>
          <w:szCs w:val="24"/>
          <w:lang w:val="en-US"/>
        </w:rPr>
        <w:t>. New York: Routledge.</w:t>
      </w:r>
    </w:p>
    <w:p w14:paraId="6C895F60"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Sarkar, M. (2024) ‘Technology in education: Opportunities and challenges for disengaged learners’, </w:t>
      </w:r>
      <w:r w:rsidRPr="006C4A5B">
        <w:rPr>
          <w:rFonts w:eastAsia="Times New Roman" w:cstheme="minorHAnsi"/>
          <w:i/>
          <w:iCs/>
          <w:sz w:val="24"/>
          <w:szCs w:val="24"/>
          <w:lang w:val="en-US"/>
        </w:rPr>
        <w:t>British Journal of Educational Technology</w:t>
      </w:r>
      <w:r w:rsidRPr="006C4A5B">
        <w:rPr>
          <w:rFonts w:eastAsia="Times New Roman" w:cstheme="minorHAnsi"/>
          <w:sz w:val="24"/>
          <w:szCs w:val="24"/>
          <w:lang w:val="en-US"/>
        </w:rPr>
        <w:t>, 55(2), pp. 245-261.</w:t>
      </w:r>
    </w:p>
    <w:p w14:paraId="6D1CE567"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Schön, D. (1983) </w:t>
      </w:r>
      <w:r w:rsidRPr="006C4A5B">
        <w:rPr>
          <w:rFonts w:eastAsia="Times New Roman" w:cstheme="minorHAnsi"/>
          <w:i/>
          <w:iCs/>
          <w:sz w:val="24"/>
          <w:szCs w:val="24"/>
          <w:lang w:val="en-US"/>
        </w:rPr>
        <w:t>The Reflective Practitioner: How Professionals Think in Action</w:t>
      </w:r>
      <w:r w:rsidRPr="006C4A5B">
        <w:rPr>
          <w:rFonts w:eastAsia="Times New Roman" w:cstheme="minorHAnsi"/>
          <w:sz w:val="24"/>
          <w:szCs w:val="24"/>
          <w:lang w:val="en-US"/>
        </w:rPr>
        <w:t>. New York: Basic Books.</w:t>
      </w:r>
    </w:p>
    <w:p w14:paraId="08998041" w14:textId="77777777" w:rsidR="006C4A5B" w:rsidRPr="006C4A5B" w:rsidRDefault="006C4A5B" w:rsidP="006C4A5B">
      <w:pPr>
        <w:pStyle w:val="ListParagraph"/>
        <w:numPr>
          <w:ilvl w:val="0"/>
          <w:numId w:val="10"/>
        </w:numPr>
        <w:spacing w:before="100" w:beforeAutospacing="1" w:after="100" w:afterAutospacing="1" w:line="360" w:lineRule="auto"/>
        <w:jc w:val="both"/>
        <w:rPr>
          <w:rFonts w:eastAsia="Times New Roman" w:cstheme="minorHAnsi"/>
          <w:sz w:val="24"/>
          <w:szCs w:val="24"/>
          <w:lang w:val="en-US"/>
        </w:rPr>
      </w:pPr>
      <w:r w:rsidRPr="006C4A5B">
        <w:rPr>
          <w:rFonts w:eastAsia="Times New Roman" w:cstheme="minorHAnsi"/>
          <w:sz w:val="24"/>
          <w:szCs w:val="24"/>
          <w:lang w:val="en-US"/>
        </w:rPr>
        <w:t xml:space="preserve">Tomlinson, C. A. (2014) </w:t>
      </w:r>
      <w:r w:rsidRPr="006C4A5B">
        <w:rPr>
          <w:rFonts w:eastAsia="Times New Roman" w:cstheme="minorHAnsi"/>
          <w:i/>
          <w:iCs/>
          <w:sz w:val="24"/>
          <w:szCs w:val="24"/>
          <w:lang w:val="en-US"/>
        </w:rPr>
        <w:t>The Differentiated Classroom: Responding to the Needs of All Learners</w:t>
      </w:r>
      <w:r w:rsidRPr="006C4A5B">
        <w:rPr>
          <w:rFonts w:eastAsia="Times New Roman" w:cstheme="minorHAnsi"/>
          <w:sz w:val="24"/>
          <w:szCs w:val="24"/>
          <w:lang w:val="en-US"/>
        </w:rPr>
        <w:t xml:space="preserve">. 2nd </w:t>
      </w:r>
      <w:proofErr w:type="spellStart"/>
      <w:r w:rsidRPr="006C4A5B">
        <w:rPr>
          <w:rFonts w:eastAsia="Times New Roman" w:cstheme="minorHAnsi"/>
          <w:sz w:val="24"/>
          <w:szCs w:val="24"/>
          <w:lang w:val="en-US"/>
        </w:rPr>
        <w:t>edn</w:t>
      </w:r>
      <w:proofErr w:type="spellEnd"/>
      <w:r w:rsidRPr="006C4A5B">
        <w:rPr>
          <w:rFonts w:eastAsia="Times New Roman" w:cstheme="minorHAnsi"/>
          <w:sz w:val="24"/>
          <w:szCs w:val="24"/>
          <w:lang w:val="en-US"/>
        </w:rPr>
        <w:t>. Alexandria: ASCD.</w:t>
      </w:r>
    </w:p>
    <w:p w14:paraId="71082485" w14:textId="77777777" w:rsidR="006C4A5B" w:rsidRPr="006C4A5B" w:rsidRDefault="006C4A5B" w:rsidP="006C4A5B">
      <w:pPr>
        <w:spacing w:line="360" w:lineRule="auto"/>
        <w:jc w:val="both"/>
        <w:rPr>
          <w:rFonts w:cstheme="minorHAnsi"/>
          <w:sz w:val="24"/>
          <w:szCs w:val="24"/>
        </w:rPr>
      </w:pPr>
    </w:p>
    <w:sectPr w:rsidR="006C4A5B" w:rsidRPr="006C4A5B">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5DA5C" w14:textId="77777777" w:rsidR="00A21AC5" w:rsidRDefault="00A21AC5" w:rsidP="005345CE">
      <w:pPr>
        <w:spacing w:after="0" w:line="240" w:lineRule="auto"/>
      </w:pPr>
      <w:r>
        <w:separator/>
      </w:r>
    </w:p>
  </w:endnote>
  <w:endnote w:type="continuationSeparator" w:id="0">
    <w:p w14:paraId="69EF7A2A" w14:textId="77777777" w:rsidR="00A21AC5" w:rsidRDefault="00A21AC5" w:rsidP="00534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00BAD" w14:textId="77777777" w:rsidR="00A21AC5" w:rsidRDefault="00A21AC5" w:rsidP="005345CE">
      <w:pPr>
        <w:spacing w:after="0" w:line="240" w:lineRule="auto"/>
      </w:pPr>
      <w:r>
        <w:separator/>
      </w:r>
    </w:p>
  </w:footnote>
  <w:footnote w:type="continuationSeparator" w:id="0">
    <w:p w14:paraId="3258BE5C" w14:textId="77777777" w:rsidR="00A21AC5" w:rsidRDefault="00A21AC5" w:rsidP="00534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7E3C1" w14:textId="08E3BCBE" w:rsidR="005345CE" w:rsidRDefault="005345CE">
    <w:pPr>
      <w:pStyle w:val="Header"/>
    </w:pPr>
    <w:r w:rsidRPr="005345CE">
      <w:t>RhysClement_1301806_ ECPT700</w:t>
    </w:r>
    <w:r>
      <w:t>6</w:t>
    </w:r>
    <w:r w:rsidRPr="005345CE">
      <w:t>_A1_FINAL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56F54"/>
    <w:multiLevelType w:val="multilevel"/>
    <w:tmpl w:val="85BC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029A1"/>
    <w:multiLevelType w:val="multilevel"/>
    <w:tmpl w:val="8FEE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F0F6C"/>
    <w:multiLevelType w:val="hybridMultilevel"/>
    <w:tmpl w:val="A4CA7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857841"/>
    <w:multiLevelType w:val="multilevel"/>
    <w:tmpl w:val="4822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0217B4"/>
    <w:multiLevelType w:val="multilevel"/>
    <w:tmpl w:val="319E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693786"/>
    <w:multiLevelType w:val="hybridMultilevel"/>
    <w:tmpl w:val="3C0A9652"/>
    <w:lvl w:ilvl="0" w:tplc="2CC61A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A12553"/>
    <w:multiLevelType w:val="hybridMultilevel"/>
    <w:tmpl w:val="A6CEA2AC"/>
    <w:lvl w:ilvl="0" w:tplc="4FA282C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A86838"/>
    <w:multiLevelType w:val="hybridMultilevel"/>
    <w:tmpl w:val="B866C7FE"/>
    <w:lvl w:ilvl="0" w:tplc="0409000F">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624FB2"/>
    <w:multiLevelType w:val="multilevel"/>
    <w:tmpl w:val="2B96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AA303C"/>
    <w:multiLevelType w:val="hybridMultilevel"/>
    <w:tmpl w:val="72744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3"/>
  </w:num>
  <w:num w:numId="4">
    <w:abstractNumId w:val="0"/>
  </w:num>
  <w:num w:numId="5">
    <w:abstractNumId w:val="8"/>
  </w:num>
  <w:num w:numId="6">
    <w:abstractNumId w:val="4"/>
  </w:num>
  <w:num w:numId="7">
    <w:abstractNumId w:val="7"/>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555"/>
    <w:rsid w:val="00044C3E"/>
    <w:rsid w:val="001251DD"/>
    <w:rsid w:val="003063ED"/>
    <w:rsid w:val="00307ABC"/>
    <w:rsid w:val="00375FE3"/>
    <w:rsid w:val="005345CE"/>
    <w:rsid w:val="006153A5"/>
    <w:rsid w:val="00634555"/>
    <w:rsid w:val="00657D02"/>
    <w:rsid w:val="006A0A3D"/>
    <w:rsid w:val="006A2651"/>
    <w:rsid w:val="006C4A5B"/>
    <w:rsid w:val="007A47D1"/>
    <w:rsid w:val="00804612"/>
    <w:rsid w:val="00846263"/>
    <w:rsid w:val="008F3F9D"/>
    <w:rsid w:val="008F67C1"/>
    <w:rsid w:val="009A348F"/>
    <w:rsid w:val="00A21AC5"/>
    <w:rsid w:val="00AA17BC"/>
    <w:rsid w:val="00AA2D81"/>
    <w:rsid w:val="00B70ABC"/>
    <w:rsid w:val="00B95A28"/>
    <w:rsid w:val="00C63971"/>
    <w:rsid w:val="00D11F86"/>
    <w:rsid w:val="00E0423B"/>
    <w:rsid w:val="00E26C10"/>
    <w:rsid w:val="00F54681"/>
    <w:rsid w:val="00F87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59011"/>
  <w15:chartTrackingRefBased/>
  <w15:docId w15:val="{41FD0FD5-08A1-4449-94D7-4D340AECD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D11F8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D11F86"/>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semiHidden/>
    <w:unhideWhenUsed/>
    <w:qFormat/>
    <w:rsid w:val="00E042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0423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34555"/>
    <w:rPr>
      <w:i/>
      <w:iCs/>
    </w:rPr>
  </w:style>
  <w:style w:type="paragraph" w:styleId="ListParagraph">
    <w:name w:val="List Paragraph"/>
    <w:basedOn w:val="Normal"/>
    <w:uiPriority w:val="34"/>
    <w:qFormat/>
    <w:rsid w:val="00B95A28"/>
    <w:pPr>
      <w:ind w:left="720"/>
      <w:contextualSpacing/>
    </w:pPr>
  </w:style>
  <w:style w:type="paragraph" w:styleId="Caption">
    <w:name w:val="caption"/>
    <w:basedOn w:val="Normal"/>
    <w:next w:val="Normal"/>
    <w:uiPriority w:val="35"/>
    <w:unhideWhenUsed/>
    <w:qFormat/>
    <w:rsid w:val="00B95A2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11F8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11F8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11F8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11F86"/>
    <w:rPr>
      <w:b/>
      <w:bCs/>
    </w:rPr>
  </w:style>
  <w:style w:type="character" w:customStyle="1" w:styleId="Heading3Char">
    <w:name w:val="Heading 3 Char"/>
    <w:basedOn w:val="DefaultParagraphFont"/>
    <w:link w:val="Heading3"/>
    <w:uiPriority w:val="9"/>
    <w:semiHidden/>
    <w:rsid w:val="00E0423B"/>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E0423B"/>
    <w:rPr>
      <w:rFonts w:asciiTheme="majorHAnsi" w:eastAsiaTheme="majorEastAsia" w:hAnsiTheme="majorHAnsi" w:cstheme="majorBidi"/>
      <w:i/>
      <w:iCs/>
      <w:color w:val="2F5496" w:themeColor="accent1" w:themeShade="BF"/>
      <w:lang w:val="en-GB"/>
    </w:rPr>
  </w:style>
  <w:style w:type="paragraph" w:styleId="Header">
    <w:name w:val="header"/>
    <w:basedOn w:val="Normal"/>
    <w:link w:val="HeaderChar"/>
    <w:uiPriority w:val="99"/>
    <w:unhideWhenUsed/>
    <w:rsid w:val="005345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45CE"/>
    <w:rPr>
      <w:lang w:val="en-GB"/>
    </w:rPr>
  </w:style>
  <w:style w:type="paragraph" w:styleId="Footer">
    <w:name w:val="footer"/>
    <w:basedOn w:val="Normal"/>
    <w:link w:val="FooterChar"/>
    <w:uiPriority w:val="99"/>
    <w:unhideWhenUsed/>
    <w:rsid w:val="005345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45C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449673">
      <w:bodyDiv w:val="1"/>
      <w:marLeft w:val="0"/>
      <w:marRight w:val="0"/>
      <w:marTop w:val="0"/>
      <w:marBottom w:val="0"/>
      <w:divBdr>
        <w:top w:val="none" w:sz="0" w:space="0" w:color="auto"/>
        <w:left w:val="none" w:sz="0" w:space="0" w:color="auto"/>
        <w:bottom w:val="none" w:sz="0" w:space="0" w:color="auto"/>
        <w:right w:val="none" w:sz="0" w:space="0" w:color="auto"/>
      </w:divBdr>
    </w:div>
    <w:div w:id="440995179">
      <w:bodyDiv w:val="1"/>
      <w:marLeft w:val="0"/>
      <w:marRight w:val="0"/>
      <w:marTop w:val="0"/>
      <w:marBottom w:val="0"/>
      <w:divBdr>
        <w:top w:val="none" w:sz="0" w:space="0" w:color="auto"/>
        <w:left w:val="none" w:sz="0" w:space="0" w:color="auto"/>
        <w:bottom w:val="none" w:sz="0" w:space="0" w:color="auto"/>
        <w:right w:val="none" w:sz="0" w:space="0" w:color="auto"/>
      </w:divBdr>
    </w:div>
    <w:div w:id="808088478">
      <w:bodyDiv w:val="1"/>
      <w:marLeft w:val="0"/>
      <w:marRight w:val="0"/>
      <w:marTop w:val="0"/>
      <w:marBottom w:val="0"/>
      <w:divBdr>
        <w:top w:val="none" w:sz="0" w:space="0" w:color="auto"/>
        <w:left w:val="none" w:sz="0" w:space="0" w:color="auto"/>
        <w:bottom w:val="none" w:sz="0" w:space="0" w:color="auto"/>
        <w:right w:val="none" w:sz="0" w:space="0" w:color="auto"/>
      </w:divBdr>
    </w:div>
    <w:div w:id="1910000387">
      <w:bodyDiv w:val="1"/>
      <w:marLeft w:val="0"/>
      <w:marRight w:val="0"/>
      <w:marTop w:val="0"/>
      <w:marBottom w:val="0"/>
      <w:divBdr>
        <w:top w:val="none" w:sz="0" w:space="0" w:color="auto"/>
        <w:left w:val="none" w:sz="0" w:space="0" w:color="auto"/>
        <w:bottom w:val="none" w:sz="0" w:space="0" w:color="auto"/>
        <w:right w:val="none" w:sz="0" w:space="0" w:color="auto"/>
      </w:divBdr>
    </w:div>
    <w:div w:id="201322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2efde3a-4bdd-438f-9cd5-4d07539ce93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C44954866E1E4A808636F2262E0B02" ma:contentTypeVersion="16" ma:contentTypeDescription="Create a new document." ma:contentTypeScope="" ma:versionID="9f24d627f0bc593c955296b257a4cfbb">
  <xsd:schema xmlns:xsd="http://www.w3.org/2001/XMLSchema" xmlns:xs="http://www.w3.org/2001/XMLSchema" xmlns:p="http://schemas.microsoft.com/office/2006/metadata/properties" xmlns:ns3="32efde3a-4bdd-438f-9cd5-4d07539ce939" xmlns:ns4="83c67426-3365-432c-9f1a-86b0e50a29b9" targetNamespace="http://schemas.microsoft.com/office/2006/metadata/properties" ma:root="true" ma:fieldsID="8f8569edd7dc048f8dd6f4fb79b1d7da" ns3:_="" ns4:_="">
    <xsd:import namespace="32efde3a-4bdd-438f-9cd5-4d07539ce939"/>
    <xsd:import namespace="83c67426-3365-432c-9f1a-86b0e50a29b9"/>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efde3a-4bdd-438f-9cd5-4d07539ce9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c67426-3365-432c-9f1a-86b0e50a29b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9F05BB-05EE-41BF-BA2E-853E553B9D23}">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32efde3a-4bdd-438f-9cd5-4d07539ce939"/>
    <ds:schemaRef ds:uri="http://www.w3.org/XML/1998/namespace"/>
    <ds:schemaRef ds:uri="http://purl.org/dc/dcmitype/"/>
    <ds:schemaRef ds:uri="http://purl.org/dc/terms/"/>
    <ds:schemaRef ds:uri="http://schemas.openxmlformats.org/package/2006/metadata/core-properties"/>
    <ds:schemaRef ds:uri="83c67426-3365-432c-9f1a-86b0e50a29b9"/>
  </ds:schemaRefs>
</ds:datastoreItem>
</file>

<file path=customXml/itemProps2.xml><?xml version="1.0" encoding="utf-8"?>
<ds:datastoreItem xmlns:ds="http://schemas.openxmlformats.org/officeDocument/2006/customXml" ds:itemID="{8276D24C-E28C-45A1-967F-E70D1F64F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efde3a-4bdd-438f-9cd5-4d07539ce939"/>
    <ds:schemaRef ds:uri="83c67426-3365-432c-9f1a-86b0e50a29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F6F4BA-95DE-458A-8654-1F35373329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21</Pages>
  <Words>5153</Words>
  <Characters>29374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Clement</dc:creator>
  <cp:keywords/>
  <dc:description/>
  <cp:lastModifiedBy>Rhys Clement</cp:lastModifiedBy>
  <cp:revision>11</cp:revision>
  <dcterms:created xsi:type="dcterms:W3CDTF">2025-03-14T11:50:00Z</dcterms:created>
  <dcterms:modified xsi:type="dcterms:W3CDTF">2025-03-15T19:32:00Z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0x01010069C44954866E1E4A808636F2262E0B02</vt:lpwstr>
  </property>
</Properties>
</file>