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6727C" w14:textId="77777777" w:rsidR="00FD1F03" w:rsidRDefault="00FD1F03" w:rsidP="00FD1F03">
      <w:pPr>
        <w:spacing w:line="480" w:lineRule="auto"/>
        <w:jc w:val="center"/>
        <w:rPr>
          <w:rFonts w:ascii="Times New Roman" w:hAnsi="Times New Roman" w:cs="Times New Roman"/>
          <w:b/>
          <w:bCs/>
          <w:sz w:val="24"/>
          <w:szCs w:val="24"/>
        </w:rPr>
      </w:pPr>
    </w:p>
    <w:p w14:paraId="77DB312A" w14:textId="77777777" w:rsidR="00FD1F03" w:rsidRDefault="00FD1F03" w:rsidP="00FD1F03">
      <w:pPr>
        <w:spacing w:line="480" w:lineRule="auto"/>
        <w:jc w:val="center"/>
        <w:rPr>
          <w:rFonts w:ascii="Times New Roman" w:hAnsi="Times New Roman" w:cs="Times New Roman"/>
          <w:b/>
          <w:bCs/>
          <w:sz w:val="24"/>
          <w:szCs w:val="24"/>
        </w:rPr>
      </w:pPr>
    </w:p>
    <w:p w14:paraId="4B1BFD87" w14:textId="77777777" w:rsidR="00FD1F03" w:rsidRDefault="00FD1F03" w:rsidP="00FD1F03">
      <w:pPr>
        <w:spacing w:line="480" w:lineRule="auto"/>
        <w:jc w:val="center"/>
        <w:rPr>
          <w:rFonts w:ascii="Times New Roman" w:hAnsi="Times New Roman" w:cs="Times New Roman"/>
          <w:b/>
          <w:bCs/>
          <w:sz w:val="24"/>
          <w:szCs w:val="24"/>
        </w:rPr>
      </w:pPr>
    </w:p>
    <w:p w14:paraId="59C48E08" w14:textId="54E38592" w:rsidR="00FD1F03" w:rsidRDefault="00FD1F03" w:rsidP="00BA00F7">
      <w:pPr>
        <w:spacing w:line="480" w:lineRule="auto"/>
        <w:rPr>
          <w:rFonts w:ascii="Times New Roman" w:hAnsi="Times New Roman" w:cs="Times New Roman"/>
          <w:b/>
          <w:bCs/>
          <w:sz w:val="24"/>
          <w:szCs w:val="24"/>
        </w:rPr>
      </w:pPr>
    </w:p>
    <w:p w14:paraId="378807FC" w14:textId="77777777" w:rsidR="00781164" w:rsidRDefault="00781164" w:rsidP="00BA00F7">
      <w:pPr>
        <w:spacing w:line="480" w:lineRule="auto"/>
        <w:rPr>
          <w:rFonts w:ascii="Times New Roman" w:hAnsi="Times New Roman" w:cs="Times New Roman"/>
          <w:b/>
          <w:bCs/>
          <w:sz w:val="24"/>
          <w:szCs w:val="24"/>
        </w:rPr>
      </w:pPr>
    </w:p>
    <w:p w14:paraId="115D323B" w14:textId="77777777" w:rsidR="00FD1F03" w:rsidRDefault="00FD1F03" w:rsidP="00FD1F03">
      <w:pPr>
        <w:spacing w:line="480" w:lineRule="auto"/>
        <w:jc w:val="center"/>
        <w:rPr>
          <w:rFonts w:ascii="Times New Roman" w:hAnsi="Times New Roman" w:cs="Times New Roman"/>
          <w:b/>
          <w:bCs/>
          <w:sz w:val="24"/>
          <w:szCs w:val="24"/>
        </w:rPr>
      </w:pPr>
    </w:p>
    <w:p w14:paraId="203ABCFD" w14:textId="535C7ECF" w:rsidR="00582D72" w:rsidRPr="00427697" w:rsidRDefault="002B20AA" w:rsidP="00427697">
      <w:pPr>
        <w:spacing w:line="480" w:lineRule="auto"/>
        <w:jc w:val="center"/>
        <w:rPr>
          <w:rFonts w:ascii="Times New Roman" w:hAnsi="Times New Roman" w:cs="Times New Roman"/>
          <w:b/>
          <w:bCs/>
          <w:sz w:val="40"/>
          <w:szCs w:val="40"/>
        </w:rPr>
      </w:pPr>
      <w:r w:rsidRPr="00427697">
        <w:rPr>
          <w:rFonts w:ascii="Times New Roman" w:hAnsi="Times New Roman" w:cs="Times New Roman"/>
          <w:b/>
          <w:bCs/>
          <w:sz w:val="40"/>
          <w:szCs w:val="40"/>
        </w:rPr>
        <w:t>Reflective writing: Local authority community engagement process</w:t>
      </w:r>
      <w:r w:rsidR="00BA00F7">
        <w:rPr>
          <w:rFonts w:ascii="Times New Roman" w:hAnsi="Times New Roman" w:cs="Times New Roman"/>
          <w:b/>
          <w:bCs/>
          <w:sz w:val="40"/>
          <w:szCs w:val="40"/>
        </w:rPr>
        <w:t xml:space="preserve"> (Assignment 1)</w:t>
      </w:r>
    </w:p>
    <w:p w14:paraId="6EECF35A" w14:textId="34C725AD" w:rsidR="00FD1F03" w:rsidRDefault="00C86A64" w:rsidP="00427697">
      <w:pPr>
        <w:jc w:val="center"/>
        <w:rPr>
          <w:b/>
          <w:bCs/>
        </w:rPr>
      </w:pPr>
      <w:r w:rsidRPr="00427697">
        <w:rPr>
          <w:rFonts w:ascii="Times New Roman" w:hAnsi="Times New Roman" w:cs="Times New Roman"/>
          <w:b/>
          <w:bCs/>
          <w:sz w:val="40"/>
          <w:szCs w:val="40"/>
        </w:rPr>
        <w:t>Community Engagement LCBB</w:t>
      </w:r>
      <w:r w:rsidR="00427697" w:rsidRPr="00427697">
        <w:rPr>
          <w:rFonts w:ascii="Times New Roman" w:hAnsi="Times New Roman" w:cs="Times New Roman"/>
          <w:b/>
          <w:bCs/>
          <w:sz w:val="40"/>
          <w:szCs w:val="40"/>
        </w:rPr>
        <w:t>4002</w:t>
      </w:r>
      <w:r w:rsidR="002B20AA">
        <w:rPr>
          <w:b/>
          <w:bCs/>
        </w:rPr>
        <w:br w:type="page"/>
      </w:r>
    </w:p>
    <w:p w14:paraId="64CAA03E" w14:textId="2E182269" w:rsidR="00777DB5" w:rsidRPr="00FD1F03" w:rsidRDefault="002B20AA" w:rsidP="00FD1F03">
      <w:pPr>
        <w:spacing w:line="480" w:lineRule="auto"/>
        <w:rPr>
          <w:rFonts w:ascii="Times New Roman" w:hAnsi="Times New Roman" w:cs="Times New Roman"/>
          <w:b/>
          <w:bCs/>
          <w:sz w:val="24"/>
          <w:szCs w:val="24"/>
        </w:rPr>
      </w:pPr>
      <w:r w:rsidRPr="00FD1F03">
        <w:rPr>
          <w:rFonts w:ascii="Times New Roman" w:hAnsi="Times New Roman" w:cs="Times New Roman"/>
          <w:b/>
          <w:bCs/>
          <w:sz w:val="24"/>
          <w:szCs w:val="24"/>
        </w:rPr>
        <w:lastRenderedPageBreak/>
        <w:t xml:space="preserve">Community enagegement </w:t>
      </w:r>
    </w:p>
    <w:p w14:paraId="44BA1B34" w14:textId="086F0812" w:rsidR="0076307C" w:rsidRPr="00FD1F03"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Margaret Wheatley quoted, "There is no power of change greater than a community discovering what it cares about</w:t>
      </w:r>
      <w:r w:rsidR="005D64C6" w:rsidRPr="00FD1F03">
        <w:rPr>
          <w:rFonts w:ascii="Times New Roman" w:hAnsi="Times New Roman" w:cs="Times New Roman"/>
          <w:sz w:val="24"/>
          <w:szCs w:val="24"/>
        </w:rPr>
        <w:t>." Community engagement is primarily based on the democratic concept that everyone afflicted by an issue that affects their community should be involved in decision-making.</w:t>
      </w:r>
      <w:r w:rsidR="00636D82" w:rsidRPr="00FD1F03">
        <w:rPr>
          <w:rFonts w:ascii="Times New Roman" w:hAnsi="Times New Roman" w:cs="Times New Roman"/>
          <w:sz w:val="24"/>
          <w:szCs w:val="24"/>
        </w:rPr>
        <w:t xml:space="preserve"> By learning the community engagement process, </w:t>
      </w:r>
      <w:r w:rsidR="00EA7FC5" w:rsidRPr="00FD1F03">
        <w:rPr>
          <w:rFonts w:ascii="Times New Roman" w:hAnsi="Times New Roman" w:cs="Times New Roman"/>
          <w:sz w:val="24"/>
          <w:szCs w:val="24"/>
        </w:rPr>
        <w:t>I have understood the importance of community involvement in the decision-making process.</w:t>
      </w:r>
      <w:r w:rsidR="005D64C6" w:rsidRPr="00FD1F03">
        <w:rPr>
          <w:rFonts w:ascii="Times New Roman" w:hAnsi="Times New Roman" w:cs="Times New Roman"/>
          <w:sz w:val="24"/>
          <w:szCs w:val="24"/>
        </w:rPr>
        <w:t xml:space="preserve"> Community participation is crucial in influencing decisions that impact future visions,  provision of services, and sustainability in the community</w:t>
      </w:r>
      <w:r w:rsidR="00DD5403" w:rsidRPr="00FD1F03">
        <w:rPr>
          <w:rFonts w:ascii="Times New Roman" w:hAnsi="Times New Roman" w:cs="Times New Roman"/>
          <w:sz w:val="24"/>
          <w:szCs w:val="24"/>
        </w:rPr>
        <w:t>. The community is given the space to express their concerns and values to the local authority.</w:t>
      </w:r>
    </w:p>
    <w:p w14:paraId="47C26417" w14:textId="26CD7048" w:rsidR="00900D61" w:rsidRPr="00FD1F03"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The town of Cardiff is working on a Recreation and Community Facilities Plan to develop the facility. The town council hires a professional consultant in Wales known as SGL to produce the plan and seek participation from the community. The methods developed to collect data are through questionnaires and</w:t>
      </w:r>
      <w:r w:rsidR="0018761A" w:rsidRPr="00FD1F03">
        <w:rPr>
          <w:rFonts w:ascii="Times New Roman" w:hAnsi="Times New Roman" w:cs="Times New Roman"/>
          <w:sz w:val="24"/>
          <w:szCs w:val="24"/>
        </w:rPr>
        <w:t xml:space="preserve"> social media platforms. The process used by the town of Cardiff council is done to involve, consult and empower the community in the decision-making process.</w:t>
      </w:r>
      <w:r w:rsidR="003E2D5D" w:rsidRPr="00FD1F03">
        <w:rPr>
          <w:rFonts w:ascii="Times New Roman" w:hAnsi="Times New Roman" w:cs="Times New Roman"/>
          <w:sz w:val="24"/>
          <w:szCs w:val="24"/>
        </w:rPr>
        <w:t xml:space="preserve"> Therefore, I can learn and demonstrate</w:t>
      </w:r>
      <w:r w:rsidR="007A052D" w:rsidRPr="00FD1F03">
        <w:rPr>
          <w:rFonts w:ascii="Times New Roman" w:hAnsi="Times New Roman" w:cs="Times New Roman"/>
          <w:sz w:val="24"/>
          <w:szCs w:val="24"/>
        </w:rPr>
        <w:t xml:space="preserve"> an in-depth analysis of the community engagement process in this paper.</w:t>
      </w:r>
    </w:p>
    <w:p w14:paraId="365E5B3C" w14:textId="4E44BE79" w:rsidR="009145E0" w:rsidRPr="00FD1F03" w:rsidRDefault="002B20AA" w:rsidP="00FD1F03">
      <w:pPr>
        <w:spacing w:line="480" w:lineRule="auto"/>
        <w:rPr>
          <w:rFonts w:ascii="Times New Roman" w:hAnsi="Times New Roman" w:cs="Times New Roman"/>
          <w:b/>
          <w:bCs/>
          <w:sz w:val="24"/>
          <w:szCs w:val="24"/>
        </w:rPr>
      </w:pPr>
      <w:bookmarkStart w:id="0" w:name="_Hlk103249263"/>
      <w:r w:rsidRPr="00FD1F03">
        <w:rPr>
          <w:rFonts w:ascii="Times New Roman" w:hAnsi="Times New Roman" w:cs="Times New Roman"/>
          <w:b/>
          <w:bCs/>
          <w:sz w:val="24"/>
          <w:szCs w:val="24"/>
        </w:rPr>
        <w:t xml:space="preserve">Community engagement </w:t>
      </w:r>
      <w:r w:rsidR="008D4FF1" w:rsidRPr="00FD1F03">
        <w:rPr>
          <w:rFonts w:ascii="Times New Roman" w:hAnsi="Times New Roman" w:cs="Times New Roman"/>
          <w:b/>
          <w:bCs/>
          <w:sz w:val="24"/>
          <w:szCs w:val="24"/>
        </w:rPr>
        <w:t xml:space="preserve">theoretical concepts </w:t>
      </w:r>
    </w:p>
    <w:p w14:paraId="2B0472F2" w14:textId="59AB7232" w:rsidR="00892F79" w:rsidRPr="00FD1F03"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Community engagement is a complicated political process revolving around negotiation between the authorities and the citizens. The main goal of community engagement is to develop a collaborative relationship to achieve a shared goal.</w:t>
      </w:r>
      <w:r w:rsidR="00286A1E" w:rsidRPr="00FD1F03">
        <w:rPr>
          <w:rFonts w:ascii="Times New Roman" w:hAnsi="Times New Roman" w:cs="Times New Roman"/>
          <w:sz w:val="24"/>
          <w:szCs w:val="24"/>
        </w:rPr>
        <w:t xml:space="preserve"> The communities become empowered through ownership of the agendas and accountability. The communities' duties are to hold the authorities accountable for outcomes and quality,   time and effort invested in guarantee</w:t>
      </w:r>
      <w:r w:rsidR="002B20AA" w:rsidRPr="00FD1F03">
        <w:rPr>
          <w:rFonts w:ascii="Times New Roman" w:hAnsi="Times New Roman" w:cs="Times New Roman"/>
          <w:sz w:val="24"/>
          <w:szCs w:val="24"/>
        </w:rPr>
        <w:t>ing feasibility</w:t>
      </w:r>
      <w:bookmarkStart w:id="1" w:name="_Hlk103251906"/>
      <w:r w:rsidR="00A30440" w:rsidRPr="00FD1F03">
        <w:rPr>
          <w:rFonts w:ascii="Times New Roman" w:hAnsi="Times New Roman" w:cs="Times New Roman"/>
          <w:sz w:val="24"/>
          <w:szCs w:val="24"/>
        </w:rPr>
        <w:t>(</w:t>
      </w:r>
      <w:r w:rsidR="00053104" w:rsidRPr="00FD1F03">
        <w:rPr>
          <w:rFonts w:ascii="Times New Roman" w:hAnsi="Times New Roman" w:cs="Times New Roman"/>
          <w:sz w:val="24"/>
          <w:szCs w:val="24"/>
        </w:rPr>
        <w:t>Allotey et al., 2020, pp 67</w:t>
      </w:r>
      <w:r w:rsidR="00A30440" w:rsidRPr="00FD1F03">
        <w:rPr>
          <w:rFonts w:ascii="Times New Roman" w:hAnsi="Times New Roman" w:cs="Times New Roman"/>
          <w:sz w:val="24"/>
          <w:szCs w:val="24"/>
        </w:rPr>
        <w:t>)</w:t>
      </w:r>
      <w:bookmarkEnd w:id="1"/>
      <w:r w:rsidR="002B20AA" w:rsidRPr="00FD1F03">
        <w:rPr>
          <w:rFonts w:ascii="Times New Roman" w:hAnsi="Times New Roman" w:cs="Times New Roman"/>
          <w:sz w:val="24"/>
          <w:szCs w:val="24"/>
        </w:rPr>
        <w:t>.</w:t>
      </w:r>
    </w:p>
    <w:bookmarkEnd w:id="0"/>
    <w:p w14:paraId="2F59D56D" w14:textId="481204C6" w:rsidR="008D4FF1" w:rsidRPr="008D4FF1"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B20AA" w:rsidRPr="008D4FF1">
        <w:rPr>
          <w:rFonts w:ascii="Times New Roman" w:hAnsi="Times New Roman" w:cs="Times New Roman"/>
          <w:sz w:val="24"/>
          <w:szCs w:val="24"/>
        </w:rPr>
        <w:t>The locality development model and the theory of change will be used to explain the community engagement process. The process-oriented model is centered around community building through the engagement of individuals and groups from every community area. The basis of the model is that change is possible when individuals in a community gather together and address their common concerns</w:t>
      </w:r>
      <w:r w:rsidR="00A30440" w:rsidRPr="00FD1F03">
        <w:rPr>
          <w:rFonts w:ascii="Times New Roman" w:hAnsi="Times New Roman" w:cs="Times New Roman"/>
          <w:sz w:val="24"/>
          <w:szCs w:val="24"/>
        </w:rPr>
        <w:t>(Geekiyanage et al.,2020)</w:t>
      </w:r>
      <w:r w:rsidR="002B20AA" w:rsidRPr="008D4FF1">
        <w:rPr>
          <w:rFonts w:ascii="Times New Roman" w:hAnsi="Times New Roman" w:cs="Times New Roman"/>
          <w:sz w:val="24"/>
          <w:szCs w:val="24"/>
        </w:rPr>
        <w:t>.</w:t>
      </w:r>
    </w:p>
    <w:p w14:paraId="245D7697" w14:textId="67752FB1" w:rsidR="008D4FF1" w:rsidRPr="00FD1F03"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8D4FF1">
        <w:rPr>
          <w:rFonts w:ascii="Times New Roman" w:hAnsi="Times New Roman" w:cs="Times New Roman"/>
          <w:sz w:val="24"/>
          <w:szCs w:val="24"/>
        </w:rPr>
        <w:t>The theory of change is a straightforward model of how social involvement can contribute to meaningful changes. The theory of changes explains how various activities carried out by a particular group can be used to influence observable changes</w:t>
      </w:r>
      <w:r w:rsidR="00FD1F03" w:rsidRPr="00FD1F03">
        <w:rPr>
          <w:rFonts w:ascii="Times New Roman" w:hAnsi="Times New Roman" w:cs="Times New Roman"/>
          <w:sz w:val="24"/>
          <w:szCs w:val="24"/>
        </w:rPr>
        <w:t>(Janzen et al.,2016, pp 45)</w:t>
      </w:r>
      <w:r w:rsidR="002B20AA" w:rsidRPr="008D4FF1">
        <w:rPr>
          <w:rFonts w:ascii="Times New Roman" w:hAnsi="Times New Roman" w:cs="Times New Roman"/>
          <w:sz w:val="24"/>
          <w:szCs w:val="24"/>
        </w:rPr>
        <w:t xml:space="preserve">. The theory of change based on community research involves four major components: collaboration between the local authorities and the stakeholders. The four major components include forming the foundation, planning the research, collecting information and analyzing it, and action on the results obtained. According to </w:t>
      </w:r>
      <w:r w:rsidR="00A5060F" w:rsidRPr="00FD1F03">
        <w:rPr>
          <w:rFonts w:ascii="Times New Roman" w:hAnsi="Times New Roman" w:cs="Times New Roman"/>
          <w:sz w:val="24"/>
          <w:szCs w:val="24"/>
        </w:rPr>
        <w:t>Geekiyanage et al. (2020)</w:t>
      </w:r>
      <w:r w:rsidR="002B20AA" w:rsidRPr="008D4FF1">
        <w:rPr>
          <w:rFonts w:ascii="Times New Roman" w:hAnsi="Times New Roman" w:cs="Times New Roman"/>
          <w:sz w:val="24"/>
          <w:szCs w:val="24"/>
        </w:rPr>
        <w:t>,  laying a foundation encourages individuals to pay attention to the process. Information and consultation are involved in the laying of the foundation. Planning involves the development of the methods of collection of data and the development of an analysis plan. The information gathered is shared and acted upon</w:t>
      </w:r>
      <w:r w:rsidR="00A5060F" w:rsidRPr="00FD1F03">
        <w:rPr>
          <w:rFonts w:ascii="Times New Roman" w:hAnsi="Times New Roman" w:cs="Times New Roman"/>
          <w:sz w:val="24"/>
          <w:szCs w:val="24"/>
        </w:rPr>
        <w:t>(Geekiyanage et al.,2020)</w:t>
      </w:r>
      <w:r w:rsidR="002B20AA" w:rsidRPr="008D4FF1">
        <w:rPr>
          <w:rFonts w:ascii="Times New Roman" w:hAnsi="Times New Roman" w:cs="Times New Roman"/>
          <w:sz w:val="24"/>
          <w:szCs w:val="24"/>
        </w:rPr>
        <w:t>.</w:t>
      </w:r>
    </w:p>
    <w:p w14:paraId="1C96853D" w14:textId="77777777" w:rsidR="008D4FF1" w:rsidRPr="008D4FF1" w:rsidRDefault="002B20AA" w:rsidP="00FD1F03">
      <w:pPr>
        <w:spacing w:line="480" w:lineRule="auto"/>
        <w:rPr>
          <w:rFonts w:ascii="Times New Roman" w:hAnsi="Times New Roman" w:cs="Times New Roman"/>
          <w:b/>
          <w:bCs/>
          <w:sz w:val="24"/>
          <w:szCs w:val="24"/>
        </w:rPr>
      </w:pPr>
      <w:r w:rsidRPr="008D4FF1">
        <w:rPr>
          <w:rFonts w:ascii="Times New Roman" w:hAnsi="Times New Roman" w:cs="Times New Roman"/>
          <w:b/>
          <w:bCs/>
          <w:sz w:val="24"/>
          <w:szCs w:val="24"/>
        </w:rPr>
        <w:t xml:space="preserve">Community engagement </w:t>
      </w:r>
    </w:p>
    <w:p w14:paraId="5A01E289" w14:textId="77777777" w:rsidR="00CA34C4" w:rsidRDefault="008F4F17"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8D4FF1">
        <w:rPr>
          <w:rFonts w:ascii="Times New Roman" w:hAnsi="Times New Roman" w:cs="Times New Roman"/>
          <w:sz w:val="24"/>
          <w:szCs w:val="24"/>
        </w:rPr>
        <w:t>Community engagement is a complicated political process revolving around negotiation between the authorities and the citizens. The main goal of community engagement is to develop a collaborative relationship to achieve a shared goal. The communities become empowered through ownership of the agendas and accountability. The communities' duties are to hold the authorities accountable for outcomes and quality,   time, and effort to guarantee feasibility</w:t>
      </w:r>
      <w:r w:rsidR="00053104" w:rsidRPr="00FD1F03">
        <w:rPr>
          <w:rFonts w:ascii="Times New Roman" w:hAnsi="Times New Roman" w:cs="Times New Roman"/>
          <w:sz w:val="24"/>
          <w:szCs w:val="24"/>
        </w:rPr>
        <w:t>(Allotey et al., 2020, pp 67)</w:t>
      </w:r>
      <w:r w:rsidR="002B20AA" w:rsidRPr="008D4FF1">
        <w:rPr>
          <w:rFonts w:ascii="Times New Roman" w:hAnsi="Times New Roman" w:cs="Times New Roman"/>
          <w:sz w:val="24"/>
          <w:szCs w:val="24"/>
        </w:rPr>
        <w:t>.</w:t>
      </w:r>
      <w:r w:rsidR="00CA34C4">
        <w:rPr>
          <w:rFonts w:ascii="Times New Roman" w:hAnsi="Times New Roman" w:cs="Times New Roman"/>
          <w:sz w:val="24"/>
          <w:szCs w:val="24"/>
        </w:rPr>
        <w:t xml:space="preserve"> </w:t>
      </w:r>
    </w:p>
    <w:p w14:paraId="07D4BE92" w14:textId="1A3DC77B" w:rsidR="00AF4AD0"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B20AA" w:rsidRPr="00FD1F03">
        <w:rPr>
          <w:rFonts w:ascii="Times New Roman" w:hAnsi="Times New Roman" w:cs="Times New Roman"/>
          <w:sz w:val="24"/>
          <w:szCs w:val="24"/>
        </w:rPr>
        <w:t xml:space="preserve"> The decision-making process by authorities can be considered a top-down process if the community isn't involved. Local communities are considered beneficiaries of programs rather than participants in the decision-making process. Due to the lack of involvement, the government creates inconsiderate policies for the vulnerable communities</w:t>
      </w:r>
      <w:r w:rsidR="00A9452F" w:rsidRPr="00FD1F03">
        <w:rPr>
          <w:rFonts w:ascii="Times New Roman" w:hAnsi="Times New Roman" w:cs="Times New Roman"/>
          <w:sz w:val="24"/>
          <w:szCs w:val="24"/>
        </w:rPr>
        <w:t>, thus failing to consider the significant factors that affect the community. The challenge</w:t>
      </w:r>
      <w:r w:rsidR="009C437E" w:rsidRPr="00FD1F03">
        <w:rPr>
          <w:rFonts w:ascii="Times New Roman" w:hAnsi="Times New Roman" w:cs="Times New Roman"/>
          <w:sz w:val="24"/>
          <w:szCs w:val="24"/>
        </w:rPr>
        <w:t xml:space="preserve"> is created </w:t>
      </w:r>
      <w:r w:rsidR="00A9452F" w:rsidRPr="00FD1F03">
        <w:rPr>
          <w:rFonts w:ascii="Times New Roman" w:hAnsi="Times New Roman" w:cs="Times New Roman"/>
          <w:sz w:val="24"/>
          <w:szCs w:val="24"/>
        </w:rPr>
        <w:t xml:space="preserve">in achieving equitable and sustainable developments </w:t>
      </w:r>
      <w:r w:rsidR="009C437E" w:rsidRPr="00FD1F03">
        <w:rPr>
          <w:rFonts w:ascii="Times New Roman" w:hAnsi="Times New Roman" w:cs="Times New Roman"/>
          <w:sz w:val="24"/>
          <w:szCs w:val="24"/>
        </w:rPr>
        <w:t>that handle the problems faced by the vulnerable communities as the authorities' strategies are based solely on the economic development of an area. The community needs should be first considered, and the aim of the community engagement should be clear and transparent</w:t>
      </w:r>
      <w:r w:rsidR="005E4C69" w:rsidRPr="00FD1F03">
        <w:rPr>
          <w:rFonts w:ascii="Times New Roman" w:hAnsi="Times New Roman" w:cs="Times New Roman"/>
          <w:sz w:val="24"/>
          <w:szCs w:val="24"/>
        </w:rPr>
        <w:t xml:space="preserve"> </w:t>
      </w:r>
      <w:bookmarkStart w:id="2" w:name="_Hlk103251448"/>
      <w:r w:rsidR="005E4C69" w:rsidRPr="00FD1F03">
        <w:rPr>
          <w:rFonts w:ascii="Times New Roman" w:hAnsi="Times New Roman" w:cs="Times New Roman"/>
          <w:sz w:val="24"/>
          <w:szCs w:val="24"/>
        </w:rPr>
        <w:t>(Geekiyanage et al.,2020)</w:t>
      </w:r>
      <w:bookmarkEnd w:id="2"/>
    </w:p>
    <w:p w14:paraId="295F12BD" w14:textId="55B93EDB" w:rsidR="00C515F4"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 Local authorities are obligated to involve the community during the decision-making process. An effective community engagement practice by the local authority brings about long-term benefits such as trust, opportunity to influence, knowledge of local problems, elimination of barriers, and understanding of the community. Therefore, it would be wise to reach all community sectors and eliminate any present barriers to those individuals who feel that they are underrepresented in the community.</w:t>
      </w:r>
      <w:r w:rsidR="00532B83" w:rsidRPr="00FD1F03">
        <w:rPr>
          <w:rFonts w:ascii="Times New Roman" w:hAnsi="Times New Roman" w:cs="Times New Roman"/>
          <w:sz w:val="24"/>
          <w:szCs w:val="24"/>
        </w:rPr>
        <w:t xml:space="preserve"> Various methods that can involve the communities are neighborhood committees, </w:t>
      </w:r>
      <w:r w:rsidR="00700AFD" w:rsidRPr="00FD1F03">
        <w:rPr>
          <w:rFonts w:ascii="Times New Roman" w:hAnsi="Times New Roman" w:cs="Times New Roman"/>
          <w:sz w:val="24"/>
          <w:szCs w:val="24"/>
        </w:rPr>
        <w:t xml:space="preserve"> citizen juries, and community forums</w:t>
      </w:r>
      <w:r w:rsidR="005E4C69" w:rsidRPr="00FD1F03">
        <w:rPr>
          <w:rFonts w:ascii="Times New Roman" w:hAnsi="Times New Roman" w:cs="Times New Roman"/>
          <w:sz w:val="24"/>
          <w:szCs w:val="24"/>
        </w:rPr>
        <w:t xml:space="preserve"> (</w:t>
      </w:r>
      <w:r w:rsidR="0084304D" w:rsidRPr="00FD1F03">
        <w:rPr>
          <w:rFonts w:ascii="Times New Roman" w:hAnsi="Times New Roman" w:cs="Times New Roman"/>
          <w:sz w:val="24"/>
          <w:szCs w:val="24"/>
        </w:rPr>
        <w:t>Mitchell et al.,2019)</w:t>
      </w:r>
      <w:r w:rsidR="00700AFD" w:rsidRPr="00FD1F03">
        <w:rPr>
          <w:rFonts w:ascii="Times New Roman" w:hAnsi="Times New Roman" w:cs="Times New Roman"/>
          <w:sz w:val="24"/>
          <w:szCs w:val="24"/>
        </w:rPr>
        <w:t>.</w:t>
      </w:r>
    </w:p>
    <w:p w14:paraId="1F1A4571" w14:textId="529645F0" w:rsidR="00C515F4" w:rsidRPr="00FD1F03" w:rsidRDefault="002B20AA" w:rsidP="00FD1F03">
      <w:pPr>
        <w:spacing w:line="480" w:lineRule="auto"/>
        <w:rPr>
          <w:rFonts w:ascii="Times New Roman" w:hAnsi="Times New Roman" w:cs="Times New Roman"/>
          <w:b/>
          <w:bCs/>
          <w:sz w:val="24"/>
          <w:szCs w:val="24"/>
        </w:rPr>
      </w:pPr>
      <w:r w:rsidRPr="00FD1F03">
        <w:rPr>
          <w:rFonts w:ascii="Times New Roman" w:hAnsi="Times New Roman" w:cs="Times New Roman"/>
          <w:b/>
          <w:bCs/>
          <w:sz w:val="24"/>
          <w:szCs w:val="24"/>
        </w:rPr>
        <w:t>Practices</w:t>
      </w:r>
      <w:r w:rsidR="00FC60D1" w:rsidRPr="00FD1F03">
        <w:rPr>
          <w:rFonts w:ascii="Times New Roman" w:hAnsi="Times New Roman" w:cs="Times New Roman"/>
          <w:b/>
          <w:bCs/>
          <w:sz w:val="24"/>
          <w:szCs w:val="24"/>
        </w:rPr>
        <w:t xml:space="preserve"> and principles </w:t>
      </w:r>
      <w:r w:rsidRPr="00FD1F03">
        <w:rPr>
          <w:rFonts w:ascii="Times New Roman" w:hAnsi="Times New Roman" w:cs="Times New Roman"/>
          <w:b/>
          <w:bCs/>
          <w:sz w:val="24"/>
          <w:szCs w:val="24"/>
        </w:rPr>
        <w:t xml:space="preserve">in community engagement </w:t>
      </w:r>
    </w:p>
    <w:p w14:paraId="5F0EE3A8" w14:textId="12EA8DD4" w:rsidR="00C515F4"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The best practices in community engagement are information, consultation, involvement, and empowerment. According to </w:t>
      </w:r>
      <w:r w:rsidR="0084304D" w:rsidRPr="00FD1F03">
        <w:rPr>
          <w:rFonts w:ascii="Times New Roman" w:hAnsi="Times New Roman" w:cs="Times New Roman"/>
          <w:sz w:val="24"/>
          <w:szCs w:val="24"/>
        </w:rPr>
        <w:t>Mitchell et al. (2019</w:t>
      </w:r>
      <w:r w:rsidR="002B20AA" w:rsidRPr="00FD1F03">
        <w:rPr>
          <w:rFonts w:ascii="Times New Roman" w:hAnsi="Times New Roman" w:cs="Times New Roman"/>
          <w:sz w:val="24"/>
          <w:szCs w:val="24"/>
        </w:rPr>
        <w:t>), informing helps provide the public with balanced and transparent information to assist the community in comprehending the issue,  other choices, opportunities, and solutions. Consultation is done to obtain feedback on decisions and choices from the community facing the impact</w:t>
      </w:r>
      <w:r w:rsidR="00620151" w:rsidRPr="00FD1F03">
        <w:rPr>
          <w:rFonts w:ascii="Times New Roman" w:hAnsi="Times New Roman" w:cs="Times New Roman"/>
          <w:sz w:val="24"/>
          <w:szCs w:val="24"/>
        </w:rPr>
        <w:t>. Consultation is an important process as individuals are allowed to express and participate within the community. Thirdly,</w:t>
      </w:r>
      <w:r w:rsidR="009D71EE" w:rsidRPr="00FD1F03">
        <w:rPr>
          <w:rFonts w:ascii="Times New Roman" w:hAnsi="Times New Roman" w:cs="Times New Roman"/>
          <w:sz w:val="24"/>
          <w:szCs w:val="24"/>
        </w:rPr>
        <w:t xml:space="preserve"> </w:t>
      </w:r>
      <w:r w:rsidR="009D71EE" w:rsidRPr="00FD1F03">
        <w:rPr>
          <w:rFonts w:ascii="Times New Roman" w:hAnsi="Times New Roman" w:cs="Times New Roman"/>
          <w:sz w:val="24"/>
          <w:szCs w:val="24"/>
        </w:rPr>
        <w:lastRenderedPageBreak/>
        <w:t>involvement in the process whereby decisions are negotiated by the community</w:t>
      </w:r>
      <w:r w:rsidR="00053104" w:rsidRPr="00FD1F03">
        <w:rPr>
          <w:rFonts w:ascii="Times New Roman" w:hAnsi="Times New Roman" w:cs="Times New Roman"/>
          <w:sz w:val="24"/>
          <w:szCs w:val="24"/>
        </w:rPr>
        <w:t xml:space="preserve">(De Weger et al.,2018, pp </w:t>
      </w:r>
      <w:r w:rsidR="00474911" w:rsidRPr="00FD1F03">
        <w:rPr>
          <w:rFonts w:ascii="Times New Roman" w:hAnsi="Times New Roman" w:cs="Times New Roman"/>
          <w:sz w:val="24"/>
          <w:szCs w:val="24"/>
        </w:rPr>
        <w:t>16)</w:t>
      </w:r>
      <w:r w:rsidR="009D71EE" w:rsidRPr="00FD1F03">
        <w:rPr>
          <w:rFonts w:ascii="Times New Roman" w:hAnsi="Times New Roman" w:cs="Times New Roman"/>
          <w:sz w:val="24"/>
          <w:szCs w:val="24"/>
        </w:rPr>
        <w:t xml:space="preserve">. Therefore the local authority should </w:t>
      </w:r>
      <w:r w:rsidR="007D3EF0" w:rsidRPr="00FD1F03">
        <w:rPr>
          <w:rFonts w:ascii="Times New Roman" w:hAnsi="Times New Roman" w:cs="Times New Roman"/>
          <w:sz w:val="24"/>
          <w:szCs w:val="24"/>
        </w:rPr>
        <w:t xml:space="preserve">collaborate </w:t>
      </w:r>
      <w:r w:rsidR="009D71EE" w:rsidRPr="00FD1F03">
        <w:rPr>
          <w:rFonts w:ascii="Times New Roman" w:hAnsi="Times New Roman" w:cs="Times New Roman"/>
          <w:sz w:val="24"/>
          <w:szCs w:val="24"/>
        </w:rPr>
        <w:t>with the community and other stakeholders to ensure their problems and concerns are dealt with by providing solutions.</w:t>
      </w:r>
      <w:r w:rsidR="00620151" w:rsidRPr="00FD1F03">
        <w:rPr>
          <w:rFonts w:ascii="Times New Roman" w:hAnsi="Times New Roman" w:cs="Times New Roman"/>
          <w:sz w:val="24"/>
          <w:szCs w:val="24"/>
        </w:rPr>
        <w:t xml:space="preserve"> </w:t>
      </w:r>
      <w:r w:rsidR="007D3EF0" w:rsidRPr="00FD1F03">
        <w:rPr>
          <w:rFonts w:ascii="Times New Roman" w:hAnsi="Times New Roman" w:cs="Times New Roman"/>
          <w:sz w:val="24"/>
          <w:szCs w:val="24"/>
        </w:rPr>
        <w:t>Lastly, empowerment is when the community has the power to decide on changes that happen in the community</w:t>
      </w:r>
      <w:r w:rsidR="00A30440" w:rsidRPr="00FD1F03">
        <w:rPr>
          <w:rFonts w:ascii="Times New Roman" w:hAnsi="Times New Roman" w:cs="Times New Roman"/>
          <w:sz w:val="24"/>
          <w:szCs w:val="24"/>
        </w:rPr>
        <w:t>(Attree,2010,259)</w:t>
      </w:r>
      <w:r w:rsidR="007D3EF0" w:rsidRPr="00FD1F03">
        <w:rPr>
          <w:rFonts w:ascii="Times New Roman" w:hAnsi="Times New Roman" w:cs="Times New Roman"/>
          <w:sz w:val="24"/>
          <w:szCs w:val="24"/>
        </w:rPr>
        <w:t>.</w:t>
      </w:r>
    </w:p>
    <w:p w14:paraId="384FD408" w14:textId="52DD0C5A" w:rsidR="007D3EF0"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The </w:t>
      </w:r>
      <w:r w:rsidR="000F42E3" w:rsidRPr="00FD1F03">
        <w:rPr>
          <w:rFonts w:ascii="Times New Roman" w:hAnsi="Times New Roman" w:cs="Times New Roman"/>
          <w:sz w:val="24"/>
          <w:szCs w:val="24"/>
        </w:rPr>
        <w:t xml:space="preserve"> Town of Cardiff’s Recreation and Community Facilities plan is a strategy for the future facility plan. The local authorities have hired a professional consultant in Wales known as SGL to collaborate with the town and seek participation from the community and stakeholders.</w:t>
      </w:r>
      <w:r w:rsidR="003F54BB" w:rsidRPr="00FD1F03">
        <w:rPr>
          <w:rFonts w:ascii="Times New Roman" w:hAnsi="Times New Roman" w:cs="Times New Roman"/>
          <w:sz w:val="24"/>
          <w:szCs w:val="24"/>
        </w:rPr>
        <w:t xml:space="preserve"> </w:t>
      </w:r>
      <w:r w:rsidR="006B1047" w:rsidRPr="00FD1F03">
        <w:rPr>
          <w:rFonts w:ascii="Times New Roman" w:hAnsi="Times New Roman" w:cs="Times New Roman"/>
          <w:sz w:val="24"/>
          <w:szCs w:val="24"/>
        </w:rPr>
        <w:t>From the assessment of the town of Cardiff, it is clear that the local authorities didn't strategically inform the community.</w:t>
      </w:r>
      <w:r w:rsidR="00002E21" w:rsidRPr="00FD1F03">
        <w:rPr>
          <w:rFonts w:ascii="Times New Roman" w:hAnsi="Times New Roman" w:cs="Times New Roman"/>
          <w:sz w:val="24"/>
          <w:szCs w:val="24"/>
        </w:rPr>
        <w:t xml:space="preserve"> However, Shannon contends that traditional public consultations can be a disadvantage due to poor facilitation by organizers and decreased attendance levels due to poor timing and participation by community representatives. Nevertheless, local authorities have changed how they could consult through an outside consulting firm. For instance, the Town of Cardiff local authorities has opted to seek a professional consultant in Wales known as SGL. The SGL  is in charge of creating a plan as an input to the Local Authority Community Engagement process.</w:t>
      </w:r>
      <w:r w:rsidR="003F54BB" w:rsidRPr="00FD1F03">
        <w:rPr>
          <w:rFonts w:ascii="Times New Roman" w:hAnsi="Times New Roman" w:cs="Times New Roman"/>
          <w:sz w:val="24"/>
          <w:szCs w:val="24"/>
        </w:rPr>
        <w:t xml:space="preserve"> The local authorities didn’t actively consult the community and affected groups on their opinions but rather hired an outside consultant.</w:t>
      </w:r>
      <w:r w:rsidR="00D84C26" w:rsidRPr="00FD1F03">
        <w:rPr>
          <w:rFonts w:ascii="Times New Roman" w:hAnsi="Times New Roman" w:cs="Times New Roman"/>
          <w:sz w:val="24"/>
          <w:szCs w:val="24"/>
        </w:rPr>
        <w:t xml:space="preserve"> Such a move from the local authority denies </w:t>
      </w:r>
      <w:r w:rsidR="00F473DF" w:rsidRPr="00FD1F03">
        <w:rPr>
          <w:rFonts w:ascii="Times New Roman" w:hAnsi="Times New Roman" w:cs="Times New Roman"/>
          <w:sz w:val="24"/>
          <w:szCs w:val="24"/>
        </w:rPr>
        <w:t>the community collaboration in working together. External consultants lack understanding of the community and may try to implement</w:t>
      </w:r>
      <w:r w:rsidR="006B1047" w:rsidRPr="00FD1F03">
        <w:rPr>
          <w:rFonts w:ascii="Times New Roman" w:hAnsi="Times New Roman" w:cs="Times New Roman"/>
          <w:sz w:val="24"/>
          <w:szCs w:val="24"/>
        </w:rPr>
        <w:t xml:space="preserve"> standard strategies that are not accommodating to anyone in the community.</w:t>
      </w:r>
      <w:r w:rsidR="009B0661" w:rsidRPr="00FD1F03">
        <w:rPr>
          <w:rFonts w:ascii="Times New Roman" w:hAnsi="Times New Roman" w:cs="Times New Roman"/>
          <w:sz w:val="24"/>
          <w:szCs w:val="24"/>
        </w:rPr>
        <w:t xml:space="preserve"> The lack of consultation also denies the community involvement and empowerment</w:t>
      </w:r>
      <w:r w:rsidR="00A05A08" w:rsidRPr="00FD1F03">
        <w:rPr>
          <w:rFonts w:ascii="Times New Roman" w:hAnsi="Times New Roman" w:cs="Times New Roman"/>
          <w:sz w:val="24"/>
          <w:szCs w:val="24"/>
        </w:rPr>
        <w:t>(Poncian, 2019, pp.79)</w:t>
      </w:r>
    </w:p>
    <w:p w14:paraId="52D3742D" w14:textId="3563F75B" w:rsidR="00C515F4"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The communication techniques used by the Cardiff authorities to the community are categorized as n indirect techniques. The use of questionnaires and social media platforms is indirect as there is no contact between the local authorities and the community. Indirect </w:t>
      </w:r>
      <w:r w:rsidR="002B20AA" w:rsidRPr="00FD1F03">
        <w:rPr>
          <w:rFonts w:ascii="Times New Roman" w:hAnsi="Times New Roman" w:cs="Times New Roman"/>
          <w:sz w:val="24"/>
          <w:szCs w:val="24"/>
        </w:rPr>
        <w:lastRenderedPageBreak/>
        <w:t>communication is mainly hard to quantify and can be perceived as a general response from the public.</w:t>
      </w:r>
    </w:p>
    <w:p w14:paraId="13E45A70" w14:textId="50820303" w:rsidR="00FC60D1" w:rsidRPr="00FD1F03" w:rsidRDefault="002B20AA" w:rsidP="00FD1F03">
      <w:pPr>
        <w:spacing w:line="480" w:lineRule="auto"/>
        <w:rPr>
          <w:rFonts w:ascii="Times New Roman" w:hAnsi="Times New Roman" w:cs="Times New Roman"/>
          <w:b/>
          <w:bCs/>
          <w:sz w:val="24"/>
          <w:szCs w:val="24"/>
        </w:rPr>
      </w:pPr>
      <w:r w:rsidRPr="00FD1F03">
        <w:rPr>
          <w:rFonts w:ascii="Times New Roman" w:hAnsi="Times New Roman" w:cs="Times New Roman"/>
          <w:b/>
          <w:bCs/>
          <w:sz w:val="24"/>
          <w:szCs w:val="24"/>
        </w:rPr>
        <w:t>Techniques in the collection of data</w:t>
      </w:r>
    </w:p>
    <w:p w14:paraId="5BA87188" w14:textId="6857257A" w:rsidR="00986063"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Based on the assessment, The recreation and community facilities plan is worked </w:t>
      </w:r>
      <w:r w:rsidR="009B0661" w:rsidRPr="00FD1F03">
        <w:rPr>
          <w:rFonts w:ascii="Times New Roman" w:hAnsi="Times New Roman" w:cs="Times New Roman"/>
          <w:sz w:val="24"/>
          <w:szCs w:val="24"/>
        </w:rPr>
        <w:t>on and developed by the SGL, a consulting firm hired by the local authorities of the town of Cardiff</w:t>
      </w:r>
      <w:r w:rsidR="002B20AA" w:rsidRPr="00FD1F03">
        <w:rPr>
          <w:rFonts w:ascii="Times New Roman" w:hAnsi="Times New Roman" w:cs="Times New Roman"/>
          <w:sz w:val="24"/>
          <w:szCs w:val="24"/>
        </w:rPr>
        <w:t>. Th</w:t>
      </w:r>
      <w:r w:rsidR="00251648" w:rsidRPr="00FD1F03">
        <w:rPr>
          <w:rFonts w:ascii="Times New Roman" w:hAnsi="Times New Roman" w:cs="Times New Roman"/>
          <w:sz w:val="24"/>
          <w:szCs w:val="24"/>
        </w:rPr>
        <w:t>rough the SGL consultants</w:t>
      </w:r>
      <w:r w:rsidR="002B20AA" w:rsidRPr="00FD1F03">
        <w:rPr>
          <w:rFonts w:ascii="Times New Roman" w:hAnsi="Times New Roman" w:cs="Times New Roman"/>
          <w:sz w:val="24"/>
          <w:szCs w:val="24"/>
        </w:rPr>
        <w:t xml:space="preserve">, the local authority decided to use questionnaires and social media platforms to get feedback from the community about the Recreation and Communities Facilities Plan. The outcome of the data collected from the questionnaires and social media platforms is viewed as feedback or answers from the general community. </w:t>
      </w:r>
      <w:r w:rsidR="00251648" w:rsidRPr="00FD1F03">
        <w:rPr>
          <w:rFonts w:ascii="Times New Roman" w:hAnsi="Times New Roman" w:cs="Times New Roman"/>
          <w:sz w:val="24"/>
          <w:szCs w:val="24"/>
        </w:rPr>
        <w:t>The research method used is qualitative, whereby the data analyzed is in a non-numeric form.</w:t>
      </w:r>
    </w:p>
    <w:p w14:paraId="617E77F9" w14:textId="658F0DFB" w:rsidR="0052064D"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Nonetheless, the results from the questionnaires depend on the question design. I.e., if it was open-ended or close-ended, the sampling ( a representative of the community ) and the response rate (  the people willing to participate ). </w:t>
      </w:r>
      <w:r w:rsidR="00986063" w:rsidRPr="00FD1F03">
        <w:rPr>
          <w:rFonts w:ascii="Times New Roman" w:hAnsi="Times New Roman" w:cs="Times New Roman"/>
          <w:sz w:val="24"/>
          <w:szCs w:val="24"/>
        </w:rPr>
        <w:t>The common questions asked by the Cardiff council are in the form of an open-ended questionnaire.</w:t>
      </w:r>
      <w:r w:rsidR="008D4FF1" w:rsidRPr="00FD1F03">
        <w:rPr>
          <w:rFonts w:ascii="Times New Roman" w:hAnsi="Times New Roman" w:cs="Times New Roman"/>
          <w:sz w:val="24"/>
          <w:szCs w:val="24"/>
        </w:rPr>
        <w:t xml:space="preserve"> Open-ended questionnaires are useful in collecting feedback or ideas from the community and comprehending what the community thinks about the facilities</w:t>
      </w:r>
      <w:r w:rsidR="002B20AA" w:rsidRPr="00FD1F03">
        <w:rPr>
          <w:rFonts w:ascii="Times New Roman" w:hAnsi="Times New Roman" w:cs="Times New Roman"/>
          <w:sz w:val="24"/>
          <w:szCs w:val="24"/>
        </w:rPr>
        <w:t xml:space="preserve">. The disadvantages of using open-ended questionnaires are the participant's responses may be hard to analyze and differences in the comprehension and interpretation of the questions. Another disadvantage is that the participants may take longer to respond, thus result to lower response rate. The questions in a questionnaire need to be straightforward and clear to avoid shallow responses (Abel et al. 2001).  </w:t>
      </w:r>
    </w:p>
    <w:p w14:paraId="5775F4AF" w14:textId="4127B25C" w:rsidR="00FC60D1"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The same questions used in the open-ended questionnaire were posted on Cardiff town's social media platforms</w:t>
      </w:r>
      <w:r w:rsidR="00C2079A" w:rsidRPr="00FD1F03">
        <w:rPr>
          <w:rFonts w:ascii="Times New Roman" w:hAnsi="Times New Roman" w:cs="Times New Roman"/>
          <w:sz w:val="24"/>
          <w:szCs w:val="24"/>
        </w:rPr>
        <w:t>: Instagram, Facebook, and Twitter. Facebook was the main focal point of the local authorities as it was considered the most effective and easiest way.</w:t>
      </w:r>
      <w:r w:rsidR="009A1BE7" w:rsidRPr="00FD1F03">
        <w:rPr>
          <w:rFonts w:ascii="Times New Roman" w:hAnsi="Times New Roman" w:cs="Times New Roman"/>
          <w:sz w:val="24"/>
          <w:szCs w:val="24"/>
        </w:rPr>
        <w:t xml:space="preserve"> According to the Cardiff local authority, posts can only be seen if individuals are part of a </w:t>
      </w:r>
      <w:r w:rsidR="009A1BE7" w:rsidRPr="00FD1F03">
        <w:rPr>
          <w:rFonts w:ascii="Times New Roman" w:hAnsi="Times New Roman" w:cs="Times New Roman"/>
          <w:sz w:val="24"/>
          <w:szCs w:val="24"/>
        </w:rPr>
        <w:lastRenderedPageBreak/>
        <w:t>network of friends. The connections between friends and followers on Facebook</w:t>
      </w:r>
      <w:r w:rsidR="00B90591" w:rsidRPr="00FD1F03">
        <w:rPr>
          <w:rFonts w:ascii="Times New Roman" w:hAnsi="Times New Roman" w:cs="Times New Roman"/>
          <w:sz w:val="24"/>
          <w:szCs w:val="24"/>
        </w:rPr>
        <w:t xml:space="preserve"> are the key drivers in the engagement choice; thus, the survey posted on Cardiff's Facebook page can be responded to by those that follow it. Another challenge is that it would be difficult to connect with the public and provide ways that can help build trust with the public on </w:t>
      </w:r>
      <w:r w:rsidR="00743396" w:rsidRPr="00FD1F03">
        <w:rPr>
          <w:rFonts w:ascii="Times New Roman" w:hAnsi="Times New Roman" w:cs="Times New Roman"/>
          <w:sz w:val="24"/>
          <w:szCs w:val="24"/>
        </w:rPr>
        <w:t>Facebook.</w:t>
      </w:r>
      <w:r w:rsidR="00A3329F" w:rsidRPr="00FD1F03">
        <w:rPr>
          <w:rFonts w:ascii="Times New Roman" w:hAnsi="Times New Roman" w:cs="Times New Roman"/>
          <w:sz w:val="24"/>
          <w:szCs w:val="24"/>
        </w:rPr>
        <w:t xml:space="preserve"> </w:t>
      </w:r>
      <w:r w:rsidR="00A8287E">
        <w:rPr>
          <w:rFonts w:ascii="Times New Roman" w:hAnsi="Times New Roman" w:cs="Times New Roman"/>
          <w:sz w:val="24"/>
          <w:szCs w:val="24"/>
        </w:rPr>
        <w:t xml:space="preserve">    </w:t>
      </w:r>
      <w:r w:rsidR="00A3329F" w:rsidRPr="00FD1F03">
        <w:rPr>
          <w:rFonts w:ascii="Times New Roman" w:hAnsi="Times New Roman" w:cs="Times New Roman"/>
          <w:sz w:val="24"/>
          <w:szCs w:val="24"/>
        </w:rPr>
        <w:t>Lastly, the data collected from the questionnaires on the social media platform may be difficult to analyze. The local authorities use of the social media platforms excluded those who don't use the platforms; thus, the results will be affected.</w:t>
      </w:r>
      <w:r w:rsidR="00743396" w:rsidRPr="00FD1F03">
        <w:rPr>
          <w:rFonts w:ascii="Times New Roman" w:hAnsi="Times New Roman" w:cs="Times New Roman"/>
          <w:sz w:val="24"/>
          <w:szCs w:val="24"/>
        </w:rPr>
        <w:t xml:space="preserve"> The communication style used in questionnaires should be different from that used in social media platforms to increase public engagement.</w:t>
      </w:r>
      <w:r w:rsidR="007124BA" w:rsidRPr="00FD1F03">
        <w:rPr>
          <w:rFonts w:ascii="Times New Roman" w:hAnsi="Times New Roman" w:cs="Times New Roman"/>
          <w:sz w:val="24"/>
          <w:szCs w:val="24"/>
        </w:rPr>
        <w:t xml:space="preserve"> Therefore, I would suggest that the questions formulated in social media should be constructed in a way that</w:t>
      </w:r>
      <w:r w:rsidR="00E55617" w:rsidRPr="00FD1F03">
        <w:rPr>
          <w:rFonts w:ascii="Times New Roman" w:hAnsi="Times New Roman" w:cs="Times New Roman"/>
          <w:sz w:val="24"/>
          <w:szCs w:val="24"/>
        </w:rPr>
        <w:t xml:space="preserve"> evokes massive engagement</w:t>
      </w:r>
      <w:r w:rsidR="007124BA" w:rsidRPr="00FD1F03">
        <w:rPr>
          <w:rFonts w:ascii="Times New Roman" w:hAnsi="Times New Roman" w:cs="Times New Roman"/>
          <w:sz w:val="24"/>
          <w:szCs w:val="24"/>
        </w:rPr>
        <w:t xml:space="preserve">. </w:t>
      </w:r>
    </w:p>
    <w:p w14:paraId="5406682B" w14:textId="77777777" w:rsidR="00CA34C4"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However, I can contend that collecting data from the community should be strategic and more elaborate.</w:t>
      </w:r>
      <w:r w:rsidR="000A3046" w:rsidRPr="00FD1F03">
        <w:rPr>
          <w:rFonts w:ascii="Times New Roman" w:hAnsi="Times New Roman" w:cs="Times New Roman"/>
          <w:sz w:val="24"/>
          <w:szCs w:val="24"/>
        </w:rPr>
        <w:t xml:space="preserve"> The principl</w:t>
      </w:r>
      <w:r w:rsidR="00276A26" w:rsidRPr="00FD1F03">
        <w:rPr>
          <w:rFonts w:ascii="Times New Roman" w:hAnsi="Times New Roman" w:cs="Times New Roman"/>
          <w:sz w:val="24"/>
          <w:szCs w:val="24"/>
        </w:rPr>
        <w:t xml:space="preserve">es and practices </w:t>
      </w:r>
      <w:r w:rsidR="000A3046" w:rsidRPr="00FD1F03">
        <w:rPr>
          <w:rFonts w:ascii="Times New Roman" w:hAnsi="Times New Roman" w:cs="Times New Roman"/>
          <w:sz w:val="24"/>
          <w:szCs w:val="24"/>
        </w:rPr>
        <w:t xml:space="preserve">used </w:t>
      </w:r>
      <w:r w:rsidR="00276A26" w:rsidRPr="00FD1F03">
        <w:rPr>
          <w:rFonts w:ascii="Times New Roman" w:hAnsi="Times New Roman" w:cs="Times New Roman"/>
          <w:sz w:val="24"/>
          <w:szCs w:val="24"/>
        </w:rPr>
        <w:t>to succeed in the engagement process include establishing responsiveness from the community. Before engaging the community, the Cardiff authorities using the SGL consultants should directly communicate with the community to create trust.</w:t>
      </w:r>
      <w:r w:rsidR="0026128B" w:rsidRPr="00FD1F03">
        <w:rPr>
          <w:rFonts w:ascii="Times New Roman" w:hAnsi="Times New Roman" w:cs="Times New Roman"/>
          <w:sz w:val="24"/>
          <w:szCs w:val="24"/>
        </w:rPr>
        <w:t xml:space="preserve"> The next step is that the Cardiff authorities should involve the community leaders and avoid neglecting other members. The step helps the Cardiff authorities to identify community members who are fit for the survey design and work with community leaders to influence their members to participate in the survey. Creating an empowering atmosphere in the community is also crucial as it promotes comfort and </w:t>
      </w:r>
      <w:r w:rsidR="00105F44" w:rsidRPr="00FD1F03">
        <w:rPr>
          <w:rFonts w:ascii="Times New Roman" w:hAnsi="Times New Roman" w:cs="Times New Roman"/>
          <w:sz w:val="24"/>
          <w:szCs w:val="24"/>
        </w:rPr>
        <w:t>confidence.</w:t>
      </w:r>
    </w:p>
    <w:p w14:paraId="7E338C80" w14:textId="1EFA08E4" w:rsidR="009145E0"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Apart from the open-ended questionnaires and social media platforms, other methods that can be considered to collect feedback are audio recording and note-taking. Thorough documentation of the survey regarding the respondent's behavior can offer suggestions for the survey improvement.</w:t>
      </w:r>
      <w:r w:rsidR="005628E7" w:rsidRPr="00FD1F03">
        <w:rPr>
          <w:rFonts w:ascii="Times New Roman" w:hAnsi="Times New Roman" w:cs="Times New Roman"/>
          <w:sz w:val="24"/>
          <w:szCs w:val="24"/>
        </w:rPr>
        <w:t xml:space="preserve"> Nonetheless, the Cardiff authorities should commit to their collaboration gaols with the community in the long-term community. Long-term partnerships </w:t>
      </w:r>
      <w:r w:rsidR="005628E7" w:rsidRPr="00FD1F03">
        <w:rPr>
          <w:rFonts w:ascii="Times New Roman" w:hAnsi="Times New Roman" w:cs="Times New Roman"/>
          <w:sz w:val="24"/>
          <w:szCs w:val="24"/>
        </w:rPr>
        <w:lastRenderedPageBreak/>
        <w:t>help create successful results in the case of complex societal issue</w:t>
      </w:r>
      <w:r w:rsidR="00053104" w:rsidRPr="00FD1F03">
        <w:rPr>
          <w:rFonts w:ascii="Times New Roman" w:hAnsi="Times New Roman" w:cs="Times New Roman"/>
          <w:sz w:val="24"/>
          <w:szCs w:val="24"/>
        </w:rPr>
        <w:t>s (Allotey et al., 2020, pp 67)</w:t>
      </w:r>
      <w:r w:rsidR="005628E7" w:rsidRPr="00FD1F03">
        <w:rPr>
          <w:rFonts w:ascii="Times New Roman" w:hAnsi="Times New Roman" w:cs="Times New Roman"/>
          <w:sz w:val="24"/>
          <w:szCs w:val="24"/>
        </w:rPr>
        <w:t>.</w:t>
      </w:r>
    </w:p>
    <w:p w14:paraId="277C5687" w14:textId="6D14FC76" w:rsidR="000A3046" w:rsidRPr="00FD1F03" w:rsidRDefault="002B20AA" w:rsidP="00FD1F03">
      <w:pPr>
        <w:spacing w:line="480" w:lineRule="auto"/>
        <w:rPr>
          <w:rFonts w:ascii="Times New Roman" w:hAnsi="Times New Roman" w:cs="Times New Roman"/>
          <w:b/>
          <w:bCs/>
          <w:sz w:val="24"/>
          <w:szCs w:val="24"/>
        </w:rPr>
      </w:pPr>
      <w:r w:rsidRPr="00FD1F03">
        <w:rPr>
          <w:rFonts w:ascii="Times New Roman" w:hAnsi="Times New Roman" w:cs="Times New Roman"/>
          <w:b/>
          <w:bCs/>
          <w:sz w:val="24"/>
          <w:szCs w:val="24"/>
        </w:rPr>
        <w:t xml:space="preserve">Conclusion </w:t>
      </w:r>
    </w:p>
    <w:p w14:paraId="59263DC4" w14:textId="0609677A" w:rsidR="00E6213A"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Community involvement in the decision-making process is central to practice and policy in many institutions in the public sector.</w:t>
      </w:r>
      <w:r w:rsidR="00532B83" w:rsidRPr="00FD1F03">
        <w:rPr>
          <w:rFonts w:ascii="Times New Roman" w:hAnsi="Times New Roman" w:cs="Times New Roman"/>
          <w:sz w:val="24"/>
          <w:szCs w:val="24"/>
        </w:rPr>
        <w:t xml:space="preserve"> </w:t>
      </w:r>
      <w:r w:rsidR="00FB4370" w:rsidRPr="00FD1F03">
        <w:rPr>
          <w:rFonts w:ascii="Times New Roman" w:hAnsi="Times New Roman" w:cs="Times New Roman"/>
          <w:sz w:val="24"/>
          <w:szCs w:val="24"/>
        </w:rPr>
        <w:t>The locality development model and the theory of change explain the community engagement process. The theory of change explains how community involvement can lead to successful changes</w:t>
      </w:r>
      <w:r w:rsidR="00532B83" w:rsidRPr="00FD1F03">
        <w:rPr>
          <w:rFonts w:ascii="Times New Roman" w:hAnsi="Times New Roman" w:cs="Times New Roman"/>
          <w:sz w:val="24"/>
          <w:szCs w:val="24"/>
        </w:rPr>
        <w:t>. The lack of community involvement in consultation practices limits engagement</w:t>
      </w:r>
      <w:r w:rsidR="00FB4370" w:rsidRPr="00FD1F03">
        <w:rPr>
          <w:rFonts w:ascii="Times New Roman" w:hAnsi="Times New Roman" w:cs="Times New Roman"/>
          <w:sz w:val="24"/>
          <w:szCs w:val="24"/>
        </w:rPr>
        <w:t xml:space="preserve"> and unclear, confused </w:t>
      </w:r>
      <w:r w:rsidR="00900D61" w:rsidRPr="00FD1F03">
        <w:rPr>
          <w:rFonts w:ascii="Times New Roman" w:hAnsi="Times New Roman" w:cs="Times New Roman"/>
          <w:sz w:val="24"/>
          <w:szCs w:val="24"/>
        </w:rPr>
        <w:t>community engagement objectives.</w:t>
      </w:r>
      <w:r w:rsidR="00532B83" w:rsidRPr="00FD1F03">
        <w:rPr>
          <w:rFonts w:ascii="Times New Roman" w:hAnsi="Times New Roman" w:cs="Times New Roman"/>
          <w:sz w:val="24"/>
          <w:szCs w:val="24"/>
        </w:rPr>
        <w:t xml:space="preserve"> The failure to act on the community’s suggestions can lead to the community’s withdrawal from participation</w:t>
      </w:r>
      <w:r w:rsidR="00FB4370" w:rsidRPr="00FD1F03">
        <w:rPr>
          <w:rFonts w:ascii="Times New Roman" w:hAnsi="Times New Roman" w:cs="Times New Roman"/>
          <w:sz w:val="24"/>
          <w:szCs w:val="24"/>
        </w:rPr>
        <w:t>.</w:t>
      </w:r>
      <w:r w:rsidR="00700AFD" w:rsidRPr="00FD1F03">
        <w:rPr>
          <w:rFonts w:ascii="Times New Roman" w:hAnsi="Times New Roman" w:cs="Times New Roman"/>
          <w:sz w:val="24"/>
          <w:szCs w:val="24"/>
        </w:rPr>
        <w:t xml:space="preserve"> However, there is evidence that the best practice for community engagement is consultation, as it produces </w:t>
      </w:r>
      <w:r w:rsidR="00EB0009" w:rsidRPr="00FD1F03">
        <w:rPr>
          <w:rFonts w:ascii="Times New Roman" w:hAnsi="Times New Roman" w:cs="Times New Roman"/>
          <w:sz w:val="24"/>
          <w:szCs w:val="24"/>
        </w:rPr>
        <w:t>a positive experience for the members.</w:t>
      </w:r>
      <w:r w:rsidR="007D1AAD" w:rsidRPr="00FD1F03">
        <w:rPr>
          <w:rFonts w:ascii="Times New Roman" w:hAnsi="Times New Roman" w:cs="Times New Roman"/>
          <w:sz w:val="24"/>
          <w:szCs w:val="24"/>
        </w:rPr>
        <w:t xml:space="preserve"> The town of Cardiff is keen to involve the community members in its Recreational facilities plan. The Cardiff council hires a consulting firm in Wales known as SGL to facilitate and collaborate with the community. Such an approach denies the community the chance to work with the local authorities directly. </w:t>
      </w:r>
      <w:r w:rsidR="00BA631F" w:rsidRPr="00FD1F03">
        <w:rPr>
          <w:rFonts w:ascii="Times New Roman" w:hAnsi="Times New Roman" w:cs="Times New Roman"/>
          <w:sz w:val="24"/>
          <w:szCs w:val="24"/>
        </w:rPr>
        <w:t>The lack of proper training of the professionals to carry out the community engagement process is a barrier to a successful collaboration. The training is important as it eliminates the information gap between the community and the administrators.</w:t>
      </w:r>
    </w:p>
    <w:p w14:paraId="35FD620B" w14:textId="29DFFB98" w:rsidR="00BA631F" w:rsidRPr="00FD1F03" w:rsidRDefault="00CA34C4" w:rsidP="00FD1F0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20AA" w:rsidRPr="00FD1F03">
        <w:rPr>
          <w:rFonts w:ascii="Times New Roman" w:hAnsi="Times New Roman" w:cs="Times New Roman"/>
          <w:sz w:val="24"/>
          <w:szCs w:val="24"/>
        </w:rPr>
        <w:t xml:space="preserve">The methods used to collect the data from the community: questionnaires and </w:t>
      </w:r>
      <w:r w:rsidR="00BE4C36" w:rsidRPr="00FD1F03">
        <w:rPr>
          <w:rFonts w:ascii="Times New Roman" w:hAnsi="Times New Roman" w:cs="Times New Roman"/>
          <w:sz w:val="24"/>
          <w:szCs w:val="24"/>
        </w:rPr>
        <w:t>social media platforms, are ineffective in the community engagement process. The questionnaires are open-ended, thus hard to analyze and interpret, while anyone who doesn't use social media is exempted from the participation. The Cardiff local authorities should change their strategies</w:t>
      </w:r>
      <w:r w:rsidR="00FB4370" w:rsidRPr="00FD1F03">
        <w:rPr>
          <w:rFonts w:ascii="Times New Roman" w:hAnsi="Times New Roman" w:cs="Times New Roman"/>
          <w:sz w:val="24"/>
          <w:szCs w:val="24"/>
        </w:rPr>
        <w:t xml:space="preserve"> and commit to their goals to build a long-term collaboration.</w:t>
      </w:r>
    </w:p>
    <w:p w14:paraId="43569E04" w14:textId="77777777" w:rsidR="00CA34C4" w:rsidRDefault="00CA34C4" w:rsidP="00FD1F03">
      <w:pPr>
        <w:spacing w:line="480" w:lineRule="auto"/>
        <w:jc w:val="center"/>
        <w:rPr>
          <w:rFonts w:ascii="Times New Roman" w:hAnsi="Times New Roman" w:cs="Times New Roman"/>
          <w:b/>
          <w:bCs/>
          <w:sz w:val="24"/>
          <w:szCs w:val="24"/>
        </w:rPr>
      </w:pPr>
    </w:p>
    <w:p w14:paraId="241088C3" w14:textId="77777777" w:rsidR="00CA34C4" w:rsidRDefault="00CA34C4" w:rsidP="00FD1F03">
      <w:pPr>
        <w:spacing w:line="480" w:lineRule="auto"/>
        <w:jc w:val="center"/>
        <w:rPr>
          <w:rFonts w:ascii="Times New Roman" w:hAnsi="Times New Roman" w:cs="Times New Roman"/>
          <w:b/>
          <w:bCs/>
          <w:sz w:val="24"/>
          <w:szCs w:val="24"/>
        </w:rPr>
      </w:pPr>
    </w:p>
    <w:p w14:paraId="32E528A3" w14:textId="6CF8E906" w:rsidR="00FC60D1" w:rsidRPr="00FD1F03" w:rsidRDefault="002B20AA" w:rsidP="00FD1F03">
      <w:pPr>
        <w:spacing w:line="480" w:lineRule="auto"/>
        <w:jc w:val="center"/>
        <w:rPr>
          <w:rFonts w:ascii="Times New Roman" w:hAnsi="Times New Roman" w:cs="Times New Roman"/>
          <w:b/>
          <w:bCs/>
          <w:sz w:val="24"/>
          <w:szCs w:val="24"/>
        </w:rPr>
      </w:pPr>
      <w:r w:rsidRPr="00FD1F03">
        <w:rPr>
          <w:rFonts w:ascii="Times New Roman" w:hAnsi="Times New Roman" w:cs="Times New Roman"/>
          <w:b/>
          <w:bCs/>
          <w:sz w:val="24"/>
          <w:szCs w:val="24"/>
        </w:rPr>
        <w:lastRenderedPageBreak/>
        <w:t>Reference list</w:t>
      </w:r>
    </w:p>
    <w:p w14:paraId="45CC432B"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Allotey, P., Tan, D.T., Kirby, T. and Tan, L.H., 2019. Community engagement in support of moving toward universal health coverage. </w:t>
      </w:r>
      <w:r w:rsidRPr="00FD1F03">
        <w:rPr>
          <w:rFonts w:ascii="Times New Roman" w:hAnsi="Times New Roman" w:cs="Times New Roman"/>
          <w:i/>
          <w:iCs/>
          <w:sz w:val="24"/>
          <w:szCs w:val="24"/>
        </w:rPr>
        <w:t>Health Systems &amp; Reform</w:t>
      </w:r>
      <w:r w:rsidRPr="00FD1F03">
        <w:rPr>
          <w:rFonts w:ascii="Times New Roman" w:hAnsi="Times New Roman" w:cs="Times New Roman"/>
          <w:sz w:val="24"/>
          <w:szCs w:val="24"/>
        </w:rPr>
        <w:t>, </w:t>
      </w:r>
      <w:r w:rsidRPr="00FD1F03">
        <w:rPr>
          <w:rFonts w:ascii="Times New Roman" w:hAnsi="Times New Roman" w:cs="Times New Roman"/>
          <w:i/>
          <w:iCs/>
          <w:sz w:val="24"/>
          <w:szCs w:val="24"/>
        </w:rPr>
        <w:t>5</w:t>
      </w:r>
      <w:r w:rsidRPr="00FD1F03">
        <w:rPr>
          <w:rFonts w:ascii="Times New Roman" w:hAnsi="Times New Roman" w:cs="Times New Roman"/>
          <w:sz w:val="24"/>
          <w:szCs w:val="24"/>
        </w:rPr>
        <w:t>(1), pp.66-77.</w:t>
      </w:r>
    </w:p>
    <w:p w14:paraId="4839B232"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Attree, P., French, B., Milton, B., Povall, S., Whitehead, M., and Popay, J., 2011. The experience of community engagement for individuals: a rapid review of evidence. </w:t>
      </w:r>
      <w:r w:rsidRPr="00FD1F03">
        <w:rPr>
          <w:rFonts w:ascii="Times New Roman" w:hAnsi="Times New Roman" w:cs="Times New Roman"/>
          <w:i/>
          <w:iCs/>
          <w:sz w:val="24"/>
          <w:szCs w:val="24"/>
        </w:rPr>
        <w:t>Health &amp; social care in the community</w:t>
      </w:r>
      <w:r w:rsidRPr="00FD1F03">
        <w:rPr>
          <w:rFonts w:ascii="Times New Roman" w:hAnsi="Times New Roman" w:cs="Times New Roman"/>
          <w:sz w:val="24"/>
          <w:szCs w:val="24"/>
        </w:rPr>
        <w:t>, </w:t>
      </w:r>
      <w:r w:rsidRPr="00FD1F03">
        <w:rPr>
          <w:rFonts w:ascii="Times New Roman" w:hAnsi="Times New Roman" w:cs="Times New Roman"/>
          <w:i/>
          <w:iCs/>
          <w:sz w:val="24"/>
          <w:szCs w:val="24"/>
        </w:rPr>
        <w:t>19</w:t>
      </w:r>
      <w:r w:rsidRPr="00FD1F03">
        <w:rPr>
          <w:rFonts w:ascii="Times New Roman" w:hAnsi="Times New Roman" w:cs="Times New Roman"/>
          <w:sz w:val="24"/>
          <w:szCs w:val="24"/>
        </w:rPr>
        <w:t>(3), pp.250-260.</w:t>
      </w:r>
    </w:p>
    <w:p w14:paraId="6875FF61"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De Weger, E., Van Vooren, N., Luijkx, K.G., Baan, C.A. and Drewes, H.W., 2018. Achieving successful community engagement: a rapid realist review. </w:t>
      </w:r>
      <w:r w:rsidRPr="00FD1F03">
        <w:rPr>
          <w:rFonts w:ascii="Times New Roman" w:hAnsi="Times New Roman" w:cs="Times New Roman"/>
          <w:i/>
          <w:iCs/>
          <w:sz w:val="24"/>
          <w:szCs w:val="24"/>
        </w:rPr>
        <w:t>BMC health services research</w:t>
      </w:r>
      <w:r w:rsidRPr="00FD1F03">
        <w:rPr>
          <w:rFonts w:ascii="Times New Roman" w:hAnsi="Times New Roman" w:cs="Times New Roman"/>
          <w:sz w:val="24"/>
          <w:szCs w:val="24"/>
        </w:rPr>
        <w:t>, </w:t>
      </w:r>
      <w:r w:rsidRPr="00FD1F03">
        <w:rPr>
          <w:rFonts w:ascii="Times New Roman" w:hAnsi="Times New Roman" w:cs="Times New Roman"/>
          <w:i/>
          <w:iCs/>
          <w:sz w:val="24"/>
          <w:szCs w:val="24"/>
        </w:rPr>
        <w:t>18</w:t>
      </w:r>
      <w:r w:rsidRPr="00FD1F03">
        <w:rPr>
          <w:rFonts w:ascii="Times New Roman" w:hAnsi="Times New Roman" w:cs="Times New Roman"/>
          <w:sz w:val="24"/>
          <w:szCs w:val="24"/>
        </w:rPr>
        <w:t>(1), pp.1-18.</w:t>
      </w:r>
    </w:p>
    <w:p w14:paraId="11D31691" w14:textId="77777777" w:rsidR="00FD1F03" w:rsidRPr="00FD1F03" w:rsidRDefault="002B20AA" w:rsidP="00A8287E">
      <w:pPr>
        <w:spacing w:line="480" w:lineRule="auto"/>
        <w:rPr>
          <w:rFonts w:ascii="Times New Roman" w:hAnsi="Times New Roman" w:cs="Times New Roman"/>
          <w:sz w:val="24"/>
          <w:szCs w:val="24"/>
        </w:rPr>
      </w:pPr>
      <w:bookmarkStart w:id="3" w:name="_Hlk103250459"/>
      <w:r w:rsidRPr="00FD1F03">
        <w:rPr>
          <w:rFonts w:ascii="Times New Roman" w:hAnsi="Times New Roman" w:cs="Times New Roman"/>
          <w:sz w:val="24"/>
          <w:szCs w:val="24"/>
        </w:rPr>
        <w:t>Geekiyanage</w:t>
      </w:r>
      <w:bookmarkEnd w:id="3"/>
      <w:r w:rsidRPr="00FD1F03">
        <w:rPr>
          <w:rFonts w:ascii="Times New Roman" w:hAnsi="Times New Roman" w:cs="Times New Roman"/>
          <w:sz w:val="24"/>
          <w:szCs w:val="24"/>
        </w:rPr>
        <w:t xml:space="preserve">, D., Fernando, T. and Keraminiyage, K., 2020. Assessing state of the art in community engagement for participatory decision-making in disaster risk-sensitive urban development. </w:t>
      </w:r>
      <w:r w:rsidRPr="00FD1F03">
        <w:rPr>
          <w:rFonts w:ascii="Times New Roman" w:hAnsi="Times New Roman" w:cs="Times New Roman"/>
          <w:i/>
          <w:iCs/>
          <w:sz w:val="24"/>
          <w:szCs w:val="24"/>
        </w:rPr>
        <w:t>International journal of disaster risk reduction</w:t>
      </w:r>
      <w:r w:rsidRPr="00FD1F03">
        <w:rPr>
          <w:rFonts w:ascii="Times New Roman" w:hAnsi="Times New Roman" w:cs="Times New Roman"/>
          <w:sz w:val="24"/>
          <w:szCs w:val="24"/>
        </w:rPr>
        <w:t>, </w:t>
      </w:r>
      <w:r w:rsidRPr="00FD1F03">
        <w:rPr>
          <w:rFonts w:ascii="Times New Roman" w:hAnsi="Times New Roman" w:cs="Times New Roman"/>
          <w:i/>
          <w:iCs/>
          <w:sz w:val="24"/>
          <w:szCs w:val="24"/>
        </w:rPr>
        <w:t>51</w:t>
      </w:r>
      <w:r w:rsidRPr="00FD1F03">
        <w:rPr>
          <w:rFonts w:ascii="Times New Roman" w:hAnsi="Times New Roman" w:cs="Times New Roman"/>
          <w:sz w:val="24"/>
          <w:szCs w:val="24"/>
        </w:rPr>
        <w:t>, p.101847.</w:t>
      </w:r>
    </w:p>
    <w:p w14:paraId="6A15627C"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Janzen, R., Ochocka, J. and Stobbe, A., 2016. Towards a theory of change for community-based research projects. </w:t>
      </w:r>
      <w:r w:rsidRPr="00FD1F03">
        <w:rPr>
          <w:rFonts w:ascii="Times New Roman" w:hAnsi="Times New Roman" w:cs="Times New Roman"/>
          <w:i/>
          <w:iCs/>
          <w:sz w:val="24"/>
          <w:szCs w:val="24"/>
        </w:rPr>
        <w:t>Engaged Scholar Journal: Community-Engaged Research, Teaching, and Learning</w:t>
      </w:r>
      <w:r w:rsidRPr="00FD1F03">
        <w:rPr>
          <w:rFonts w:ascii="Times New Roman" w:hAnsi="Times New Roman" w:cs="Times New Roman"/>
          <w:sz w:val="24"/>
          <w:szCs w:val="24"/>
        </w:rPr>
        <w:t>, </w:t>
      </w:r>
      <w:r w:rsidRPr="00FD1F03">
        <w:rPr>
          <w:rFonts w:ascii="Times New Roman" w:hAnsi="Times New Roman" w:cs="Times New Roman"/>
          <w:i/>
          <w:iCs/>
          <w:sz w:val="24"/>
          <w:szCs w:val="24"/>
        </w:rPr>
        <w:t>2</w:t>
      </w:r>
      <w:r w:rsidRPr="00FD1F03">
        <w:rPr>
          <w:rFonts w:ascii="Times New Roman" w:hAnsi="Times New Roman" w:cs="Times New Roman"/>
          <w:sz w:val="24"/>
          <w:szCs w:val="24"/>
        </w:rPr>
        <w:t>(2), 44-64.</w:t>
      </w:r>
    </w:p>
    <w:p w14:paraId="51701686"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 xml:space="preserve">Mitchell, J., Cooke, P., Baral, S., Bull, N., Stones, C., Tsekleves, E., Verdezoto, N., Arjyal, A., Giri, R., Shrestha, A. and King, R., 2019. The values and principles underpinning the community engagement approach to tackling antimicrobial resistance (AMR). </w:t>
      </w:r>
      <w:r w:rsidRPr="00FD1F03">
        <w:rPr>
          <w:rFonts w:ascii="Times New Roman" w:hAnsi="Times New Roman" w:cs="Times New Roman"/>
          <w:i/>
          <w:iCs/>
          <w:sz w:val="24"/>
          <w:szCs w:val="24"/>
        </w:rPr>
        <w:t>Global Health Action</w:t>
      </w:r>
      <w:r w:rsidRPr="00FD1F03">
        <w:rPr>
          <w:rFonts w:ascii="Times New Roman" w:hAnsi="Times New Roman" w:cs="Times New Roman"/>
          <w:sz w:val="24"/>
          <w:szCs w:val="24"/>
        </w:rPr>
        <w:t>, </w:t>
      </w:r>
      <w:r w:rsidRPr="00FD1F03">
        <w:rPr>
          <w:rFonts w:ascii="Times New Roman" w:hAnsi="Times New Roman" w:cs="Times New Roman"/>
          <w:i/>
          <w:iCs/>
          <w:sz w:val="24"/>
          <w:szCs w:val="24"/>
        </w:rPr>
        <w:t>12</w:t>
      </w:r>
      <w:r w:rsidRPr="00FD1F03">
        <w:rPr>
          <w:rFonts w:ascii="Times New Roman" w:hAnsi="Times New Roman" w:cs="Times New Roman"/>
          <w:sz w:val="24"/>
          <w:szCs w:val="24"/>
        </w:rPr>
        <w:t>(sup1), p.1837484.</w:t>
      </w:r>
    </w:p>
    <w:p w14:paraId="541CE699" w14:textId="77777777" w:rsidR="00FD1F03" w:rsidRPr="00FD1F03" w:rsidRDefault="002B20AA" w:rsidP="00A8287E">
      <w:pPr>
        <w:spacing w:line="480" w:lineRule="auto"/>
        <w:rPr>
          <w:rFonts w:ascii="Times New Roman" w:hAnsi="Times New Roman" w:cs="Times New Roman"/>
          <w:sz w:val="24"/>
          <w:szCs w:val="24"/>
        </w:rPr>
      </w:pPr>
      <w:r w:rsidRPr="00FD1F03">
        <w:rPr>
          <w:rFonts w:ascii="Times New Roman" w:hAnsi="Times New Roman" w:cs="Times New Roman"/>
          <w:sz w:val="24"/>
          <w:szCs w:val="24"/>
        </w:rPr>
        <w:t>Pontian, J., 2019. When government commitment meets community proactiveness: governing gas and community engagement in Tanzania. </w:t>
      </w:r>
      <w:r w:rsidRPr="00FD1F03">
        <w:rPr>
          <w:rFonts w:ascii="Times New Roman" w:hAnsi="Times New Roman" w:cs="Times New Roman"/>
          <w:i/>
          <w:iCs/>
          <w:sz w:val="24"/>
          <w:szCs w:val="24"/>
        </w:rPr>
        <w:t>Energy Research &amp; Social Science</w:t>
      </w:r>
      <w:r w:rsidRPr="00FD1F03">
        <w:rPr>
          <w:rFonts w:ascii="Times New Roman" w:hAnsi="Times New Roman" w:cs="Times New Roman"/>
          <w:sz w:val="24"/>
          <w:szCs w:val="24"/>
        </w:rPr>
        <w:t>, </w:t>
      </w:r>
      <w:r w:rsidRPr="00FD1F03">
        <w:rPr>
          <w:rFonts w:ascii="Times New Roman" w:hAnsi="Times New Roman" w:cs="Times New Roman"/>
          <w:i/>
          <w:iCs/>
          <w:sz w:val="24"/>
          <w:szCs w:val="24"/>
        </w:rPr>
        <w:t>52</w:t>
      </w:r>
      <w:r w:rsidRPr="00FD1F03">
        <w:rPr>
          <w:rFonts w:ascii="Times New Roman" w:hAnsi="Times New Roman" w:cs="Times New Roman"/>
          <w:sz w:val="24"/>
          <w:szCs w:val="24"/>
        </w:rPr>
        <w:t>, pp.78-90.</w:t>
      </w:r>
    </w:p>
    <w:sectPr w:rsidR="00FD1F03" w:rsidRPr="00FD1F0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58F2C" w14:textId="77777777" w:rsidR="00761CBD" w:rsidRDefault="00761CBD">
      <w:pPr>
        <w:spacing w:after="0" w:line="240" w:lineRule="auto"/>
      </w:pPr>
      <w:r>
        <w:separator/>
      </w:r>
    </w:p>
  </w:endnote>
  <w:endnote w:type="continuationSeparator" w:id="0">
    <w:p w14:paraId="4FE22296" w14:textId="77777777" w:rsidR="00761CBD" w:rsidRDefault="00761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54D3C" w14:textId="77777777" w:rsidR="00761CBD" w:rsidRDefault="00761CBD">
      <w:pPr>
        <w:spacing w:after="0" w:line="240" w:lineRule="auto"/>
      </w:pPr>
      <w:r>
        <w:separator/>
      </w:r>
    </w:p>
  </w:footnote>
  <w:footnote w:type="continuationSeparator" w:id="0">
    <w:p w14:paraId="4973F0F9" w14:textId="77777777" w:rsidR="00761CBD" w:rsidRDefault="00761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577314"/>
      <w:docPartObj>
        <w:docPartGallery w:val="Page Numbers (Top of Page)"/>
        <w:docPartUnique/>
      </w:docPartObj>
    </w:sdtPr>
    <w:sdtEndPr>
      <w:rPr>
        <w:rFonts w:ascii="Times New Roman" w:hAnsi="Times New Roman" w:cs="Times New Roman"/>
        <w:noProof/>
        <w:sz w:val="24"/>
        <w:szCs w:val="24"/>
      </w:rPr>
    </w:sdtEndPr>
    <w:sdtContent>
      <w:p w14:paraId="0FC2920D" w14:textId="0FFB21CE" w:rsidR="00582D72" w:rsidRPr="00582D72" w:rsidRDefault="002B20AA">
        <w:pPr>
          <w:pStyle w:val="Header"/>
          <w:jc w:val="right"/>
          <w:rPr>
            <w:rFonts w:ascii="Times New Roman" w:hAnsi="Times New Roman" w:cs="Times New Roman"/>
            <w:sz w:val="24"/>
            <w:szCs w:val="24"/>
          </w:rPr>
        </w:pPr>
        <w:r w:rsidRPr="00582D72">
          <w:rPr>
            <w:rFonts w:ascii="Times New Roman" w:hAnsi="Times New Roman" w:cs="Times New Roman"/>
            <w:sz w:val="24"/>
            <w:szCs w:val="24"/>
          </w:rPr>
          <w:fldChar w:fldCharType="begin"/>
        </w:r>
        <w:r w:rsidRPr="00582D72">
          <w:rPr>
            <w:rFonts w:ascii="Times New Roman" w:hAnsi="Times New Roman" w:cs="Times New Roman"/>
            <w:sz w:val="24"/>
            <w:szCs w:val="24"/>
          </w:rPr>
          <w:instrText xml:space="preserve"> PAGE   \* MERGEFORMAT </w:instrText>
        </w:r>
        <w:r w:rsidRPr="00582D72">
          <w:rPr>
            <w:rFonts w:ascii="Times New Roman" w:hAnsi="Times New Roman" w:cs="Times New Roman"/>
            <w:sz w:val="24"/>
            <w:szCs w:val="24"/>
          </w:rPr>
          <w:fldChar w:fldCharType="separate"/>
        </w:r>
        <w:r w:rsidRPr="00582D72">
          <w:rPr>
            <w:rFonts w:ascii="Times New Roman" w:hAnsi="Times New Roman" w:cs="Times New Roman"/>
            <w:noProof/>
            <w:sz w:val="24"/>
            <w:szCs w:val="24"/>
          </w:rPr>
          <w:t>2</w:t>
        </w:r>
        <w:r w:rsidRPr="00582D72">
          <w:rPr>
            <w:rFonts w:ascii="Times New Roman" w:hAnsi="Times New Roman" w:cs="Times New Roman"/>
            <w:noProof/>
            <w:sz w:val="24"/>
            <w:szCs w:val="24"/>
          </w:rPr>
          <w:fldChar w:fldCharType="end"/>
        </w:r>
      </w:p>
    </w:sdtContent>
  </w:sdt>
  <w:p w14:paraId="7FA2A09D" w14:textId="77777777" w:rsidR="00582D72" w:rsidRDefault="00582D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OzMDa1tLQ0tzQyMbdU0lEKTi0uzszPAykwqQUABL7QmSwAAAA="/>
  </w:docVars>
  <w:rsids>
    <w:rsidRoot w:val="00725ACA"/>
    <w:rsid w:val="00002E21"/>
    <w:rsid w:val="000170AE"/>
    <w:rsid w:val="00042C39"/>
    <w:rsid w:val="00053104"/>
    <w:rsid w:val="00094401"/>
    <w:rsid w:val="000A3046"/>
    <w:rsid w:val="000F42E3"/>
    <w:rsid w:val="00105F44"/>
    <w:rsid w:val="00164EC7"/>
    <w:rsid w:val="0018761A"/>
    <w:rsid w:val="001D4545"/>
    <w:rsid w:val="00251648"/>
    <w:rsid w:val="00251A17"/>
    <w:rsid w:val="0026128B"/>
    <w:rsid w:val="00276A26"/>
    <w:rsid w:val="00286A1E"/>
    <w:rsid w:val="002B20AA"/>
    <w:rsid w:val="002D506C"/>
    <w:rsid w:val="002F3D22"/>
    <w:rsid w:val="00330D1F"/>
    <w:rsid w:val="003E2D5D"/>
    <w:rsid w:val="003F54BB"/>
    <w:rsid w:val="004145F7"/>
    <w:rsid w:val="00427697"/>
    <w:rsid w:val="00474911"/>
    <w:rsid w:val="0052064D"/>
    <w:rsid w:val="00532B83"/>
    <w:rsid w:val="005628E7"/>
    <w:rsid w:val="00582D72"/>
    <w:rsid w:val="005D175C"/>
    <w:rsid w:val="005D64C6"/>
    <w:rsid w:val="005E4C69"/>
    <w:rsid w:val="005F70ED"/>
    <w:rsid w:val="00620151"/>
    <w:rsid w:val="00636D82"/>
    <w:rsid w:val="006B1047"/>
    <w:rsid w:val="00700AFD"/>
    <w:rsid w:val="00707984"/>
    <w:rsid w:val="007124BA"/>
    <w:rsid w:val="00725ACA"/>
    <w:rsid w:val="00743396"/>
    <w:rsid w:val="00761CBD"/>
    <w:rsid w:val="0076307C"/>
    <w:rsid w:val="00777DB5"/>
    <w:rsid w:val="00781164"/>
    <w:rsid w:val="007A0343"/>
    <w:rsid w:val="007A052D"/>
    <w:rsid w:val="007A52B7"/>
    <w:rsid w:val="007D1AAD"/>
    <w:rsid w:val="007D3EF0"/>
    <w:rsid w:val="0084304D"/>
    <w:rsid w:val="008820FA"/>
    <w:rsid w:val="00892F79"/>
    <w:rsid w:val="008D4FF1"/>
    <w:rsid w:val="008F4F17"/>
    <w:rsid w:val="00900D61"/>
    <w:rsid w:val="009145E0"/>
    <w:rsid w:val="00986063"/>
    <w:rsid w:val="009A1BE7"/>
    <w:rsid w:val="009B0661"/>
    <w:rsid w:val="009C437E"/>
    <w:rsid w:val="009C59DD"/>
    <w:rsid w:val="009D1DB3"/>
    <w:rsid w:val="009D71EE"/>
    <w:rsid w:val="00A05A08"/>
    <w:rsid w:val="00A1037F"/>
    <w:rsid w:val="00A119B0"/>
    <w:rsid w:val="00A30440"/>
    <w:rsid w:val="00A3329F"/>
    <w:rsid w:val="00A5060F"/>
    <w:rsid w:val="00A8287E"/>
    <w:rsid w:val="00A865AD"/>
    <w:rsid w:val="00A9452F"/>
    <w:rsid w:val="00AA2963"/>
    <w:rsid w:val="00AF4AD0"/>
    <w:rsid w:val="00B17A7B"/>
    <w:rsid w:val="00B90591"/>
    <w:rsid w:val="00BA00F7"/>
    <w:rsid w:val="00BA631F"/>
    <w:rsid w:val="00BE4C36"/>
    <w:rsid w:val="00C2079A"/>
    <w:rsid w:val="00C515F4"/>
    <w:rsid w:val="00C74EB5"/>
    <w:rsid w:val="00C86A64"/>
    <w:rsid w:val="00CA34C4"/>
    <w:rsid w:val="00D23991"/>
    <w:rsid w:val="00D71235"/>
    <w:rsid w:val="00D84C26"/>
    <w:rsid w:val="00DD5403"/>
    <w:rsid w:val="00DD6A49"/>
    <w:rsid w:val="00DE37E2"/>
    <w:rsid w:val="00E55617"/>
    <w:rsid w:val="00E6213A"/>
    <w:rsid w:val="00E80556"/>
    <w:rsid w:val="00EA7FC5"/>
    <w:rsid w:val="00EB0009"/>
    <w:rsid w:val="00F473DF"/>
    <w:rsid w:val="00FA436A"/>
    <w:rsid w:val="00FB4370"/>
    <w:rsid w:val="00FB4AC4"/>
    <w:rsid w:val="00FC60D1"/>
    <w:rsid w:val="00FC7811"/>
    <w:rsid w:val="00FD1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ABBAA"/>
  <w15:docId w15:val="{056D3834-EAF1-458E-B9F8-CDC67B38B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D72"/>
  </w:style>
  <w:style w:type="paragraph" w:styleId="Footer">
    <w:name w:val="footer"/>
    <w:basedOn w:val="Normal"/>
    <w:link w:val="FooterChar"/>
    <w:uiPriority w:val="99"/>
    <w:unhideWhenUsed/>
    <w:rsid w:val="00582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Linnet muturi</dc:creator>
  <cp:lastModifiedBy>Veselina Dimitrova Uchkunova (2028272)</cp:lastModifiedBy>
  <cp:revision>10</cp:revision>
  <dcterms:created xsi:type="dcterms:W3CDTF">2022-05-12T10:23:00Z</dcterms:created>
  <dcterms:modified xsi:type="dcterms:W3CDTF">2022-05-12T18:12:00Z</dcterms:modified>
</cp:coreProperties>
</file>