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BEE3B" w14:textId="77777777" w:rsidR="00A34B7A" w:rsidRPr="00EE5BC3" w:rsidRDefault="00A34B7A" w:rsidP="00A34B7A">
      <w:pPr>
        <w:jc w:val="center"/>
        <w:rPr>
          <w:b/>
          <w:sz w:val="28"/>
          <w:szCs w:val="28"/>
        </w:rPr>
      </w:pPr>
      <w:r w:rsidRPr="00EE5BC3">
        <w:rPr>
          <w:b/>
          <w:sz w:val="28"/>
          <w:szCs w:val="28"/>
        </w:rPr>
        <w:t>Task 4</w:t>
      </w:r>
    </w:p>
    <w:p w14:paraId="6ADF3FD9" w14:textId="77777777" w:rsidR="00A34B7A" w:rsidRPr="00EE5BC3" w:rsidRDefault="00A34B7A" w:rsidP="00A34B7A">
      <w:pPr>
        <w:jc w:val="center"/>
        <w:rPr>
          <w:b/>
          <w:sz w:val="28"/>
          <w:szCs w:val="28"/>
        </w:rPr>
      </w:pPr>
    </w:p>
    <w:p w14:paraId="11A14FC3" w14:textId="77777777" w:rsidR="00A34B7A" w:rsidRPr="00EE5BC3" w:rsidRDefault="00A34B7A" w:rsidP="00A34B7A">
      <w:pPr>
        <w:jc w:val="center"/>
        <w:rPr>
          <w:b/>
          <w:sz w:val="28"/>
          <w:szCs w:val="28"/>
        </w:rPr>
      </w:pPr>
      <w:r w:rsidRPr="00EE5BC3">
        <w:rPr>
          <w:b/>
          <w:sz w:val="28"/>
          <w:szCs w:val="28"/>
        </w:rPr>
        <w:t>Safeguarding</w:t>
      </w:r>
      <w:r>
        <w:rPr>
          <w:b/>
          <w:sz w:val="28"/>
          <w:szCs w:val="28"/>
        </w:rPr>
        <w:t xml:space="preserve"> in an area which is not your main area of </w:t>
      </w:r>
      <w:proofErr w:type="gramStart"/>
      <w:r>
        <w:rPr>
          <w:b/>
          <w:sz w:val="28"/>
          <w:szCs w:val="28"/>
        </w:rPr>
        <w:t>work</w:t>
      </w:r>
      <w:proofErr w:type="gramEnd"/>
    </w:p>
    <w:p w14:paraId="747D9CEA" w14:textId="77777777" w:rsidR="00A34B7A" w:rsidRPr="008B28E7" w:rsidRDefault="00A34B7A" w:rsidP="00A34B7A">
      <w:pPr>
        <w:jc w:val="both"/>
        <w:rPr>
          <w:b/>
          <w:sz w:val="24"/>
          <w:szCs w:val="24"/>
        </w:rPr>
      </w:pPr>
    </w:p>
    <w:p w14:paraId="11F9BC3D" w14:textId="77777777" w:rsidR="00A34B7A" w:rsidRPr="00EE5BC3" w:rsidRDefault="00A34B7A" w:rsidP="00A34B7A">
      <w:pPr>
        <w:ind w:left="-90"/>
        <w:jc w:val="both"/>
        <w:rPr>
          <w:b/>
          <w:i/>
          <w:sz w:val="24"/>
          <w:szCs w:val="24"/>
        </w:rPr>
      </w:pPr>
      <w:r w:rsidRPr="00EE5BC3">
        <w:rPr>
          <w:b/>
          <w:i/>
          <w:sz w:val="24"/>
          <w:szCs w:val="24"/>
        </w:rPr>
        <w:t xml:space="preserve">Guidance: </w:t>
      </w:r>
    </w:p>
    <w:p w14:paraId="34B7341F" w14:textId="77777777" w:rsidR="00A34B7A" w:rsidRPr="00706BB5" w:rsidRDefault="00A34B7A" w:rsidP="00A34B7A">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children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7357596F" w14:textId="77777777" w:rsidR="00A34B7A" w:rsidRPr="008B28E7" w:rsidRDefault="00A34B7A" w:rsidP="00A34B7A">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A34B7A" w:rsidRPr="008B28E7" w14:paraId="5C8C0A6C" w14:textId="77777777" w:rsidTr="000B29F2">
        <w:tc>
          <w:tcPr>
            <w:tcW w:w="10188" w:type="dxa"/>
            <w:shd w:val="clear" w:color="auto" w:fill="auto"/>
          </w:tcPr>
          <w:p w14:paraId="790EDECC" w14:textId="77777777" w:rsidR="00A34B7A" w:rsidRPr="00EB695F" w:rsidRDefault="00A34B7A" w:rsidP="000B29F2">
            <w:pPr>
              <w:jc w:val="both"/>
              <w:rPr>
                <w:b/>
                <w:sz w:val="24"/>
                <w:szCs w:val="24"/>
              </w:rPr>
            </w:pPr>
            <w:r w:rsidRPr="00EB695F">
              <w:rPr>
                <w:b/>
                <w:sz w:val="24"/>
                <w:szCs w:val="24"/>
              </w:rPr>
              <w:t>Question</w:t>
            </w:r>
            <w:r>
              <w:rPr>
                <w:b/>
                <w:sz w:val="24"/>
                <w:szCs w:val="24"/>
              </w:rPr>
              <w:t xml:space="preserve"> a:</w:t>
            </w:r>
          </w:p>
          <w:p w14:paraId="4A863278" w14:textId="77777777" w:rsidR="00A34B7A" w:rsidRDefault="00A34B7A" w:rsidP="000B29F2">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194AF0E6" w14:textId="77777777" w:rsidR="00A34B7A" w:rsidRDefault="00A34B7A" w:rsidP="000B29F2">
            <w:pPr>
              <w:jc w:val="both"/>
              <w:rPr>
                <w:sz w:val="24"/>
                <w:szCs w:val="24"/>
              </w:rPr>
            </w:pPr>
          </w:p>
          <w:p w14:paraId="6B087015" w14:textId="77777777" w:rsidR="00A34B7A" w:rsidRDefault="00A34B7A" w:rsidP="000B29F2">
            <w:pPr>
              <w:jc w:val="both"/>
              <w:rPr>
                <w:sz w:val="24"/>
                <w:szCs w:val="24"/>
              </w:rPr>
            </w:pPr>
            <w:r>
              <w:rPr>
                <w:sz w:val="24"/>
                <w:szCs w:val="24"/>
              </w:rPr>
              <w:t xml:space="preserve">I currently work within children’s services, and this task will focus on </w:t>
            </w:r>
            <w:proofErr w:type="gramStart"/>
            <w:r>
              <w:rPr>
                <w:sz w:val="24"/>
                <w:szCs w:val="24"/>
              </w:rPr>
              <w:t>Adults</w:t>
            </w:r>
            <w:proofErr w:type="gramEnd"/>
            <w:r>
              <w:rPr>
                <w:sz w:val="24"/>
                <w:szCs w:val="24"/>
              </w:rPr>
              <w:t xml:space="preserve">. </w:t>
            </w:r>
          </w:p>
          <w:p w14:paraId="3DC0CF3D" w14:textId="77777777" w:rsidR="00A34B7A" w:rsidRDefault="00A34B7A" w:rsidP="000B29F2">
            <w:pPr>
              <w:jc w:val="both"/>
              <w:rPr>
                <w:sz w:val="24"/>
                <w:szCs w:val="24"/>
              </w:rPr>
            </w:pPr>
          </w:p>
          <w:p w14:paraId="28DB2982" w14:textId="77777777" w:rsidR="00A34B7A" w:rsidRDefault="00A34B7A" w:rsidP="000B29F2">
            <w:pPr>
              <w:jc w:val="both"/>
              <w:rPr>
                <w:sz w:val="24"/>
                <w:szCs w:val="24"/>
              </w:rPr>
            </w:pPr>
            <w:r>
              <w:rPr>
                <w:sz w:val="24"/>
                <w:szCs w:val="24"/>
              </w:rPr>
              <w:t xml:space="preserve">The Social Services Wellbeing Wales Act (SSWWA) 2014, places a duty on the local authority to assess an adult in Wales if they </w:t>
            </w:r>
            <w:proofErr w:type="gramStart"/>
            <w:r>
              <w:rPr>
                <w:sz w:val="24"/>
                <w:szCs w:val="24"/>
              </w:rPr>
              <w:t>are in need of</w:t>
            </w:r>
            <w:proofErr w:type="gramEnd"/>
            <w:r>
              <w:rPr>
                <w:sz w:val="24"/>
                <w:szCs w:val="24"/>
              </w:rPr>
              <w:t xml:space="preserve"> care and support under </w:t>
            </w:r>
            <w:proofErr w:type="spellStart"/>
            <w:r>
              <w:rPr>
                <w:sz w:val="24"/>
                <w:szCs w:val="24"/>
              </w:rPr>
              <w:t>part</w:t>
            </w:r>
            <w:proofErr w:type="spellEnd"/>
            <w:r>
              <w:rPr>
                <w:sz w:val="24"/>
                <w:szCs w:val="24"/>
              </w:rPr>
              <w:t xml:space="preserve"> 3, section 19. This section states that the local authority has a duty to assess anyone over the age of 18 and determine if they </w:t>
            </w:r>
            <w:proofErr w:type="gramStart"/>
            <w:r>
              <w:rPr>
                <w:sz w:val="24"/>
                <w:szCs w:val="24"/>
              </w:rPr>
              <w:t>are in need of</w:t>
            </w:r>
            <w:proofErr w:type="gramEnd"/>
            <w:r>
              <w:rPr>
                <w:sz w:val="24"/>
                <w:szCs w:val="24"/>
              </w:rPr>
              <w:t xml:space="preserve"> care and support, preventative services or information and advice (S</w:t>
            </w:r>
            <w:r w:rsidRPr="00D10AD9">
              <w:rPr>
                <w:sz w:val="24"/>
                <w:szCs w:val="24"/>
              </w:rPr>
              <w:t>ection19, 4a).</w:t>
            </w:r>
            <w:r>
              <w:rPr>
                <w:sz w:val="24"/>
                <w:szCs w:val="24"/>
              </w:rPr>
              <w:t xml:space="preserve"> The authority then works from part 4 of the Act to meet the needs of the adult. The SSWWA (2014) places onus on all Welsh local authorities and health boards to integrate health and social care to improve service users’ wellbeing and to give them stronger voice and control over their own lives (Social Care Wales, (SCW) 2023).  </w:t>
            </w:r>
          </w:p>
          <w:p w14:paraId="7AD42B9A" w14:textId="77777777" w:rsidR="00A34B7A" w:rsidRDefault="00A34B7A" w:rsidP="000B29F2">
            <w:pPr>
              <w:jc w:val="both"/>
              <w:rPr>
                <w:sz w:val="24"/>
                <w:szCs w:val="24"/>
              </w:rPr>
            </w:pPr>
          </w:p>
          <w:p w14:paraId="3899A8CF" w14:textId="77777777" w:rsidR="00A34B7A" w:rsidRDefault="00A34B7A" w:rsidP="000B29F2">
            <w:pPr>
              <w:jc w:val="both"/>
              <w:rPr>
                <w:sz w:val="24"/>
                <w:szCs w:val="24"/>
              </w:rPr>
            </w:pPr>
            <w:r>
              <w:rPr>
                <w:sz w:val="24"/>
                <w:szCs w:val="24"/>
              </w:rPr>
              <w:t xml:space="preserve">SSWWA (2014) part 1 states an Adult is classed as anyone age 18+. The Code of Professional Practice, Part 3 (SCW, 2017) states an adult is classed at risk if they are experiencing abuse or neglect, likely to experience abuse or neglect, have care and support needs and unable to protect themselves against abuse or neglect due to those needs. Wales Safeguarding procedures (2019) states abuse can be physical, sexual, psychological, </w:t>
            </w:r>
            <w:proofErr w:type="gramStart"/>
            <w:r>
              <w:rPr>
                <w:sz w:val="24"/>
                <w:szCs w:val="24"/>
              </w:rPr>
              <w:t>emotional</w:t>
            </w:r>
            <w:proofErr w:type="gramEnd"/>
            <w:r>
              <w:rPr>
                <w:sz w:val="24"/>
                <w:szCs w:val="24"/>
              </w:rPr>
              <w:t xml:space="preserve"> or financial, and neglect is when there is a failure to meet a person’s basic physical, emotional, social or psychological needs. </w:t>
            </w:r>
          </w:p>
          <w:p w14:paraId="79EDDC65" w14:textId="77777777" w:rsidR="00A34B7A" w:rsidRDefault="00A34B7A" w:rsidP="000B29F2">
            <w:pPr>
              <w:jc w:val="both"/>
              <w:rPr>
                <w:sz w:val="24"/>
                <w:szCs w:val="24"/>
              </w:rPr>
            </w:pPr>
            <w:r>
              <w:rPr>
                <w:sz w:val="24"/>
                <w:szCs w:val="24"/>
              </w:rPr>
              <w:t xml:space="preserve"> </w:t>
            </w:r>
          </w:p>
          <w:p w14:paraId="352D0EAB" w14:textId="77777777" w:rsidR="00A34B7A" w:rsidRDefault="00A34B7A" w:rsidP="000B29F2">
            <w:pPr>
              <w:jc w:val="both"/>
              <w:rPr>
                <w:sz w:val="24"/>
                <w:szCs w:val="24"/>
              </w:rPr>
            </w:pPr>
            <w:r>
              <w:rPr>
                <w:sz w:val="24"/>
                <w:szCs w:val="24"/>
              </w:rPr>
              <w:t xml:space="preserve">Part 7 of SSWWA (2014), requires the local authority to undertake s.126 enquiries if there are concerns that an adult it as risk of abuse or neglect, what is the presenting risk and if action needs to be taken. SSWWA (2014) also states that there needs to be a Safeguarding board to ensure multiagency working to address abuse, develop policies and procedures to safeguard adults and undertake </w:t>
            </w:r>
            <w:r w:rsidRPr="006F3DD7">
              <w:rPr>
                <w:sz w:val="24"/>
                <w:szCs w:val="24"/>
              </w:rPr>
              <w:t xml:space="preserve">audits, case reviews, thematic </w:t>
            </w:r>
            <w:proofErr w:type="gramStart"/>
            <w:r w:rsidRPr="006F3DD7">
              <w:rPr>
                <w:sz w:val="24"/>
                <w:szCs w:val="24"/>
              </w:rPr>
              <w:t>reviews</w:t>
            </w:r>
            <w:proofErr w:type="gramEnd"/>
            <w:r w:rsidRPr="006F3DD7">
              <w:rPr>
                <w:sz w:val="24"/>
                <w:szCs w:val="24"/>
              </w:rPr>
              <w:t xml:space="preserve"> and investigations, and ensure that th</w:t>
            </w:r>
            <w:r>
              <w:rPr>
                <w:sz w:val="24"/>
                <w:szCs w:val="24"/>
              </w:rPr>
              <w:t>e local authority is</w:t>
            </w:r>
            <w:r w:rsidRPr="006F3DD7">
              <w:rPr>
                <w:sz w:val="24"/>
                <w:szCs w:val="24"/>
              </w:rPr>
              <w:t xml:space="preserve"> effectively managed, supported and resourced</w:t>
            </w:r>
            <w:r>
              <w:rPr>
                <w:sz w:val="24"/>
                <w:szCs w:val="24"/>
              </w:rPr>
              <w:t xml:space="preserve"> to protect adults experiencing or at risk of harm (</w:t>
            </w:r>
            <w:proofErr w:type="spellStart"/>
            <w:r>
              <w:rPr>
                <w:sz w:val="24"/>
                <w:szCs w:val="24"/>
              </w:rPr>
              <w:t>Cyser</w:t>
            </w:r>
            <w:proofErr w:type="spellEnd"/>
            <w:r>
              <w:rPr>
                <w:sz w:val="24"/>
                <w:szCs w:val="24"/>
              </w:rPr>
              <w:t xml:space="preserve">, 2019). The multiagency working also ensures that every agency is accountable and responsible for safeguarding adults and ensures we work holistically together (McGuire, Evans &amp; Kane, 2021).  </w:t>
            </w:r>
          </w:p>
          <w:p w14:paraId="1C989941" w14:textId="77777777" w:rsidR="00A34B7A" w:rsidRDefault="00A34B7A" w:rsidP="000B29F2">
            <w:pPr>
              <w:jc w:val="both"/>
              <w:rPr>
                <w:sz w:val="24"/>
                <w:szCs w:val="24"/>
              </w:rPr>
            </w:pPr>
          </w:p>
          <w:p w14:paraId="253C1201" w14:textId="77777777" w:rsidR="00A34B7A" w:rsidRPr="00B45179" w:rsidRDefault="00A34B7A" w:rsidP="000B29F2">
            <w:pPr>
              <w:jc w:val="both"/>
              <w:rPr>
                <w:sz w:val="24"/>
                <w:szCs w:val="24"/>
              </w:rPr>
            </w:pPr>
            <w:r>
              <w:rPr>
                <w:sz w:val="24"/>
                <w:szCs w:val="24"/>
              </w:rPr>
              <w:t xml:space="preserve">The Mental Capacity Act 2005, states that every person over the age of 16 has the right to make their own decisions, even if others deem them as unwise. Of course, if </w:t>
            </w:r>
            <w:r>
              <w:rPr>
                <w:sz w:val="24"/>
                <w:szCs w:val="24"/>
              </w:rPr>
              <w:lastRenderedPageBreak/>
              <w:t xml:space="preserve">this person is deemed to not have </w:t>
            </w:r>
            <w:r w:rsidRPr="002A04B2">
              <w:rPr>
                <w:color w:val="auto"/>
                <w:sz w:val="24"/>
                <w:szCs w:val="24"/>
              </w:rPr>
              <w:t xml:space="preserve">capacity, then the local authority can intervene if there is an immediate risk to that individual. </w:t>
            </w:r>
            <w:r>
              <w:rPr>
                <w:sz w:val="24"/>
                <w:szCs w:val="24"/>
              </w:rPr>
              <w:t xml:space="preserve">It is important to balance the Human Rights Act (1998) alongside our practice with families because people have the right to a private and family life under Article 8. For example, a person who is experiencing domestic abuse, needs to have all the information presented to them to make an informed decision on what needs to happen next (VAWDASV, 2015). However, their right to safety </w:t>
            </w:r>
            <w:proofErr w:type="gramStart"/>
            <w:r>
              <w:rPr>
                <w:sz w:val="24"/>
                <w:szCs w:val="24"/>
              </w:rPr>
              <w:t>has to</w:t>
            </w:r>
            <w:proofErr w:type="gramEnd"/>
            <w:r>
              <w:rPr>
                <w:sz w:val="24"/>
                <w:szCs w:val="24"/>
              </w:rPr>
              <w:t xml:space="preserve"> be balanced against their wishes and feelings, and their rights of liberty and autonomy (SSWWA, 2014). While others may deem this as unwise, the care and support plan need to offer support in less intrusive ways. </w:t>
            </w:r>
            <w:r w:rsidRPr="00E940B3">
              <w:rPr>
                <w:sz w:val="24"/>
                <w:szCs w:val="24"/>
              </w:rPr>
              <w:t xml:space="preserve">The Wales Safeguarding Procedures </w:t>
            </w:r>
            <w:r>
              <w:rPr>
                <w:sz w:val="24"/>
                <w:szCs w:val="24"/>
              </w:rPr>
              <w:t>(</w:t>
            </w:r>
            <w:r w:rsidRPr="00E940B3">
              <w:rPr>
                <w:sz w:val="24"/>
                <w:szCs w:val="24"/>
              </w:rPr>
              <w:t>2019</w:t>
            </w:r>
            <w:r>
              <w:rPr>
                <w:sz w:val="24"/>
                <w:szCs w:val="24"/>
              </w:rPr>
              <w:t>)</w:t>
            </w:r>
            <w:r w:rsidRPr="00E940B3">
              <w:rPr>
                <w:sz w:val="24"/>
                <w:szCs w:val="24"/>
              </w:rPr>
              <w:t xml:space="preserve"> also advise of instances where </w:t>
            </w:r>
            <w:r>
              <w:rPr>
                <w:sz w:val="24"/>
                <w:szCs w:val="24"/>
              </w:rPr>
              <w:t>services</w:t>
            </w:r>
            <w:r w:rsidRPr="00E940B3">
              <w:rPr>
                <w:sz w:val="24"/>
                <w:szCs w:val="24"/>
              </w:rPr>
              <w:t xml:space="preserve"> can override consent even if the adult has mental capacity</w:t>
            </w:r>
            <w:r>
              <w:rPr>
                <w:sz w:val="24"/>
                <w:szCs w:val="24"/>
              </w:rPr>
              <w:t>,</w:t>
            </w:r>
            <w:r w:rsidRPr="00E940B3">
              <w:rPr>
                <w:sz w:val="24"/>
                <w:szCs w:val="24"/>
              </w:rPr>
              <w:t xml:space="preserve"> for example if there is a risk to their own life or a risk to others</w:t>
            </w:r>
            <w:r>
              <w:rPr>
                <w:sz w:val="24"/>
                <w:szCs w:val="24"/>
              </w:rPr>
              <w:t>.</w:t>
            </w:r>
          </w:p>
          <w:p w14:paraId="0C8B7D78" w14:textId="77777777" w:rsidR="00A34B7A" w:rsidRDefault="00A34B7A" w:rsidP="000B29F2">
            <w:pPr>
              <w:jc w:val="both"/>
              <w:rPr>
                <w:sz w:val="24"/>
                <w:szCs w:val="24"/>
              </w:rPr>
            </w:pPr>
          </w:p>
          <w:p w14:paraId="5E59148C" w14:textId="77777777" w:rsidR="00A34B7A" w:rsidRPr="006108C9" w:rsidRDefault="00A34B7A" w:rsidP="000B29F2">
            <w:pPr>
              <w:jc w:val="both"/>
              <w:rPr>
                <w:sz w:val="24"/>
                <w:szCs w:val="24"/>
              </w:rPr>
            </w:pPr>
            <w:r>
              <w:rPr>
                <w:sz w:val="24"/>
                <w:szCs w:val="24"/>
              </w:rPr>
              <w:t xml:space="preserve">554. </w:t>
            </w:r>
          </w:p>
          <w:p w14:paraId="1A76224B" w14:textId="77777777" w:rsidR="00A34B7A" w:rsidRDefault="00A34B7A" w:rsidP="000B29F2">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410E4C25" w14:textId="77777777" w:rsidR="00A34B7A" w:rsidRPr="008B28E7" w:rsidRDefault="00A34B7A" w:rsidP="000B29F2">
            <w:pPr>
              <w:jc w:val="both"/>
              <w:rPr>
                <w:b/>
                <w:sz w:val="24"/>
                <w:szCs w:val="24"/>
              </w:rPr>
            </w:pPr>
          </w:p>
        </w:tc>
      </w:tr>
      <w:tr w:rsidR="00A34B7A" w:rsidRPr="008B28E7" w14:paraId="46FA2D11" w14:textId="77777777" w:rsidTr="000B29F2">
        <w:tc>
          <w:tcPr>
            <w:tcW w:w="10188" w:type="dxa"/>
            <w:shd w:val="clear" w:color="auto" w:fill="auto"/>
          </w:tcPr>
          <w:p w14:paraId="0378A90E" w14:textId="77777777" w:rsidR="00A34B7A" w:rsidRPr="00EB695F" w:rsidRDefault="00A34B7A" w:rsidP="000B29F2">
            <w:pPr>
              <w:jc w:val="both"/>
              <w:rPr>
                <w:b/>
                <w:sz w:val="24"/>
                <w:szCs w:val="24"/>
              </w:rPr>
            </w:pPr>
          </w:p>
        </w:tc>
      </w:tr>
    </w:tbl>
    <w:p w14:paraId="069FBABF" w14:textId="77777777" w:rsidR="00A34B7A" w:rsidRPr="008B28E7" w:rsidRDefault="00A34B7A" w:rsidP="00A34B7A">
      <w:pPr>
        <w:jc w:val="both"/>
        <w:rPr>
          <w:sz w:val="24"/>
          <w:szCs w:val="24"/>
        </w:rPr>
      </w:pPr>
    </w:p>
    <w:p w14:paraId="38CBF57F" w14:textId="77777777" w:rsidR="00A34B7A" w:rsidRPr="008B28E7" w:rsidRDefault="00A34B7A" w:rsidP="00A34B7A">
      <w:pPr>
        <w:jc w:val="both"/>
        <w:rPr>
          <w:sz w:val="24"/>
          <w:szCs w:val="24"/>
        </w:rPr>
      </w:pPr>
    </w:p>
    <w:p w14:paraId="0395E740" w14:textId="77777777" w:rsidR="00A34B7A" w:rsidRDefault="00A34B7A" w:rsidP="00A34B7A">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A34B7A" w:rsidRPr="008B28E7" w14:paraId="115FE0C1" w14:textId="77777777" w:rsidTr="000B29F2">
        <w:trPr>
          <w:trHeight w:val="5377"/>
        </w:trPr>
        <w:tc>
          <w:tcPr>
            <w:tcW w:w="10278" w:type="dxa"/>
            <w:shd w:val="clear" w:color="auto" w:fill="auto"/>
          </w:tcPr>
          <w:p w14:paraId="28D53B1F" w14:textId="77777777" w:rsidR="00A34B7A" w:rsidRPr="00EB695F" w:rsidRDefault="00A34B7A" w:rsidP="000B29F2">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1749E8EF" w14:textId="77777777" w:rsidR="00A34B7A" w:rsidRDefault="00A34B7A" w:rsidP="000B29F2">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t>
            </w:r>
            <w:proofErr w:type="gramStart"/>
            <w:r w:rsidRPr="006108C9">
              <w:rPr>
                <w:sz w:val="24"/>
                <w:szCs w:val="24"/>
              </w:rPr>
              <w:t>work</w:t>
            </w:r>
            <w:r>
              <w:rPr>
                <w:sz w:val="24"/>
                <w:szCs w:val="24"/>
              </w:rPr>
              <w:t>;</w:t>
            </w:r>
            <w:proofErr w:type="gramEnd"/>
          </w:p>
          <w:p w14:paraId="0979D60B" w14:textId="77777777" w:rsidR="00A34B7A" w:rsidRDefault="00A34B7A" w:rsidP="000B29F2">
            <w:pPr>
              <w:jc w:val="both"/>
              <w:rPr>
                <w:sz w:val="24"/>
                <w:szCs w:val="24"/>
              </w:rPr>
            </w:pPr>
          </w:p>
          <w:p w14:paraId="221526D6" w14:textId="77777777" w:rsidR="00A34B7A" w:rsidRDefault="00A34B7A" w:rsidP="000B29F2">
            <w:pPr>
              <w:jc w:val="both"/>
              <w:rPr>
                <w:sz w:val="24"/>
                <w:szCs w:val="24"/>
              </w:rPr>
            </w:pPr>
            <w:r>
              <w:rPr>
                <w:sz w:val="24"/>
                <w:szCs w:val="24"/>
              </w:rPr>
              <w:t xml:space="preserve">One of the main differences in safeguarding between adults and children </w:t>
            </w:r>
            <w:proofErr w:type="gramStart"/>
            <w:r>
              <w:rPr>
                <w:sz w:val="24"/>
                <w:szCs w:val="24"/>
              </w:rPr>
              <w:t>is  mental</w:t>
            </w:r>
            <w:proofErr w:type="gramEnd"/>
            <w:r>
              <w:rPr>
                <w:sz w:val="24"/>
                <w:szCs w:val="24"/>
              </w:rPr>
              <w:t xml:space="preserve"> capacity. The Mental Capacity Act, (2005) is a legal framework that states that every person aged 16 and over has the right to make their own decisions. The law also states that if a person does not have the capacity to make their own decisions, then decisions made for them must be the least restrictive on their basic rights and freedoms, and in their best interests. The law also protects adults that have capacity that they can make their own decisions even if others think it is unwise or wrong (VAWDASV, 2015)</w:t>
            </w:r>
            <w:r w:rsidRPr="008D36D8">
              <w:rPr>
                <w:sz w:val="24"/>
                <w:szCs w:val="24"/>
              </w:rPr>
              <w:t>.</w:t>
            </w:r>
            <w:r>
              <w:rPr>
                <w:sz w:val="24"/>
                <w:szCs w:val="24"/>
              </w:rPr>
              <w:t xml:space="preserve"> For example, an adult may be experiencing domestic abuse, and have made an informed decision to remain this this relationship. Their rights state they have the right to a private and family life (Human Rights Act, 1989) and they have the right to refuse support services and intervention. </w:t>
            </w:r>
          </w:p>
          <w:p w14:paraId="207F941F" w14:textId="77777777" w:rsidR="00A34B7A" w:rsidRDefault="00A34B7A" w:rsidP="000B29F2">
            <w:pPr>
              <w:jc w:val="both"/>
              <w:rPr>
                <w:sz w:val="24"/>
                <w:szCs w:val="24"/>
              </w:rPr>
            </w:pPr>
          </w:p>
          <w:p w14:paraId="59621B76" w14:textId="77777777" w:rsidR="00A34B7A" w:rsidRDefault="00A34B7A" w:rsidP="000B29F2">
            <w:pPr>
              <w:jc w:val="both"/>
              <w:rPr>
                <w:sz w:val="24"/>
                <w:szCs w:val="24"/>
              </w:rPr>
            </w:pPr>
            <w:r>
              <w:rPr>
                <w:sz w:val="24"/>
                <w:szCs w:val="24"/>
              </w:rPr>
              <w:t xml:space="preserve">However, when children witness domestic abuse, it is classed as child abuse (CAFCASS, 2019) and if it is deemed as a safeguarding risk and the children are at risk of significant harm or suffered significant harm, the Children Act (CA) 1989, section 47, give the legal justification for the local authority to assess the needs and safety of the children. This legislation takes precedent over the adult’s rights to private and family life. Parental consent into these enquiries is not required but good practice states that parents should be asked permission, unless permission seeking will place the child at even more risk of significant harm, or if they may be coached and intimated not to share information, or it could compromise a criminal investigation (SSWWA, 2014). The police can also exercise ‘Police Protection Powers’ under section 46 of the CA (1989). These powers are used if the police believe a child is at risk of significant harm and it allows them to remove a child to a safe place such as with a family member or local authority foster care for up to 72 hours (CA, 1989). </w:t>
            </w:r>
          </w:p>
          <w:p w14:paraId="23C47288" w14:textId="77777777" w:rsidR="00A34B7A" w:rsidRDefault="00A34B7A" w:rsidP="000B29F2">
            <w:pPr>
              <w:jc w:val="both"/>
              <w:rPr>
                <w:sz w:val="24"/>
                <w:szCs w:val="24"/>
              </w:rPr>
            </w:pPr>
          </w:p>
          <w:p w14:paraId="426A9E21" w14:textId="77777777" w:rsidR="00A34B7A" w:rsidRDefault="00A34B7A" w:rsidP="000B29F2">
            <w:pPr>
              <w:jc w:val="both"/>
              <w:rPr>
                <w:sz w:val="24"/>
                <w:szCs w:val="24"/>
              </w:rPr>
            </w:pPr>
            <w:r>
              <w:rPr>
                <w:sz w:val="24"/>
                <w:szCs w:val="24"/>
              </w:rPr>
              <w:lastRenderedPageBreak/>
              <w:t xml:space="preserve">Gillick competency and Frazer guidelines are also important for children’s safeguarding. Frazer Guidelines are still applied for contraception and sexual health, but Gillick competency is often used to assess if a child has the maturity to make their own decisions and impact of these (NSPCC, 2023). For example, if a 16- or 17-year-old were in an abusive situation, although the MCA (2005) states you are an adult if you are 16 and have the right to make unwise decisions, the CA </w:t>
            </w:r>
            <w:proofErr w:type="gramStart"/>
            <w:r>
              <w:rPr>
                <w:sz w:val="24"/>
                <w:szCs w:val="24"/>
              </w:rPr>
              <w:t>1989</w:t>
            </w:r>
            <w:proofErr w:type="gramEnd"/>
            <w:r>
              <w:rPr>
                <w:sz w:val="24"/>
                <w:szCs w:val="24"/>
              </w:rPr>
              <w:t xml:space="preserve"> and Social Services Wellbeing Wales Act (2014) class an adult as 18 + and therefore children’s safeguarding legislation would still apply. </w:t>
            </w:r>
          </w:p>
          <w:p w14:paraId="0F411FD9" w14:textId="77777777" w:rsidR="00A34B7A" w:rsidRPr="00D262A4" w:rsidRDefault="00A34B7A" w:rsidP="000B29F2">
            <w:pPr>
              <w:jc w:val="both"/>
              <w:rPr>
                <w:color w:val="0000FF"/>
                <w:u w:val="single"/>
              </w:rPr>
            </w:pPr>
          </w:p>
          <w:p w14:paraId="506F82BA" w14:textId="77777777" w:rsidR="00A34B7A" w:rsidRDefault="00A34B7A" w:rsidP="000B29F2">
            <w:pPr>
              <w:jc w:val="both"/>
              <w:rPr>
                <w:sz w:val="24"/>
                <w:szCs w:val="24"/>
              </w:rPr>
            </w:pPr>
          </w:p>
          <w:p w14:paraId="60F6EA91" w14:textId="77777777" w:rsidR="00A34B7A" w:rsidRDefault="00A34B7A" w:rsidP="000B29F2">
            <w:pPr>
              <w:jc w:val="both"/>
              <w:rPr>
                <w:sz w:val="24"/>
                <w:szCs w:val="24"/>
              </w:rPr>
            </w:pPr>
            <w:r>
              <w:rPr>
                <w:sz w:val="24"/>
                <w:szCs w:val="24"/>
              </w:rPr>
              <w:t xml:space="preserve">443. </w:t>
            </w:r>
          </w:p>
          <w:p w14:paraId="7B91A413" w14:textId="77777777" w:rsidR="00A34B7A" w:rsidRPr="006108C9" w:rsidRDefault="00A34B7A" w:rsidP="000B29F2">
            <w:pPr>
              <w:jc w:val="both"/>
              <w:rPr>
                <w:sz w:val="24"/>
                <w:szCs w:val="24"/>
              </w:rPr>
            </w:pPr>
          </w:p>
          <w:p w14:paraId="1D506038" w14:textId="77777777" w:rsidR="00A34B7A" w:rsidRDefault="00A34B7A" w:rsidP="000B29F2">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2F880CCD" w14:textId="77777777" w:rsidR="00A34B7A" w:rsidRPr="006108C9" w:rsidRDefault="00A34B7A" w:rsidP="000B29F2">
            <w:pPr>
              <w:jc w:val="both"/>
              <w:rPr>
                <w:sz w:val="24"/>
                <w:szCs w:val="24"/>
              </w:rPr>
            </w:pPr>
          </w:p>
        </w:tc>
      </w:tr>
    </w:tbl>
    <w:p w14:paraId="263DFC25" w14:textId="77777777" w:rsidR="00A34B7A" w:rsidRDefault="00A34B7A" w:rsidP="00A34B7A">
      <w:pPr>
        <w:jc w:val="both"/>
        <w:rPr>
          <w:sz w:val="24"/>
          <w:szCs w:val="24"/>
        </w:rPr>
      </w:pPr>
    </w:p>
    <w:p w14:paraId="32FEDB7A" w14:textId="77777777" w:rsidR="00A34B7A" w:rsidRDefault="00A34B7A" w:rsidP="00A34B7A">
      <w:pPr>
        <w:jc w:val="both"/>
        <w:rPr>
          <w:sz w:val="24"/>
          <w:szCs w:val="24"/>
        </w:rPr>
      </w:pPr>
    </w:p>
    <w:p w14:paraId="3728AEB0" w14:textId="77777777" w:rsidR="00684F45" w:rsidRDefault="00684F45"/>
    <w:sectPr w:rsidR="00684F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34B7A"/>
    <w:rsid w:val="0066409C"/>
    <w:rsid w:val="00684F45"/>
    <w:rsid w:val="00A34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B63E2"/>
  <w15:chartTrackingRefBased/>
  <w15:docId w15:val="{9B1A9FD7-C426-4B9C-B10A-EAC3D4551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B7A"/>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1032</Words>
  <Characters>5884</Characters>
  <Application>Microsoft Office Word</Application>
  <DocSecurity>0</DocSecurity>
  <Lines>49</Lines>
  <Paragraphs>13</Paragraphs>
  <ScaleCrop>false</ScaleCrop>
  <Company/>
  <LinksUpToDate>false</LinksUpToDate>
  <CharactersWithSpaces>6903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Karly Haverly</dc:creator>
  <cp:keywords/>
  <dc:description/>
  <cp:lastModifiedBy>Karly Haverly</cp:lastModifiedBy>
  <cp:revision>1</cp:revision>
  <dcterms:created xsi:type="dcterms:W3CDTF">2024-02-14T17:05:00Z</dcterms:created>
  <dcterms:modified xsi:type="dcterms:W3CDTF">2024-02-14T17:06:00Z</dcterms:modified>
</cp:coreProperties>
</file>