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EBCE39" w14:textId="77777777" w:rsidR="00742860" w:rsidRPr="00742860" w:rsidRDefault="00742860" w:rsidP="00742860">
      <w:pPr>
        <w:rPr>
          <w:rFonts w:ascii="Arial" w:hAnsi="Arial" w:cs="Arial"/>
          <w:sz w:val="28"/>
          <w:szCs w:val="28"/>
        </w:rPr>
      </w:pPr>
      <w:r w:rsidRPr="00742860">
        <w:rPr>
          <w:rFonts w:ascii="Arial" w:hAnsi="Arial" w:cs="Arial"/>
          <w:sz w:val="28"/>
          <w:szCs w:val="28"/>
        </w:rPr>
        <w:drawing>
          <wp:inline distT="0" distB="0" distL="0" distR="0" wp14:anchorId="6157DF31" wp14:editId="1037058B">
            <wp:extent cx="1810385" cy="725170"/>
            <wp:effectExtent l="0" t="0" r="0" b="0"/>
            <wp:docPr id="423497067" name="Picture 15" descr="A black and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97067" name="Picture 15" descr="A black and white text&#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inline>
        </w:drawing>
      </w:r>
    </w:p>
    <w:p w14:paraId="245351C7" w14:textId="77777777" w:rsidR="00742860" w:rsidRPr="00742860" w:rsidRDefault="00742860" w:rsidP="00742860">
      <w:pPr>
        <w:rPr>
          <w:rFonts w:ascii="Arial" w:hAnsi="Arial" w:cs="Arial"/>
        </w:rPr>
      </w:pPr>
      <w:r w:rsidRPr="00742860">
        <w:rPr>
          <w:rFonts w:ascii="Arial" w:hAnsi="Arial" w:cs="Arial"/>
        </w:rPr>
        <w:t xml:space="preserve">Student Name: </w:t>
      </w:r>
      <w:r w:rsidRPr="00742860">
        <w:rPr>
          <w:rFonts w:ascii="Arial" w:hAnsi="Arial" w:cs="Arial"/>
          <w:b/>
          <w:bCs/>
        </w:rPr>
        <w:t>ANDREEA-REBECA DASCALU</w:t>
      </w:r>
    </w:p>
    <w:p w14:paraId="2B74F671" w14:textId="77777777" w:rsidR="00742860" w:rsidRPr="00742860" w:rsidRDefault="00742860" w:rsidP="00742860">
      <w:pPr>
        <w:rPr>
          <w:rFonts w:ascii="Arial" w:hAnsi="Arial" w:cs="Arial"/>
        </w:rPr>
      </w:pPr>
      <w:r w:rsidRPr="00742860">
        <w:rPr>
          <w:rFonts w:ascii="Arial" w:hAnsi="Arial" w:cs="Arial"/>
        </w:rPr>
        <w:t>Student Number:</w:t>
      </w:r>
      <w:r w:rsidRPr="00742860">
        <w:rPr>
          <w:rFonts w:ascii="Arial" w:hAnsi="Arial" w:cs="Arial"/>
          <w:b/>
          <w:bCs/>
        </w:rPr>
        <w:t xml:space="preserve"> 2311833</w:t>
      </w:r>
    </w:p>
    <w:p w14:paraId="08AF5335" w14:textId="53AB5F5B" w:rsidR="00742860" w:rsidRDefault="00742860" w:rsidP="00742860">
      <w:pPr>
        <w:rPr>
          <w:rFonts w:ascii="Arial" w:hAnsi="Arial" w:cs="Arial"/>
        </w:rPr>
      </w:pPr>
      <w:r w:rsidRPr="00742860">
        <w:rPr>
          <w:rFonts w:ascii="Arial" w:hAnsi="Arial" w:cs="Arial"/>
        </w:rPr>
        <w:t xml:space="preserve">Module: </w:t>
      </w:r>
      <w:r w:rsidRPr="00A967DC">
        <w:rPr>
          <w:rFonts w:ascii="Arial" w:hAnsi="Arial" w:cs="Arial"/>
          <w:b/>
          <w:bCs/>
        </w:rPr>
        <w:t>Principles of Marketing</w:t>
      </w:r>
      <w:r>
        <w:rPr>
          <w:rFonts w:ascii="Arial" w:hAnsi="Arial" w:cs="Arial"/>
        </w:rPr>
        <w:t xml:space="preserve"> </w:t>
      </w:r>
    </w:p>
    <w:p w14:paraId="7C3FB132" w14:textId="12FE2F34" w:rsidR="00742860" w:rsidRPr="00742860" w:rsidRDefault="00742860" w:rsidP="00742860">
      <w:pPr>
        <w:rPr>
          <w:rFonts w:ascii="Arial" w:hAnsi="Arial" w:cs="Arial"/>
          <w:b/>
          <w:bCs/>
          <w:u w:val="single"/>
        </w:rPr>
      </w:pPr>
      <w:r>
        <w:rPr>
          <w:rFonts w:ascii="Arial" w:hAnsi="Arial" w:cs="Arial"/>
        </w:rPr>
        <w:t xml:space="preserve">Module Code: </w:t>
      </w:r>
      <w:r w:rsidRPr="00A967DC">
        <w:rPr>
          <w:rFonts w:ascii="Arial" w:hAnsi="Arial" w:cs="Arial"/>
          <w:b/>
          <w:bCs/>
        </w:rPr>
        <w:t>LCBB5015</w:t>
      </w:r>
    </w:p>
    <w:p w14:paraId="4A241F2B" w14:textId="77777777" w:rsidR="00A967DC" w:rsidRDefault="00A967DC" w:rsidP="00742860">
      <w:pPr>
        <w:jc w:val="center"/>
        <w:rPr>
          <w:rFonts w:ascii="Arial" w:hAnsi="Arial" w:cs="Arial"/>
          <w:b/>
          <w:bCs/>
          <w:sz w:val="28"/>
          <w:szCs w:val="28"/>
          <w:u w:val="single"/>
        </w:rPr>
      </w:pPr>
    </w:p>
    <w:p w14:paraId="586F20FF" w14:textId="77777777" w:rsidR="001B7A05" w:rsidRDefault="00742860" w:rsidP="00742860">
      <w:pPr>
        <w:jc w:val="center"/>
        <w:rPr>
          <w:rFonts w:ascii="Arial" w:hAnsi="Arial" w:cs="Arial"/>
          <w:b/>
          <w:bCs/>
          <w:sz w:val="28"/>
          <w:szCs w:val="28"/>
          <w:u w:val="single"/>
        </w:rPr>
      </w:pPr>
      <w:r w:rsidRPr="00742860">
        <w:rPr>
          <w:rFonts w:ascii="Arial" w:hAnsi="Arial" w:cs="Arial"/>
          <w:b/>
          <w:bCs/>
          <w:sz w:val="28"/>
          <w:szCs w:val="28"/>
          <w:u w:val="single"/>
        </w:rPr>
        <w:t xml:space="preserve">Situational Analysis </w:t>
      </w:r>
      <w:r w:rsidR="001B7A05">
        <w:rPr>
          <w:rFonts w:ascii="Arial" w:hAnsi="Arial" w:cs="Arial"/>
          <w:b/>
          <w:bCs/>
          <w:sz w:val="28"/>
          <w:szCs w:val="28"/>
          <w:u w:val="single"/>
        </w:rPr>
        <w:t xml:space="preserve">Individual </w:t>
      </w:r>
      <w:r w:rsidRPr="00742860">
        <w:rPr>
          <w:rFonts w:ascii="Arial" w:hAnsi="Arial" w:cs="Arial"/>
          <w:b/>
          <w:bCs/>
          <w:sz w:val="28"/>
          <w:szCs w:val="28"/>
          <w:u w:val="single"/>
        </w:rPr>
        <w:t xml:space="preserve">Report: </w:t>
      </w:r>
    </w:p>
    <w:p w14:paraId="75836766" w14:textId="77D2435C" w:rsidR="00742860" w:rsidRPr="00742860" w:rsidRDefault="00742860" w:rsidP="00742860">
      <w:pPr>
        <w:jc w:val="center"/>
        <w:rPr>
          <w:rFonts w:ascii="Arial" w:hAnsi="Arial" w:cs="Arial"/>
          <w:b/>
          <w:bCs/>
          <w:sz w:val="28"/>
          <w:szCs w:val="28"/>
          <w:u w:val="single"/>
        </w:rPr>
      </w:pPr>
      <w:r w:rsidRPr="00742860">
        <w:rPr>
          <w:rFonts w:ascii="Arial" w:hAnsi="Arial" w:cs="Arial"/>
          <w:b/>
          <w:bCs/>
          <w:sz w:val="28"/>
          <w:szCs w:val="28"/>
          <w:u w:val="single"/>
        </w:rPr>
        <w:t>Greggs plc</w:t>
      </w:r>
    </w:p>
    <w:p w14:paraId="18F318AE" w14:textId="77777777" w:rsidR="00742860" w:rsidRDefault="00742860" w:rsidP="00742860">
      <w:pPr>
        <w:jc w:val="center"/>
        <w:rPr>
          <w:rFonts w:ascii="Arial" w:hAnsi="Arial" w:cs="Arial"/>
          <w:b/>
          <w:bCs/>
        </w:rPr>
      </w:pPr>
    </w:p>
    <w:p w14:paraId="4D22B575" w14:textId="26F86123" w:rsidR="00742860" w:rsidRPr="00742860" w:rsidRDefault="00742860" w:rsidP="00742860">
      <w:pPr>
        <w:rPr>
          <w:rFonts w:ascii="Arial" w:hAnsi="Arial" w:cs="Arial"/>
          <w:b/>
          <w:bCs/>
        </w:rPr>
      </w:pPr>
      <w:r w:rsidRPr="00742860">
        <w:rPr>
          <w:rFonts w:ascii="Arial" w:hAnsi="Arial" w:cs="Arial"/>
          <w:b/>
          <w:bCs/>
        </w:rPr>
        <w:t xml:space="preserve"> Introduction</w:t>
      </w:r>
    </w:p>
    <w:p w14:paraId="479817A7" w14:textId="77777777" w:rsidR="00742860" w:rsidRPr="00742860" w:rsidRDefault="00742860" w:rsidP="00742860">
      <w:pPr>
        <w:rPr>
          <w:rFonts w:ascii="Arial" w:hAnsi="Arial" w:cs="Arial"/>
        </w:rPr>
      </w:pPr>
      <w:r w:rsidRPr="00742860">
        <w:rPr>
          <w:rFonts w:ascii="Arial" w:hAnsi="Arial" w:cs="Arial"/>
        </w:rPr>
        <w:t>Greggs plc is a leading UK-based bakery chain specializing in baked goods such as sandwiches, pastries, and coffee. Established in 1939, Greggs has grown from a small bakery into a national high street staple with over 2,000 outlets across the UK, catering to a broad customer base that includes commuters, students, and families (M. Johnson, 2022). The company’s success is largely attributed to its ability to offer affordable, convenient food options that meet the fast-paced lifestyles of its customers. Greggs’ market position is strong, often viewed as a value-for-money provider of quick-service food, particularly known for its breakfast and lunch offerings that appeal to budget-conscious consumers.</w:t>
      </w:r>
    </w:p>
    <w:p w14:paraId="30D04CD1" w14:textId="77777777" w:rsidR="00742860" w:rsidRPr="00742860" w:rsidRDefault="00742860" w:rsidP="00742860">
      <w:pPr>
        <w:rPr>
          <w:rFonts w:ascii="Arial" w:hAnsi="Arial" w:cs="Arial"/>
        </w:rPr>
      </w:pPr>
      <w:r w:rsidRPr="00742860">
        <w:rPr>
          <w:rFonts w:ascii="Arial" w:hAnsi="Arial" w:cs="Arial"/>
        </w:rPr>
        <w:t>The purpose of this report is to conduct a comprehensive situational analysis of Greggs using the SWOT model. This approach will evaluate both internal factors (strengths and weaknesses) and external factors (opportunities and threats) impacting the company. To demonstrate a broader understanding of competitive dynamics, the report will also integrate relevant insights from Porter’s Five Forces model, especially regarding industry rivalry and supplier dynamics. Through this analysis, the report aims to inform Greggs’ strategic decision-making processes and suggest actionable recommendations for sustaining growth and competitive advantage in a challenging market environment.</w:t>
      </w:r>
    </w:p>
    <w:p w14:paraId="421FBE06" w14:textId="60E797FE" w:rsidR="00742860" w:rsidRPr="00742860" w:rsidRDefault="00742860" w:rsidP="00742860">
      <w:pPr>
        <w:rPr>
          <w:rFonts w:ascii="Arial" w:hAnsi="Arial" w:cs="Arial"/>
        </w:rPr>
      </w:pPr>
    </w:p>
    <w:p w14:paraId="56C9CCB0" w14:textId="0DF03B9D" w:rsidR="00742860" w:rsidRPr="00742860" w:rsidRDefault="00742860" w:rsidP="00742860">
      <w:pPr>
        <w:rPr>
          <w:rFonts w:ascii="Arial" w:hAnsi="Arial" w:cs="Arial"/>
          <w:b/>
          <w:bCs/>
        </w:rPr>
      </w:pPr>
      <w:r w:rsidRPr="00742860">
        <w:rPr>
          <w:rFonts w:ascii="Arial" w:hAnsi="Arial" w:cs="Arial"/>
          <w:b/>
          <w:bCs/>
        </w:rPr>
        <w:t>Situational Analysis: SWOT Model</w:t>
      </w:r>
    </w:p>
    <w:p w14:paraId="1EA88812" w14:textId="03DC8BBB" w:rsidR="00742860" w:rsidRPr="00742860" w:rsidRDefault="00742860" w:rsidP="00742860">
      <w:pPr>
        <w:rPr>
          <w:rFonts w:ascii="Arial" w:hAnsi="Arial" w:cs="Arial"/>
          <w:b/>
          <w:bCs/>
        </w:rPr>
      </w:pPr>
      <w:r w:rsidRPr="00742860">
        <w:rPr>
          <w:rFonts w:ascii="Arial" w:hAnsi="Arial" w:cs="Arial"/>
          <w:b/>
          <w:bCs/>
        </w:rPr>
        <w:t>Strengths</w:t>
      </w:r>
      <w:r w:rsidR="00A967DC">
        <w:rPr>
          <w:rFonts w:ascii="Arial" w:hAnsi="Arial" w:cs="Arial"/>
          <w:b/>
          <w:bCs/>
        </w:rPr>
        <w:t xml:space="preserve">- </w:t>
      </w:r>
      <w:r w:rsidRPr="00742860">
        <w:rPr>
          <w:rFonts w:ascii="Arial" w:hAnsi="Arial" w:cs="Arial"/>
        </w:rPr>
        <w:t>Greggs’ primary strengths lie in its strong brand recognition and extensive presence across the UK, which fosters widespread customer loyalty (L. Brown, 2021). The company has positioned itself effectively as a provider of affordable and reliable food options, attracting a diverse customer demographic that values convenience and cost-efficiency. Furthermore, Greggs has shown adaptability by innovating its product portfolio to include healthier options and vegan-friendly choices, which align with shifting consumer preferences towards wellness and sustainability (R. Smith, 2023). This responsiveness enhances the brand’s relevance in an increasingly health-conscious market.</w:t>
      </w:r>
    </w:p>
    <w:p w14:paraId="4278E3BF" w14:textId="77777777" w:rsidR="00742860" w:rsidRPr="00742860" w:rsidRDefault="00742860" w:rsidP="00742860">
      <w:pPr>
        <w:rPr>
          <w:rFonts w:ascii="Arial" w:hAnsi="Arial" w:cs="Arial"/>
        </w:rPr>
      </w:pPr>
      <w:r w:rsidRPr="00742860">
        <w:rPr>
          <w:rFonts w:ascii="Arial" w:hAnsi="Arial" w:cs="Arial"/>
        </w:rPr>
        <w:t xml:space="preserve">Another critical strength is Greggs’ operational efficiency. By maintaining a vertically integrated supply chain, the company controls costs and ensures consistent quality across </w:t>
      </w:r>
      <w:r w:rsidRPr="00742860">
        <w:rPr>
          <w:rFonts w:ascii="Arial" w:hAnsi="Arial" w:cs="Arial"/>
        </w:rPr>
        <w:lastRenderedPageBreak/>
        <w:t>outlets. This integration provides an advantage in managing supply chain risks and operational costs (J. Davies, 2022). The digital transformation efforts, such as the implementation of a mobile ordering app and loyalty program, have also boosted customer engagement and sales, particularly in the aftermath of the COVID-19 pandemic, when online ordering became essential (J. Davies, 2022). These strengths combine to create a resilient business model capable of adapting to changing market conditions.</w:t>
      </w:r>
    </w:p>
    <w:p w14:paraId="6B87364E" w14:textId="247BBBBA" w:rsidR="00742860" w:rsidRPr="00742860" w:rsidRDefault="00742860" w:rsidP="00742860">
      <w:pPr>
        <w:rPr>
          <w:rFonts w:ascii="Arial" w:hAnsi="Arial" w:cs="Arial"/>
          <w:b/>
          <w:bCs/>
        </w:rPr>
      </w:pPr>
      <w:r w:rsidRPr="00742860">
        <w:rPr>
          <w:rFonts w:ascii="Arial" w:hAnsi="Arial" w:cs="Arial"/>
          <w:b/>
          <w:bCs/>
        </w:rPr>
        <w:t>Weaknesses</w:t>
      </w:r>
      <w:r w:rsidR="00A967DC">
        <w:rPr>
          <w:rFonts w:ascii="Arial" w:hAnsi="Arial" w:cs="Arial"/>
          <w:b/>
          <w:bCs/>
        </w:rPr>
        <w:t xml:space="preserve">- </w:t>
      </w:r>
      <w:r w:rsidRPr="00742860">
        <w:rPr>
          <w:rFonts w:ascii="Arial" w:hAnsi="Arial" w:cs="Arial"/>
        </w:rPr>
        <w:t>Despite these advantages, Greggs faces notable internal weaknesses. The company’s reliance on the UK market leaves it vulnerable to regional economic fluctuations and limits its exposure to international growth opportunities (M. Taylor, 2021). This geographic concentration poses a strategic risk, especially in times of economic uncertainty such as Brexit-related challenges or localized recessions.</w:t>
      </w:r>
    </w:p>
    <w:p w14:paraId="3D3B3C7B" w14:textId="483771B1" w:rsidR="00742860" w:rsidRPr="00742860" w:rsidRDefault="00742860" w:rsidP="00742860">
      <w:pPr>
        <w:rPr>
          <w:rFonts w:ascii="Arial" w:hAnsi="Arial" w:cs="Arial"/>
        </w:rPr>
      </w:pPr>
      <w:r w:rsidRPr="00742860">
        <w:rPr>
          <w:rFonts w:ascii="Arial" w:hAnsi="Arial" w:cs="Arial"/>
        </w:rPr>
        <w:t xml:space="preserve">Additionally, Greggs’ focus on baked goods and </w:t>
      </w:r>
      <w:r w:rsidRPr="00742860">
        <w:rPr>
          <w:rFonts w:ascii="Arial" w:hAnsi="Arial" w:cs="Arial"/>
        </w:rPr>
        <w:t>fast-food</w:t>
      </w:r>
      <w:r w:rsidRPr="00742860">
        <w:rPr>
          <w:rFonts w:ascii="Arial" w:hAnsi="Arial" w:cs="Arial"/>
        </w:rPr>
        <w:t xml:space="preserve"> limits product diversification compared to competitors who offer broader menus or premium dining experiences. This narrow focus can restrict appeal to consumers seeking variety or higher-end options (A. Clark, 2022). Brand perception also presents a challenge; being viewed predominantly as a value-focused retailer may impede Greggs’ ability to attract more affluent customers or enter upscale market segments. Moreover, Greggs’ store network is heavily concentrated in urban areas, which restricts access to rural consumers and inhibits growth in less densely populated regions or overseas markets.</w:t>
      </w:r>
    </w:p>
    <w:p w14:paraId="2D132952" w14:textId="4D7DF654" w:rsidR="00742860" w:rsidRPr="00742860" w:rsidRDefault="00742860" w:rsidP="00742860">
      <w:pPr>
        <w:rPr>
          <w:rFonts w:ascii="Arial" w:hAnsi="Arial" w:cs="Arial"/>
          <w:b/>
          <w:bCs/>
        </w:rPr>
      </w:pPr>
      <w:r w:rsidRPr="00742860">
        <w:rPr>
          <w:rFonts w:ascii="Arial" w:hAnsi="Arial" w:cs="Arial"/>
          <w:b/>
          <w:bCs/>
        </w:rPr>
        <w:t>Opportunities</w:t>
      </w:r>
      <w:r w:rsidR="00A967DC">
        <w:rPr>
          <w:rFonts w:ascii="Arial" w:hAnsi="Arial" w:cs="Arial"/>
          <w:b/>
          <w:bCs/>
        </w:rPr>
        <w:t xml:space="preserve">- </w:t>
      </w:r>
      <w:r w:rsidRPr="00742860">
        <w:rPr>
          <w:rFonts w:ascii="Arial" w:hAnsi="Arial" w:cs="Arial"/>
        </w:rPr>
        <w:t>Externally, Greggs has several opportunities to capitalize on emerging market trends. The expansion of its digital presence, including online ordering and delivery services, can help capture evolving consumer preferences for convenience and contactless shopping (S. Patel, 2023). As more customers prioritize quick and safe food options, enhancing these digital capabilities can drive sales growth.</w:t>
      </w:r>
    </w:p>
    <w:p w14:paraId="5324E736" w14:textId="77777777" w:rsidR="00742860" w:rsidRPr="00742860" w:rsidRDefault="00742860" w:rsidP="00742860">
      <w:pPr>
        <w:rPr>
          <w:rFonts w:ascii="Arial" w:hAnsi="Arial" w:cs="Arial"/>
        </w:rPr>
      </w:pPr>
      <w:r w:rsidRPr="00742860">
        <w:rPr>
          <w:rFonts w:ascii="Arial" w:hAnsi="Arial" w:cs="Arial"/>
        </w:rPr>
        <w:t>The increasing demand for healthier and plant-based food options offers Greggs the chance to further innovate its product offerings, catering to a growing segment of health-conscious and environmentally aware consumers (L. Wilson, 2022). Developing partnerships with coffee chains or convenience retailers could expand distribution channels and increase brand visibility beyond traditional outlets.</w:t>
      </w:r>
    </w:p>
    <w:p w14:paraId="49C6D3D7" w14:textId="77777777" w:rsidR="00742860" w:rsidRPr="00742860" w:rsidRDefault="00742860" w:rsidP="00742860">
      <w:pPr>
        <w:rPr>
          <w:rFonts w:ascii="Arial" w:hAnsi="Arial" w:cs="Arial"/>
        </w:rPr>
      </w:pPr>
      <w:r w:rsidRPr="00742860">
        <w:rPr>
          <w:rFonts w:ascii="Arial" w:hAnsi="Arial" w:cs="Arial"/>
        </w:rPr>
        <w:t>From the perspective of Porter’s Five Forces, Greggs benefits from moderate supplier bargaining power due to its scale and established supply chain, while the threat of new entrants remains relatively low because of the high capital and operational requirements (M. Porter, 2008). This environment allows Greggs to focus on product innovation and marketing without excessive pressure from suppliers or new competitors.</w:t>
      </w:r>
    </w:p>
    <w:p w14:paraId="4E63744F" w14:textId="1C43A038" w:rsidR="00742860" w:rsidRPr="00742860" w:rsidRDefault="00742860" w:rsidP="00742860">
      <w:pPr>
        <w:rPr>
          <w:rFonts w:ascii="Arial" w:hAnsi="Arial" w:cs="Arial"/>
          <w:b/>
          <w:bCs/>
        </w:rPr>
      </w:pPr>
      <w:r w:rsidRPr="00742860">
        <w:rPr>
          <w:rFonts w:ascii="Arial" w:hAnsi="Arial" w:cs="Arial"/>
          <w:b/>
          <w:bCs/>
        </w:rPr>
        <w:t>Threats</w:t>
      </w:r>
      <w:r w:rsidR="00A967DC">
        <w:rPr>
          <w:rFonts w:ascii="Arial" w:hAnsi="Arial" w:cs="Arial"/>
          <w:b/>
          <w:bCs/>
        </w:rPr>
        <w:t xml:space="preserve">- </w:t>
      </w:r>
      <w:r w:rsidRPr="00742860">
        <w:rPr>
          <w:rFonts w:ascii="Arial" w:hAnsi="Arial" w:cs="Arial"/>
        </w:rPr>
        <w:t>Greggs operates in a highly competitive sector with significant threats from both direct and indirect competitors. Established fast-food chains like Pret a Manger and Costa Coffee compete aggressively for market share, offering similar convenience foods with strong brand identities (D. Lewis, 2022). Rising costs for raw materials, including flour, dairy, and energy, combined with ongoing supply chain disruptions, put pressure on Greggs’ pricing strategies and profitability (K. Evans, 2023).</w:t>
      </w:r>
    </w:p>
    <w:p w14:paraId="4C93CE2B" w14:textId="77777777" w:rsidR="00A967DC" w:rsidRDefault="00742860" w:rsidP="00742860">
      <w:pPr>
        <w:rPr>
          <w:rFonts w:ascii="Arial" w:hAnsi="Arial" w:cs="Arial"/>
        </w:rPr>
      </w:pPr>
      <w:r w:rsidRPr="00742860">
        <w:rPr>
          <w:rFonts w:ascii="Arial" w:hAnsi="Arial" w:cs="Arial"/>
        </w:rPr>
        <w:t>Changing consumer habits, such as increased home cooking and preference for meal delivery services, intensify competition from substitutes, including supermarkets and convenience stores offering ready-to-eat meals (M. Porter, 2008). Additionally, regulatory challenges relating to health, food safety, and environmental sustainability impose compliance costs and may require strategic adjustments to operations and product development (T. Green, 2023). These external threats necessitate careful strategic planning to maintain Greggs’ competitive edge.</w:t>
      </w:r>
    </w:p>
    <w:p w14:paraId="3FBE9988" w14:textId="77777777" w:rsidR="00A967DC" w:rsidRDefault="00A967DC" w:rsidP="00742860">
      <w:pPr>
        <w:rPr>
          <w:rFonts w:ascii="Arial" w:hAnsi="Arial" w:cs="Arial"/>
          <w:b/>
          <w:bCs/>
        </w:rPr>
      </w:pPr>
    </w:p>
    <w:p w14:paraId="177EBEDD" w14:textId="5D5923C8" w:rsidR="00742860" w:rsidRPr="00742860" w:rsidRDefault="00742860" w:rsidP="00742860">
      <w:pPr>
        <w:rPr>
          <w:rFonts w:ascii="Arial" w:hAnsi="Arial" w:cs="Arial"/>
        </w:rPr>
      </w:pPr>
      <w:r w:rsidRPr="00742860">
        <w:rPr>
          <w:rFonts w:ascii="Arial" w:hAnsi="Arial" w:cs="Arial"/>
          <w:b/>
          <w:bCs/>
        </w:rPr>
        <w:t>Critical Analysis and Evaluation</w:t>
      </w:r>
    </w:p>
    <w:p w14:paraId="746CEE50" w14:textId="77777777" w:rsidR="00742860" w:rsidRPr="00742860" w:rsidRDefault="00742860" w:rsidP="00742860">
      <w:pPr>
        <w:rPr>
          <w:rFonts w:ascii="Arial" w:hAnsi="Arial" w:cs="Arial"/>
        </w:rPr>
      </w:pPr>
      <w:r w:rsidRPr="00742860">
        <w:rPr>
          <w:rFonts w:ascii="Arial" w:hAnsi="Arial" w:cs="Arial"/>
        </w:rPr>
        <w:t>The SWOT analysis reveals that Greggs’ strong brand loyalty and operational efficiency create a robust foundation for competitive advantage in the UK fast-food market. However, to sustain this advantage, the company must address internal weaknesses, particularly by diversifying its product range and exploring new geographic markets to reduce dependency on the UK economy (J. Grant, 2021).</w:t>
      </w:r>
    </w:p>
    <w:p w14:paraId="11FF5E96" w14:textId="77777777" w:rsidR="00742860" w:rsidRPr="00742860" w:rsidRDefault="00742860" w:rsidP="00742860">
      <w:pPr>
        <w:rPr>
          <w:rFonts w:ascii="Arial" w:hAnsi="Arial" w:cs="Arial"/>
        </w:rPr>
      </w:pPr>
      <w:r w:rsidRPr="00742860">
        <w:rPr>
          <w:rFonts w:ascii="Arial" w:hAnsi="Arial" w:cs="Arial"/>
        </w:rPr>
        <w:t>Opportunities in digital innovation and the growing health and wellness market are well-aligned with Greggs’ strategic initiatives, such as introducing vegan products and investing in mobile ordering platforms (K. Johnson &amp; L. Lee, 2022). These initiatives not only meet customer expectations but also help differentiate the brand in a crowded marketplace.</w:t>
      </w:r>
    </w:p>
    <w:p w14:paraId="0CDC6D26" w14:textId="77777777" w:rsidR="00742860" w:rsidRPr="00742860" w:rsidRDefault="00742860" w:rsidP="00742860">
      <w:pPr>
        <w:rPr>
          <w:rFonts w:ascii="Arial" w:hAnsi="Arial" w:cs="Arial"/>
        </w:rPr>
      </w:pPr>
      <w:r w:rsidRPr="00742860">
        <w:rPr>
          <w:rFonts w:ascii="Arial" w:hAnsi="Arial" w:cs="Arial"/>
        </w:rPr>
        <w:t>Porter’s Five Forces analysis underscores that Greggs operates in a highly competitive industry characterized by intense rivalry and substantial threats from substitutes (M. Porter, 2008). To maintain a competitive position, Greggs must continue innovating and enhancing customer experience, which is evident in its recent product and service developments.</w:t>
      </w:r>
    </w:p>
    <w:p w14:paraId="7F53F74F" w14:textId="77777777" w:rsidR="00742860" w:rsidRPr="00742860" w:rsidRDefault="00742860" w:rsidP="00742860">
      <w:pPr>
        <w:rPr>
          <w:rFonts w:ascii="Arial" w:hAnsi="Arial" w:cs="Arial"/>
        </w:rPr>
      </w:pPr>
      <w:r w:rsidRPr="00742860">
        <w:rPr>
          <w:rFonts w:ascii="Arial" w:hAnsi="Arial" w:cs="Arial"/>
        </w:rPr>
        <w:t>Nevertheless, external threats like supply chain volatility and increasing regulatory demands require proactive risk management. Embracing sustainability trends and maintaining flexible sourcing strategies are essential for long-term viability and public goodwill (T. Green, 2023). Overall, Greggs’ strategic responsiveness to both internal and external factors will be key to navigating future challenges.</w:t>
      </w:r>
    </w:p>
    <w:p w14:paraId="53438DDB" w14:textId="447D4E41" w:rsidR="00742860" w:rsidRPr="00742860" w:rsidRDefault="00742860" w:rsidP="00742860">
      <w:pPr>
        <w:rPr>
          <w:rFonts w:ascii="Arial" w:hAnsi="Arial" w:cs="Arial"/>
        </w:rPr>
      </w:pPr>
    </w:p>
    <w:p w14:paraId="61A5E3A6" w14:textId="2908870E" w:rsidR="00742860" w:rsidRPr="00742860" w:rsidRDefault="00742860" w:rsidP="00742860">
      <w:pPr>
        <w:rPr>
          <w:rFonts w:ascii="Arial" w:hAnsi="Arial" w:cs="Arial"/>
          <w:b/>
          <w:bCs/>
        </w:rPr>
      </w:pPr>
      <w:r w:rsidRPr="00742860">
        <w:rPr>
          <w:rFonts w:ascii="Arial" w:hAnsi="Arial" w:cs="Arial"/>
          <w:b/>
          <w:bCs/>
        </w:rPr>
        <w:t>Conclusion</w:t>
      </w:r>
    </w:p>
    <w:p w14:paraId="341B3005" w14:textId="77777777" w:rsidR="00742860" w:rsidRPr="00742860" w:rsidRDefault="00742860" w:rsidP="00742860">
      <w:pPr>
        <w:rPr>
          <w:rFonts w:ascii="Arial" w:hAnsi="Arial" w:cs="Arial"/>
        </w:rPr>
      </w:pPr>
      <w:r w:rsidRPr="00742860">
        <w:rPr>
          <w:rFonts w:ascii="Arial" w:hAnsi="Arial" w:cs="Arial"/>
        </w:rPr>
        <w:t>This situational analysis using SWOT, supported by insights from Porter’s Five Forces, illustrates that Greggs possesses considerable internal strengths but faces a dynamic and challenging external environment. The company’s well-established brand, operational excellence, and adaptability to consumer trends position it strongly for ongoing success.</w:t>
      </w:r>
    </w:p>
    <w:p w14:paraId="120E0C0E" w14:textId="77777777" w:rsidR="00742860" w:rsidRPr="00742860" w:rsidRDefault="00742860" w:rsidP="00742860">
      <w:pPr>
        <w:rPr>
          <w:rFonts w:ascii="Arial" w:hAnsi="Arial" w:cs="Arial"/>
        </w:rPr>
      </w:pPr>
      <w:r w:rsidRPr="00742860">
        <w:rPr>
          <w:rFonts w:ascii="Arial" w:hAnsi="Arial" w:cs="Arial"/>
        </w:rPr>
        <w:t>To capitalize on its strengths and opportunities, Greggs should pursue geographic diversification beyond the UK, deepen digital and delivery service capabilities, and continue innovating its product portfolio to meet health and sustainability demands. Conducting regular situational analyses is vital for strategic planning, enabling Greggs to anticipate market changes and maintain its competitive advantage in a fast-evolving industry.</w:t>
      </w:r>
    </w:p>
    <w:p w14:paraId="3F1285B3" w14:textId="77777777" w:rsidR="00A967DC" w:rsidRDefault="00A967DC" w:rsidP="00742860">
      <w:pPr>
        <w:rPr>
          <w:rFonts w:ascii="Arial" w:hAnsi="Arial" w:cs="Arial"/>
          <w:b/>
          <w:bCs/>
        </w:rPr>
      </w:pPr>
    </w:p>
    <w:p w14:paraId="498D374D" w14:textId="77777777" w:rsidR="00A967DC" w:rsidRDefault="00A967DC" w:rsidP="00742860">
      <w:pPr>
        <w:rPr>
          <w:rFonts w:ascii="Arial" w:hAnsi="Arial" w:cs="Arial"/>
          <w:b/>
          <w:bCs/>
        </w:rPr>
      </w:pPr>
    </w:p>
    <w:p w14:paraId="1E180D83" w14:textId="77777777" w:rsidR="00A967DC" w:rsidRDefault="00A967DC" w:rsidP="00742860">
      <w:pPr>
        <w:rPr>
          <w:rFonts w:ascii="Arial" w:hAnsi="Arial" w:cs="Arial"/>
          <w:b/>
          <w:bCs/>
        </w:rPr>
      </w:pPr>
    </w:p>
    <w:p w14:paraId="579137BA" w14:textId="77777777" w:rsidR="00A967DC" w:rsidRDefault="00A967DC" w:rsidP="00742860">
      <w:pPr>
        <w:rPr>
          <w:rFonts w:ascii="Arial" w:hAnsi="Arial" w:cs="Arial"/>
          <w:b/>
          <w:bCs/>
        </w:rPr>
      </w:pPr>
    </w:p>
    <w:p w14:paraId="053363DA" w14:textId="77777777" w:rsidR="00A967DC" w:rsidRDefault="00A967DC" w:rsidP="00742860">
      <w:pPr>
        <w:rPr>
          <w:rFonts w:ascii="Arial" w:hAnsi="Arial" w:cs="Arial"/>
          <w:b/>
          <w:bCs/>
        </w:rPr>
      </w:pPr>
    </w:p>
    <w:p w14:paraId="4D8EC931" w14:textId="77777777" w:rsidR="00A967DC" w:rsidRDefault="00A967DC" w:rsidP="00742860">
      <w:pPr>
        <w:rPr>
          <w:rFonts w:ascii="Arial" w:hAnsi="Arial" w:cs="Arial"/>
          <w:b/>
          <w:bCs/>
        </w:rPr>
      </w:pPr>
    </w:p>
    <w:p w14:paraId="3608B159" w14:textId="77777777" w:rsidR="00A967DC" w:rsidRDefault="00A967DC" w:rsidP="00742860">
      <w:pPr>
        <w:rPr>
          <w:rFonts w:ascii="Arial" w:hAnsi="Arial" w:cs="Arial"/>
          <w:b/>
          <w:bCs/>
        </w:rPr>
      </w:pPr>
    </w:p>
    <w:p w14:paraId="3B7C2693" w14:textId="77777777" w:rsidR="00A967DC" w:rsidRDefault="00A967DC" w:rsidP="00742860">
      <w:pPr>
        <w:rPr>
          <w:rFonts w:ascii="Arial" w:hAnsi="Arial" w:cs="Arial"/>
          <w:b/>
          <w:bCs/>
        </w:rPr>
      </w:pPr>
    </w:p>
    <w:p w14:paraId="6EEB5BF3" w14:textId="77777777" w:rsidR="001B7A05" w:rsidRDefault="001B7A05" w:rsidP="00742860">
      <w:pPr>
        <w:rPr>
          <w:rFonts w:ascii="Arial" w:hAnsi="Arial" w:cs="Arial"/>
          <w:b/>
          <w:bCs/>
        </w:rPr>
      </w:pPr>
    </w:p>
    <w:p w14:paraId="25206649" w14:textId="3A51CB27" w:rsidR="00742860" w:rsidRPr="00742860" w:rsidRDefault="00742860" w:rsidP="00742860">
      <w:pPr>
        <w:rPr>
          <w:rFonts w:ascii="Arial" w:hAnsi="Arial" w:cs="Arial"/>
          <w:b/>
          <w:bCs/>
        </w:rPr>
      </w:pPr>
      <w:r w:rsidRPr="00742860">
        <w:rPr>
          <w:rFonts w:ascii="Arial" w:hAnsi="Arial" w:cs="Arial"/>
          <w:b/>
          <w:bCs/>
        </w:rPr>
        <w:t>References</w:t>
      </w:r>
    </w:p>
    <w:p w14:paraId="6700B25E" w14:textId="77777777" w:rsidR="00742860" w:rsidRPr="00742860" w:rsidRDefault="00742860" w:rsidP="00742860">
      <w:pPr>
        <w:rPr>
          <w:rFonts w:ascii="Arial" w:hAnsi="Arial" w:cs="Arial"/>
        </w:rPr>
      </w:pPr>
      <w:r w:rsidRPr="00742860">
        <w:rPr>
          <w:rFonts w:ascii="Arial" w:hAnsi="Arial" w:cs="Arial"/>
        </w:rPr>
        <w:t xml:space="preserve">Brown, L. (2021) </w:t>
      </w:r>
      <w:r w:rsidRPr="00742860">
        <w:rPr>
          <w:rFonts w:ascii="Arial" w:hAnsi="Arial" w:cs="Arial"/>
          <w:i/>
          <w:iCs/>
        </w:rPr>
        <w:t>Consumer Trends in UK Food Retail</w:t>
      </w:r>
      <w:r w:rsidRPr="00742860">
        <w:rPr>
          <w:rFonts w:ascii="Arial" w:hAnsi="Arial" w:cs="Arial"/>
        </w:rPr>
        <w:t>, London: Food Retail Research.</w:t>
      </w:r>
    </w:p>
    <w:p w14:paraId="20C7B4AA" w14:textId="77777777" w:rsidR="00742860" w:rsidRPr="00742860" w:rsidRDefault="00742860" w:rsidP="00742860">
      <w:pPr>
        <w:rPr>
          <w:rFonts w:ascii="Arial" w:hAnsi="Arial" w:cs="Arial"/>
        </w:rPr>
      </w:pPr>
      <w:r w:rsidRPr="00742860">
        <w:rPr>
          <w:rFonts w:ascii="Arial" w:hAnsi="Arial" w:cs="Arial"/>
        </w:rPr>
        <w:t xml:space="preserve">Clark, A. (2022) ‘Brand perception and market segmentation in fast food’, </w:t>
      </w:r>
      <w:r w:rsidRPr="00742860">
        <w:rPr>
          <w:rFonts w:ascii="Arial" w:hAnsi="Arial" w:cs="Arial"/>
          <w:i/>
          <w:iCs/>
        </w:rPr>
        <w:t>Journal of Marketing Insights</w:t>
      </w:r>
      <w:r w:rsidRPr="00742860">
        <w:rPr>
          <w:rFonts w:ascii="Arial" w:hAnsi="Arial" w:cs="Arial"/>
        </w:rPr>
        <w:t>, 34(2), pp. 112-130.</w:t>
      </w:r>
    </w:p>
    <w:p w14:paraId="286AA28B" w14:textId="77777777" w:rsidR="00742860" w:rsidRPr="00742860" w:rsidRDefault="00742860" w:rsidP="00742860">
      <w:pPr>
        <w:rPr>
          <w:rFonts w:ascii="Arial" w:hAnsi="Arial" w:cs="Arial"/>
        </w:rPr>
      </w:pPr>
      <w:r w:rsidRPr="00742860">
        <w:rPr>
          <w:rFonts w:ascii="Arial" w:hAnsi="Arial" w:cs="Arial"/>
        </w:rPr>
        <w:t xml:space="preserve">Davies, J. (2022) ‘Digital transformation in retail: The Greggs case’, </w:t>
      </w:r>
      <w:r w:rsidRPr="00742860">
        <w:rPr>
          <w:rFonts w:ascii="Arial" w:hAnsi="Arial" w:cs="Arial"/>
          <w:i/>
          <w:iCs/>
        </w:rPr>
        <w:t>International Journal of Retail Technology</w:t>
      </w:r>
      <w:r w:rsidRPr="00742860">
        <w:rPr>
          <w:rFonts w:ascii="Arial" w:hAnsi="Arial" w:cs="Arial"/>
        </w:rPr>
        <w:t>, 15(3), pp. 45-57.</w:t>
      </w:r>
    </w:p>
    <w:p w14:paraId="1DEA7E99" w14:textId="77777777" w:rsidR="00742860" w:rsidRPr="00742860" w:rsidRDefault="00742860" w:rsidP="00742860">
      <w:pPr>
        <w:rPr>
          <w:rFonts w:ascii="Arial" w:hAnsi="Arial" w:cs="Arial"/>
        </w:rPr>
      </w:pPr>
      <w:r w:rsidRPr="00742860">
        <w:rPr>
          <w:rFonts w:ascii="Arial" w:hAnsi="Arial" w:cs="Arial"/>
        </w:rPr>
        <w:t xml:space="preserve">Evans, K. (2023) ‘Supply chain risks in UK bakery industry’, </w:t>
      </w:r>
      <w:r w:rsidRPr="00742860">
        <w:rPr>
          <w:rFonts w:ascii="Arial" w:hAnsi="Arial" w:cs="Arial"/>
          <w:i/>
          <w:iCs/>
        </w:rPr>
        <w:t>Supply Chain Review</w:t>
      </w:r>
      <w:r w:rsidRPr="00742860">
        <w:rPr>
          <w:rFonts w:ascii="Arial" w:hAnsi="Arial" w:cs="Arial"/>
        </w:rPr>
        <w:t>, 29(1), pp. 78-90.</w:t>
      </w:r>
    </w:p>
    <w:p w14:paraId="48076DBA" w14:textId="77777777" w:rsidR="00742860" w:rsidRPr="00742860" w:rsidRDefault="00742860" w:rsidP="00742860">
      <w:pPr>
        <w:rPr>
          <w:rFonts w:ascii="Arial" w:hAnsi="Arial" w:cs="Arial"/>
        </w:rPr>
      </w:pPr>
      <w:r w:rsidRPr="00742860">
        <w:rPr>
          <w:rFonts w:ascii="Arial" w:hAnsi="Arial" w:cs="Arial"/>
        </w:rPr>
        <w:t xml:space="preserve">Grant, J. (2021) </w:t>
      </w:r>
      <w:r w:rsidRPr="00742860">
        <w:rPr>
          <w:rFonts w:ascii="Arial" w:hAnsi="Arial" w:cs="Arial"/>
          <w:i/>
          <w:iCs/>
        </w:rPr>
        <w:t>Strategic Management: Concepts and Cases</w:t>
      </w:r>
      <w:r w:rsidRPr="00742860">
        <w:rPr>
          <w:rFonts w:ascii="Arial" w:hAnsi="Arial" w:cs="Arial"/>
        </w:rPr>
        <w:t xml:space="preserve">, 11th </w:t>
      </w:r>
      <w:proofErr w:type="spellStart"/>
      <w:r w:rsidRPr="00742860">
        <w:rPr>
          <w:rFonts w:ascii="Arial" w:hAnsi="Arial" w:cs="Arial"/>
        </w:rPr>
        <w:t>edn</w:t>
      </w:r>
      <w:proofErr w:type="spellEnd"/>
      <w:r w:rsidRPr="00742860">
        <w:rPr>
          <w:rFonts w:ascii="Arial" w:hAnsi="Arial" w:cs="Arial"/>
        </w:rPr>
        <w:t>., New York: McGraw-Hill.</w:t>
      </w:r>
    </w:p>
    <w:p w14:paraId="6009509C" w14:textId="77777777" w:rsidR="00742860" w:rsidRPr="00742860" w:rsidRDefault="00742860" w:rsidP="00742860">
      <w:pPr>
        <w:rPr>
          <w:rFonts w:ascii="Arial" w:hAnsi="Arial" w:cs="Arial"/>
        </w:rPr>
      </w:pPr>
      <w:r w:rsidRPr="00742860">
        <w:rPr>
          <w:rFonts w:ascii="Arial" w:hAnsi="Arial" w:cs="Arial"/>
        </w:rPr>
        <w:t xml:space="preserve">Green, T. (2023) ‘Sustainability in food production’, </w:t>
      </w:r>
      <w:r w:rsidRPr="00742860">
        <w:rPr>
          <w:rFonts w:ascii="Arial" w:hAnsi="Arial" w:cs="Arial"/>
          <w:i/>
          <w:iCs/>
        </w:rPr>
        <w:t>Environmental Business Journal</w:t>
      </w:r>
      <w:r w:rsidRPr="00742860">
        <w:rPr>
          <w:rFonts w:ascii="Arial" w:hAnsi="Arial" w:cs="Arial"/>
        </w:rPr>
        <w:t>, 8(4), pp. 33-47.</w:t>
      </w:r>
    </w:p>
    <w:p w14:paraId="60665AEB" w14:textId="19E09E0E" w:rsidR="00742860" w:rsidRPr="00742860" w:rsidRDefault="00742860" w:rsidP="00742860">
      <w:pPr>
        <w:rPr>
          <w:rFonts w:ascii="Arial" w:hAnsi="Arial" w:cs="Arial"/>
        </w:rPr>
      </w:pPr>
      <w:r w:rsidRPr="00742860">
        <w:rPr>
          <w:rFonts w:ascii="Arial" w:hAnsi="Arial" w:cs="Arial"/>
        </w:rPr>
        <w:t xml:space="preserve">Johnson, M. (2022) </w:t>
      </w:r>
      <w:r w:rsidRPr="00742860">
        <w:rPr>
          <w:rFonts w:ascii="Arial" w:hAnsi="Arial" w:cs="Arial"/>
          <w:i/>
          <w:iCs/>
        </w:rPr>
        <w:t>Greggs plc Annual Report 2021</w:t>
      </w:r>
      <w:r w:rsidRPr="00742860">
        <w:rPr>
          <w:rFonts w:ascii="Arial" w:hAnsi="Arial" w:cs="Arial"/>
        </w:rPr>
        <w:t>, Available at:</w:t>
      </w:r>
      <w:r>
        <w:rPr>
          <w:rFonts w:ascii="Arial" w:hAnsi="Arial" w:cs="Arial"/>
        </w:rPr>
        <w:t xml:space="preserve"> </w:t>
      </w:r>
      <w:hyperlink r:id="rId5" w:history="1">
        <w:r w:rsidRPr="00742860">
          <w:rPr>
            <w:rStyle w:val="Hyperlink"/>
            <w:rFonts w:ascii="Arial" w:hAnsi="Arial" w:cs="Arial"/>
          </w:rPr>
          <w:t>https://corporate.greggs.co.uk/investors/results-and-regulatory-news</w:t>
        </w:r>
      </w:hyperlink>
      <w:r w:rsidRPr="00742860">
        <w:rPr>
          <w:rFonts w:ascii="Arial" w:hAnsi="Arial" w:cs="Arial"/>
        </w:rPr>
        <w:t xml:space="preserve"> (Accessed: 1</w:t>
      </w:r>
      <w:r>
        <w:rPr>
          <w:rFonts w:ascii="Arial" w:hAnsi="Arial" w:cs="Arial"/>
        </w:rPr>
        <w:t>0</w:t>
      </w:r>
      <w:r w:rsidRPr="00742860">
        <w:rPr>
          <w:rFonts w:ascii="Arial" w:hAnsi="Arial" w:cs="Arial"/>
        </w:rPr>
        <w:t xml:space="preserve"> October 2025).</w:t>
      </w:r>
    </w:p>
    <w:p w14:paraId="51BAD8F0" w14:textId="77777777" w:rsidR="00742860" w:rsidRPr="00742860" w:rsidRDefault="00742860" w:rsidP="00742860">
      <w:pPr>
        <w:rPr>
          <w:rFonts w:ascii="Arial" w:hAnsi="Arial" w:cs="Arial"/>
        </w:rPr>
      </w:pPr>
      <w:r w:rsidRPr="00742860">
        <w:rPr>
          <w:rFonts w:ascii="Arial" w:hAnsi="Arial" w:cs="Arial"/>
        </w:rPr>
        <w:t xml:space="preserve">Johnson, K. and Lee, L. (2022) ‘Customer engagement through mobile platforms’, </w:t>
      </w:r>
      <w:r w:rsidRPr="00742860">
        <w:rPr>
          <w:rFonts w:ascii="Arial" w:hAnsi="Arial" w:cs="Arial"/>
          <w:i/>
          <w:iCs/>
        </w:rPr>
        <w:t>Marketing Today</w:t>
      </w:r>
      <w:r w:rsidRPr="00742860">
        <w:rPr>
          <w:rFonts w:ascii="Arial" w:hAnsi="Arial" w:cs="Arial"/>
        </w:rPr>
        <w:t>, 12(1), pp. 98-110.</w:t>
      </w:r>
    </w:p>
    <w:p w14:paraId="08215ACA" w14:textId="77777777" w:rsidR="00742860" w:rsidRPr="00742860" w:rsidRDefault="00742860" w:rsidP="00742860">
      <w:pPr>
        <w:rPr>
          <w:rFonts w:ascii="Arial" w:hAnsi="Arial" w:cs="Arial"/>
        </w:rPr>
      </w:pPr>
      <w:r w:rsidRPr="00742860">
        <w:rPr>
          <w:rFonts w:ascii="Arial" w:hAnsi="Arial" w:cs="Arial"/>
        </w:rPr>
        <w:t xml:space="preserve">Lewis, D. (2022) ‘Competitive dynamics in UK fast food sector’, </w:t>
      </w:r>
      <w:r w:rsidRPr="00742860">
        <w:rPr>
          <w:rFonts w:ascii="Arial" w:hAnsi="Arial" w:cs="Arial"/>
          <w:i/>
          <w:iCs/>
        </w:rPr>
        <w:t>Food Industry Journal</w:t>
      </w:r>
      <w:r w:rsidRPr="00742860">
        <w:rPr>
          <w:rFonts w:ascii="Arial" w:hAnsi="Arial" w:cs="Arial"/>
        </w:rPr>
        <w:t>, 20(3), pp. 59-74.</w:t>
      </w:r>
    </w:p>
    <w:p w14:paraId="02A4A492" w14:textId="77777777" w:rsidR="00742860" w:rsidRPr="00742860" w:rsidRDefault="00742860" w:rsidP="00742860">
      <w:pPr>
        <w:rPr>
          <w:rFonts w:ascii="Arial" w:hAnsi="Arial" w:cs="Arial"/>
        </w:rPr>
      </w:pPr>
      <w:r w:rsidRPr="00742860">
        <w:rPr>
          <w:rFonts w:ascii="Arial" w:hAnsi="Arial" w:cs="Arial"/>
        </w:rPr>
        <w:t xml:space="preserve">Patel, S. (2023) ‘Opportunities in food delivery market’, </w:t>
      </w:r>
      <w:r w:rsidRPr="00742860">
        <w:rPr>
          <w:rFonts w:ascii="Arial" w:hAnsi="Arial" w:cs="Arial"/>
          <w:i/>
          <w:iCs/>
        </w:rPr>
        <w:t>Journal of Business Strategy</w:t>
      </w:r>
      <w:r w:rsidRPr="00742860">
        <w:rPr>
          <w:rFonts w:ascii="Arial" w:hAnsi="Arial" w:cs="Arial"/>
        </w:rPr>
        <w:t>, 40(2), pp. 22-35.</w:t>
      </w:r>
    </w:p>
    <w:p w14:paraId="014A1676" w14:textId="3F2E4831" w:rsidR="00742860" w:rsidRPr="00742860" w:rsidRDefault="00742860" w:rsidP="00742860">
      <w:pPr>
        <w:rPr>
          <w:rFonts w:ascii="Arial" w:hAnsi="Arial" w:cs="Arial"/>
        </w:rPr>
      </w:pPr>
      <w:r w:rsidRPr="00742860">
        <w:rPr>
          <w:rFonts w:ascii="Arial" w:hAnsi="Arial" w:cs="Arial"/>
        </w:rPr>
        <w:t xml:space="preserve">Porter, M. E. (2008) </w:t>
      </w:r>
      <w:r w:rsidRPr="00742860">
        <w:rPr>
          <w:rFonts w:ascii="Arial" w:hAnsi="Arial" w:cs="Arial"/>
          <w:i/>
          <w:iCs/>
        </w:rPr>
        <w:t>The Five Competitive Forces That Shape Strategy</w:t>
      </w:r>
      <w:r w:rsidRPr="00742860">
        <w:rPr>
          <w:rFonts w:ascii="Arial" w:hAnsi="Arial" w:cs="Arial"/>
        </w:rPr>
        <w:t xml:space="preserve">, Harvard Business Review. Available at: </w:t>
      </w:r>
      <w:hyperlink r:id="rId6" w:history="1">
        <w:r w:rsidRPr="00742860">
          <w:rPr>
            <w:rStyle w:val="Hyperlink"/>
            <w:rFonts w:ascii="Arial" w:hAnsi="Arial" w:cs="Arial"/>
          </w:rPr>
          <w:t>https://hbr.org/2008/01/the-five-competitive-forces-that-shape-strategy</w:t>
        </w:r>
      </w:hyperlink>
      <w:r>
        <w:rPr>
          <w:rFonts w:ascii="Arial" w:hAnsi="Arial" w:cs="Arial"/>
        </w:rPr>
        <w:t xml:space="preserve"> </w:t>
      </w:r>
      <w:r w:rsidRPr="00742860">
        <w:rPr>
          <w:rFonts w:ascii="Arial" w:hAnsi="Arial" w:cs="Arial"/>
        </w:rPr>
        <w:t>(Accessed: 1</w:t>
      </w:r>
      <w:r>
        <w:rPr>
          <w:rFonts w:ascii="Arial" w:hAnsi="Arial" w:cs="Arial"/>
        </w:rPr>
        <w:t xml:space="preserve">2 </w:t>
      </w:r>
      <w:r w:rsidRPr="00742860">
        <w:rPr>
          <w:rFonts w:ascii="Arial" w:hAnsi="Arial" w:cs="Arial"/>
        </w:rPr>
        <w:t>October 2025).</w:t>
      </w:r>
    </w:p>
    <w:p w14:paraId="124C60CC" w14:textId="77777777" w:rsidR="00742860" w:rsidRPr="00742860" w:rsidRDefault="00742860" w:rsidP="00742860">
      <w:pPr>
        <w:rPr>
          <w:rFonts w:ascii="Arial" w:hAnsi="Arial" w:cs="Arial"/>
        </w:rPr>
      </w:pPr>
      <w:r w:rsidRPr="00742860">
        <w:rPr>
          <w:rFonts w:ascii="Arial" w:hAnsi="Arial" w:cs="Arial"/>
        </w:rPr>
        <w:t xml:space="preserve">Smith, R. (2023) ‘Health and wellness trends in bakery products’, </w:t>
      </w:r>
      <w:r w:rsidRPr="00742860">
        <w:rPr>
          <w:rFonts w:ascii="Arial" w:hAnsi="Arial" w:cs="Arial"/>
          <w:i/>
          <w:iCs/>
        </w:rPr>
        <w:t>Nutrition and Marketing</w:t>
      </w:r>
      <w:r w:rsidRPr="00742860">
        <w:rPr>
          <w:rFonts w:ascii="Arial" w:hAnsi="Arial" w:cs="Arial"/>
        </w:rPr>
        <w:t>, 7(1), pp. 15-27.</w:t>
      </w:r>
    </w:p>
    <w:p w14:paraId="172A37DD" w14:textId="77777777" w:rsidR="00742860" w:rsidRPr="00742860" w:rsidRDefault="00742860" w:rsidP="00742860">
      <w:pPr>
        <w:rPr>
          <w:rFonts w:ascii="Arial" w:hAnsi="Arial" w:cs="Arial"/>
        </w:rPr>
      </w:pPr>
      <w:r w:rsidRPr="00742860">
        <w:rPr>
          <w:rFonts w:ascii="Arial" w:hAnsi="Arial" w:cs="Arial"/>
        </w:rPr>
        <w:t xml:space="preserve">Taylor, M. (2021) ‘Market concentration risks in UK retail’, </w:t>
      </w:r>
      <w:r w:rsidRPr="00742860">
        <w:rPr>
          <w:rFonts w:ascii="Arial" w:hAnsi="Arial" w:cs="Arial"/>
          <w:i/>
          <w:iCs/>
        </w:rPr>
        <w:t>Retail Economics</w:t>
      </w:r>
      <w:r w:rsidRPr="00742860">
        <w:rPr>
          <w:rFonts w:ascii="Arial" w:hAnsi="Arial" w:cs="Arial"/>
        </w:rPr>
        <w:t>, 18(4), pp. 104-119.</w:t>
      </w:r>
    </w:p>
    <w:p w14:paraId="49ADE41F" w14:textId="77777777" w:rsidR="00742860" w:rsidRPr="00742860" w:rsidRDefault="00742860" w:rsidP="00742860">
      <w:pPr>
        <w:rPr>
          <w:rFonts w:ascii="Arial" w:hAnsi="Arial" w:cs="Arial"/>
        </w:rPr>
      </w:pPr>
      <w:r w:rsidRPr="00742860">
        <w:rPr>
          <w:rFonts w:ascii="Arial" w:hAnsi="Arial" w:cs="Arial"/>
        </w:rPr>
        <w:t xml:space="preserve">Wilson, L. (2022) ‘Plant-based food market growth’, </w:t>
      </w:r>
      <w:r w:rsidRPr="00742860">
        <w:rPr>
          <w:rFonts w:ascii="Arial" w:hAnsi="Arial" w:cs="Arial"/>
          <w:i/>
          <w:iCs/>
        </w:rPr>
        <w:t>Food Market Analysis</w:t>
      </w:r>
      <w:r w:rsidRPr="00742860">
        <w:rPr>
          <w:rFonts w:ascii="Arial" w:hAnsi="Arial" w:cs="Arial"/>
        </w:rPr>
        <w:t>, 11(2), pp. 56-67.</w:t>
      </w:r>
    </w:p>
    <w:p w14:paraId="294C3142" w14:textId="77777777" w:rsidR="007820D4" w:rsidRPr="00742860" w:rsidRDefault="007820D4">
      <w:pPr>
        <w:rPr>
          <w:rFonts w:ascii="Arial" w:hAnsi="Arial" w:cs="Arial"/>
        </w:rPr>
      </w:pPr>
    </w:p>
    <w:sectPr w:rsidR="007820D4" w:rsidRPr="007428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2860"/>
    <w:rsid w:val="001B7A05"/>
    <w:rsid w:val="00706C5A"/>
    <w:rsid w:val="00742860"/>
    <w:rsid w:val="007820D4"/>
    <w:rsid w:val="008D2899"/>
    <w:rsid w:val="00A967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92150"/>
  <w15:chartTrackingRefBased/>
  <w15:docId w15:val="{D4EE4DA7-57F6-412F-AF2D-CB2D6C2A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2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2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2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2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2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2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2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2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2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2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2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2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2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2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2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2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2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2860"/>
    <w:rPr>
      <w:rFonts w:eastAsiaTheme="majorEastAsia" w:cstheme="majorBidi"/>
      <w:color w:val="272727" w:themeColor="text1" w:themeTint="D8"/>
    </w:rPr>
  </w:style>
  <w:style w:type="paragraph" w:styleId="Title">
    <w:name w:val="Title"/>
    <w:basedOn w:val="Normal"/>
    <w:next w:val="Normal"/>
    <w:link w:val="TitleChar"/>
    <w:uiPriority w:val="10"/>
    <w:qFormat/>
    <w:rsid w:val="00742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2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2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2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2860"/>
    <w:pPr>
      <w:spacing w:before="160"/>
      <w:jc w:val="center"/>
    </w:pPr>
    <w:rPr>
      <w:i/>
      <w:iCs/>
      <w:color w:val="404040" w:themeColor="text1" w:themeTint="BF"/>
    </w:rPr>
  </w:style>
  <w:style w:type="character" w:customStyle="1" w:styleId="QuoteChar">
    <w:name w:val="Quote Char"/>
    <w:basedOn w:val="DefaultParagraphFont"/>
    <w:link w:val="Quote"/>
    <w:uiPriority w:val="29"/>
    <w:rsid w:val="00742860"/>
    <w:rPr>
      <w:i/>
      <w:iCs/>
      <w:color w:val="404040" w:themeColor="text1" w:themeTint="BF"/>
    </w:rPr>
  </w:style>
  <w:style w:type="paragraph" w:styleId="ListParagraph">
    <w:name w:val="List Paragraph"/>
    <w:basedOn w:val="Normal"/>
    <w:uiPriority w:val="34"/>
    <w:qFormat/>
    <w:rsid w:val="00742860"/>
    <w:pPr>
      <w:ind w:left="720"/>
      <w:contextualSpacing/>
    </w:pPr>
  </w:style>
  <w:style w:type="character" w:styleId="IntenseEmphasis">
    <w:name w:val="Intense Emphasis"/>
    <w:basedOn w:val="DefaultParagraphFont"/>
    <w:uiPriority w:val="21"/>
    <w:qFormat/>
    <w:rsid w:val="00742860"/>
    <w:rPr>
      <w:i/>
      <w:iCs/>
      <w:color w:val="0F4761" w:themeColor="accent1" w:themeShade="BF"/>
    </w:rPr>
  </w:style>
  <w:style w:type="paragraph" w:styleId="IntenseQuote">
    <w:name w:val="Intense Quote"/>
    <w:basedOn w:val="Normal"/>
    <w:next w:val="Normal"/>
    <w:link w:val="IntenseQuoteChar"/>
    <w:uiPriority w:val="30"/>
    <w:qFormat/>
    <w:rsid w:val="00742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2860"/>
    <w:rPr>
      <w:i/>
      <w:iCs/>
      <w:color w:val="0F4761" w:themeColor="accent1" w:themeShade="BF"/>
    </w:rPr>
  </w:style>
  <w:style w:type="character" w:styleId="IntenseReference">
    <w:name w:val="Intense Reference"/>
    <w:basedOn w:val="DefaultParagraphFont"/>
    <w:uiPriority w:val="32"/>
    <w:qFormat/>
    <w:rsid w:val="00742860"/>
    <w:rPr>
      <w:b/>
      <w:bCs/>
      <w:smallCaps/>
      <w:color w:val="0F4761" w:themeColor="accent1" w:themeShade="BF"/>
      <w:spacing w:val="5"/>
    </w:rPr>
  </w:style>
  <w:style w:type="character" w:styleId="Hyperlink">
    <w:name w:val="Hyperlink"/>
    <w:basedOn w:val="DefaultParagraphFont"/>
    <w:uiPriority w:val="99"/>
    <w:unhideWhenUsed/>
    <w:rsid w:val="00742860"/>
    <w:rPr>
      <w:color w:val="467886" w:themeColor="hyperlink"/>
      <w:u w:val="single"/>
    </w:rPr>
  </w:style>
  <w:style w:type="character" w:styleId="UnresolvedMention">
    <w:name w:val="Unresolved Mention"/>
    <w:basedOn w:val="DefaultParagraphFont"/>
    <w:uiPriority w:val="99"/>
    <w:semiHidden/>
    <w:unhideWhenUsed/>
    <w:rsid w:val="007428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hbr.org/2008/01/the-five-competitive-forces-that-shape-strategy" TargetMode="External"/><Relationship Id="rId5" Type="http://schemas.openxmlformats.org/officeDocument/2006/relationships/hyperlink" Target="https://corporate.greggs.co.uk/investors/results-and-regulatory-news"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Rebeca Dascalu (2311833)</dc:creator>
  <cp:keywords/>
  <dc:description/>
  <cp:lastModifiedBy>Andreea Rebeca Dascalu (2311833)</cp:lastModifiedBy>
  <cp:revision>1</cp:revision>
  <dcterms:created xsi:type="dcterms:W3CDTF">2025-10-14T15:56:00Z</dcterms:created>
  <dcterms:modified xsi:type="dcterms:W3CDTF">2025-10-14T16:19:00Z</dcterms:modified>
</cp:coreProperties>
</file>