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6C5A" w:rsidRPr="0099312E" w:rsidRDefault="0099312E">
      <w:pPr>
        <w:rPr>
          <w:b/>
          <w:sz w:val="40"/>
          <w:szCs w:val="40"/>
          <w:lang w:val="en-GB"/>
        </w:rPr>
      </w:pPr>
      <w:r>
        <w:rPr>
          <w:sz w:val="32"/>
          <w:szCs w:val="32"/>
          <w:lang w:val="en-GB"/>
        </w:rPr>
        <w:t xml:space="preserve">                              </w:t>
      </w:r>
      <w:r w:rsidRPr="0099312E">
        <w:rPr>
          <w:b/>
          <w:sz w:val="40"/>
          <w:szCs w:val="40"/>
          <w:lang w:val="en-GB"/>
        </w:rPr>
        <w:t>BA BUSINESS MANAGEMENT</w:t>
      </w:r>
    </w:p>
    <w:p w:rsidR="0099312E" w:rsidRPr="0099312E" w:rsidRDefault="0099312E">
      <w:pPr>
        <w:rPr>
          <w:b/>
          <w:sz w:val="36"/>
          <w:szCs w:val="36"/>
          <w:lang w:val="en-GB"/>
        </w:rPr>
      </w:pPr>
      <w:r>
        <w:rPr>
          <w:sz w:val="32"/>
          <w:szCs w:val="32"/>
          <w:lang w:val="en-GB"/>
        </w:rPr>
        <w:t xml:space="preserve">         </w:t>
      </w:r>
      <w:r w:rsidR="00DF1E1C">
        <w:rPr>
          <w:sz w:val="32"/>
          <w:szCs w:val="32"/>
          <w:lang w:val="en-GB"/>
        </w:rPr>
        <w:t xml:space="preserve">                       </w:t>
      </w:r>
      <w:r>
        <w:rPr>
          <w:sz w:val="32"/>
          <w:szCs w:val="32"/>
          <w:lang w:val="en-GB"/>
        </w:rPr>
        <w:t xml:space="preserve">  </w:t>
      </w:r>
      <w:r w:rsidRPr="0099312E">
        <w:rPr>
          <w:b/>
          <w:sz w:val="36"/>
          <w:szCs w:val="36"/>
          <w:lang w:val="en-GB"/>
        </w:rPr>
        <w:t xml:space="preserve">ASSIGNMENT </w:t>
      </w:r>
      <w:r>
        <w:rPr>
          <w:b/>
          <w:sz w:val="36"/>
          <w:szCs w:val="36"/>
          <w:lang w:val="en-GB"/>
        </w:rPr>
        <w:t xml:space="preserve">COMPONENT </w:t>
      </w:r>
      <w:r w:rsidRPr="0099312E">
        <w:rPr>
          <w:b/>
          <w:sz w:val="36"/>
          <w:szCs w:val="36"/>
          <w:lang w:val="en-GB"/>
        </w:rPr>
        <w:t>1</w:t>
      </w:r>
    </w:p>
    <w:p w:rsidR="0099312E" w:rsidRDefault="0099312E">
      <w:pPr>
        <w:rPr>
          <w:b/>
          <w:sz w:val="36"/>
          <w:szCs w:val="36"/>
          <w:lang w:val="en-GB"/>
        </w:rPr>
      </w:pPr>
      <w:r>
        <w:rPr>
          <w:sz w:val="32"/>
          <w:szCs w:val="32"/>
          <w:lang w:val="en-GB"/>
        </w:rPr>
        <w:t xml:space="preserve">                                               </w:t>
      </w:r>
      <w:r w:rsidR="00DF1E1C">
        <w:rPr>
          <w:sz w:val="32"/>
          <w:szCs w:val="32"/>
          <w:lang w:val="en-GB"/>
        </w:rPr>
        <w:t xml:space="preserve">     </w:t>
      </w:r>
      <w:r>
        <w:rPr>
          <w:sz w:val="32"/>
          <w:szCs w:val="32"/>
          <w:lang w:val="en-GB"/>
        </w:rPr>
        <w:t xml:space="preserve">  </w:t>
      </w:r>
      <w:r w:rsidRPr="0099312E">
        <w:rPr>
          <w:b/>
          <w:sz w:val="36"/>
          <w:szCs w:val="36"/>
          <w:lang w:val="en-GB"/>
        </w:rPr>
        <w:t>ESSAY</w:t>
      </w:r>
    </w:p>
    <w:p w:rsidR="00DF1E1C" w:rsidRPr="0099312E" w:rsidRDefault="00DF1E1C">
      <w:pPr>
        <w:rPr>
          <w:b/>
          <w:sz w:val="36"/>
          <w:szCs w:val="36"/>
          <w:lang w:val="en-GB"/>
        </w:rPr>
      </w:pPr>
    </w:p>
    <w:p w:rsidR="0099312E" w:rsidRDefault="0099312E">
      <w:pPr>
        <w:rPr>
          <w:sz w:val="32"/>
          <w:szCs w:val="32"/>
          <w:lang w:val="en-GB"/>
        </w:rPr>
      </w:pPr>
    </w:p>
    <w:p w:rsidR="0099312E" w:rsidRDefault="0099312E">
      <w:pPr>
        <w:rPr>
          <w:sz w:val="32"/>
          <w:szCs w:val="32"/>
          <w:lang w:val="en-GB"/>
        </w:rPr>
      </w:pPr>
      <w:r w:rsidRPr="0099312E">
        <w:rPr>
          <w:b/>
          <w:sz w:val="32"/>
          <w:szCs w:val="32"/>
          <w:lang w:val="en-GB"/>
        </w:rPr>
        <w:t>MODULE</w:t>
      </w:r>
      <w:r>
        <w:rPr>
          <w:sz w:val="32"/>
          <w:szCs w:val="32"/>
          <w:lang w:val="en-GB"/>
        </w:rPr>
        <w:t>: Project Management</w:t>
      </w:r>
    </w:p>
    <w:p w:rsidR="0099312E" w:rsidRDefault="0099312E">
      <w:pPr>
        <w:rPr>
          <w:sz w:val="32"/>
          <w:szCs w:val="32"/>
          <w:lang w:val="en-GB"/>
        </w:rPr>
      </w:pPr>
      <w:r w:rsidRPr="0099312E">
        <w:rPr>
          <w:b/>
          <w:sz w:val="32"/>
          <w:szCs w:val="32"/>
          <w:lang w:val="en-GB"/>
        </w:rPr>
        <w:t>CODE:</w:t>
      </w:r>
      <w:r>
        <w:rPr>
          <w:sz w:val="32"/>
          <w:szCs w:val="32"/>
          <w:lang w:val="en-GB"/>
        </w:rPr>
        <w:t xml:space="preserve"> LCBB5005</w:t>
      </w:r>
    </w:p>
    <w:p w:rsidR="0099312E" w:rsidRDefault="0099312E">
      <w:pPr>
        <w:rPr>
          <w:sz w:val="32"/>
          <w:szCs w:val="32"/>
          <w:lang w:val="en-GB"/>
        </w:rPr>
      </w:pPr>
      <w:r w:rsidRPr="0099312E">
        <w:rPr>
          <w:b/>
          <w:sz w:val="32"/>
          <w:szCs w:val="32"/>
          <w:lang w:val="en-GB"/>
        </w:rPr>
        <w:t>LECTURER NAME:</w:t>
      </w:r>
      <w:r>
        <w:rPr>
          <w:sz w:val="32"/>
          <w:szCs w:val="32"/>
          <w:lang w:val="en-GB"/>
        </w:rPr>
        <w:t xml:space="preserve"> Dr. </w:t>
      </w:r>
      <w:proofErr w:type="spellStart"/>
      <w:r>
        <w:rPr>
          <w:sz w:val="32"/>
          <w:szCs w:val="32"/>
          <w:lang w:val="en-GB"/>
        </w:rPr>
        <w:t>Anupam</w:t>
      </w:r>
      <w:proofErr w:type="spellEnd"/>
      <w:r>
        <w:rPr>
          <w:sz w:val="32"/>
          <w:szCs w:val="32"/>
          <w:lang w:val="en-GB"/>
        </w:rPr>
        <w:t xml:space="preserve"> </w:t>
      </w:r>
      <w:proofErr w:type="spellStart"/>
      <w:r>
        <w:rPr>
          <w:sz w:val="32"/>
          <w:szCs w:val="32"/>
          <w:lang w:val="en-GB"/>
        </w:rPr>
        <w:t>Mazumdar</w:t>
      </w:r>
      <w:proofErr w:type="spellEnd"/>
    </w:p>
    <w:p w:rsidR="0099312E" w:rsidRDefault="0099312E">
      <w:pPr>
        <w:rPr>
          <w:sz w:val="32"/>
          <w:szCs w:val="32"/>
          <w:lang w:val="en-GB"/>
        </w:rPr>
      </w:pPr>
      <w:r w:rsidRPr="0099312E">
        <w:rPr>
          <w:b/>
          <w:sz w:val="32"/>
          <w:szCs w:val="32"/>
          <w:lang w:val="en-GB"/>
        </w:rPr>
        <w:t>STUDENT NAME</w:t>
      </w:r>
      <w:r>
        <w:rPr>
          <w:sz w:val="32"/>
          <w:szCs w:val="32"/>
          <w:lang w:val="en-GB"/>
        </w:rPr>
        <w:t xml:space="preserve">: </w:t>
      </w:r>
      <w:proofErr w:type="spellStart"/>
      <w:r>
        <w:rPr>
          <w:sz w:val="32"/>
          <w:szCs w:val="32"/>
          <w:lang w:val="en-GB"/>
        </w:rPr>
        <w:t>Evelina</w:t>
      </w:r>
      <w:proofErr w:type="spellEnd"/>
      <w:r>
        <w:rPr>
          <w:sz w:val="32"/>
          <w:szCs w:val="32"/>
          <w:lang w:val="en-GB"/>
        </w:rPr>
        <w:t xml:space="preserve"> </w:t>
      </w:r>
      <w:proofErr w:type="spellStart"/>
      <w:r>
        <w:rPr>
          <w:sz w:val="32"/>
          <w:szCs w:val="32"/>
          <w:lang w:val="en-GB"/>
        </w:rPr>
        <w:t>Koleva</w:t>
      </w:r>
      <w:proofErr w:type="spellEnd"/>
    </w:p>
    <w:p w:rsidR="0099312E" w:rsidRDefault="0099312E">
      <w:pPr>
        <w:rPr>
          <w:sz w:val="32"/>
          <w:szCs w:val="32"/>
          <w:lang w:val="en-GB"/>
        </w:rPr>
      </w:pPr>
      <w:r w:rsidRPr="0099312E">
        <w:rPr>
          <w:b/>
          <w:sz w:val="32"/>
          <w:szCs w:val="32"/>
          <w:lang w:val="en-GB"/>
        </w:rPr>
        <w:t>STUDENT ID</w:t>
      </w:r>
      <w:r>
        <w:rPr>
          <w:sz w:val="32"/>
          <w:szCs w:val="32"/>
          <w:lang w:val="en-GB"/>
        </w:rPr>
        <w:t>: 2131127</w:t>
      </w:r>
    </w:p>
    <w:p w:rsidR="0099312E" w:rsidRDefault="0099312E">
      <w:pPr>
        <w:rPr>
          <w:sz w:val="32"/>
          <w:szCs w:val="32"/>
          <w:lang w:val="en-GB"/>
        </w:rPr>
      </w:pPr>
    </w:p>
    <w:p w:rsidR="0099312E" w:rsidRDefault="0099312E">
      <w:pPr>
        <w:rPr>
          <w:sz w:val="32"/>
          <w:szCs w:val="32"/>
          <w:lang w:val="en-GB"/>
        </w:rPr>
      </w:pPr>
    </w:p>
    <w:p w:rsidR="0099312E" w:rsidRDefault="0099312E">
      <w:pPr>
        <w:rPr>
          <w:sz w:val="32"/>
          <w:szCs w:val="32"/>
          <w:lang w:val="en-GB"/>
        </w:rPr>
      </w:pPr>
    </w:p>
    <w:p w:rsidR="0099312E" w:rsidRDefault="0099312E">
      <w:pPr>
        <w:rPr>
          <w:b/>
          <w:sz w:val="36"/>
          <w:szCs w:val="36"/>
          <w:lang w:val="en-GB"/>
        </w:rPr>
      </w:pPr>
      <w:r>
        <w:rPr>
          <w:sz w:val="32"/>
          <w:szCs w:val="32"/>
          <w:lang w:val="en-GB"/>
        </w:rPr>
        <w:t xml:space="preserve">                   </w:t>
      </w:r>
      <w:r w:rsidR="00DF1E1C">
        <w:rPr>
          <w:sz w:val="32"/>
          <w:szCs w:val="32"/>
          <w:lang w:val="en-GB"/>
        </w:rPr>
        <w:t xml:space="preserve">           </w:t>
      </w:r>
      <w:r>
        <w:rPr>
          <w:sz w:val="32"/>
          <w:szCs w:val="32"/>
          <w:lang w:val="en-GB"/>
        </w:rPr>
        <w:t xml:space="preserve"> </w:t>
      </w:r>
      <w:r w:rsidRPr="00DF1E1C">
        <w:rPr>
          <w:b/>
          <w:sz w:val="36"/>
          <w:szCs w:val="36"/>
          <w:lang w:val="en-GB"/>
        </w:rPr>
        <w:t xml:space="preserve">SUBMITTED </w:t>
      </w:r>
      <w:proofErr w:type="gramStart"/>
      <w:r w:rsidRPr="00DF1E1C">
        <w:rPr>
          <w:b/>
          <w:sz w:val="36"/>
          <w:szCs w:val="36"/>
          <w:lang w:val="en-GB"/>
        </w:rPr>
        <w:t>ON</w:t>
      </w:r>
      <w:r w:rsidR="004E3F43">
        <w:rPr>
          <w:b/>
          <w:sz w:val="36"/>
          <w:szCs w:val="36"/>
          <w:lang w:val="en-GB"/>
        </w:rPr>
        <w:t xml:space="preserve">  29</w:t>
      </w:r>
      <w:r w:rsidR="00DF1E1C" w:rsidRPr="00DF1E1C">
        <w:rPr>
          <w:b/>
          <w:sz w:val="36"/>
          <w:szCs w:val="36"/>
          <w:vertAlign w:val="superscript"/>
          <w:lang w:val="en-GB"/>
        </w:rPr>
        <w:t>TH</w:t>
      </w:r>
      <w:proofErr w:type="gramEnd"/>
      <w:r w:rsidR="00DF1E1C" w:rsidRPr="00DF1E1C">
        <w:rPr>
          <w:b/>
          <w:sz w:val="36"/>
          <w:szCs w:val="36"/>
          <w:lang w:val="en-GB"/>
        </w:rPr>
        <w:t xml:space="preserve">  OF NOVEMBER 2023</w:t>
      </w:r>
    </w:p>
    <w:p w:rsidR="00DF1E1C" w:rsidRDefault="00DF1E1C">
      <w:pPr>
        <w:rPr>
          <w:b/>
          <w:sz w:val="36"/>
          <w:szCs w:val="36"/>
          <w:lang w:val="en-GB"/>
        </w:rPr>
      </w:pPr>
    </w:p>
    <w:p w:rsidR="00DF1E1C" w:rsidRDefault="00DF1E1C">
      <w:pPr>
        <w:rPr>
          <w:b/>
          <w:sz w:val="36"/>
          <w:szCs w:val="36"/>
          <w:lang w:val="en-GB"/>
        </w:rPr>
      </w:pPr>
    </w:p>
    <w:p w:rsidR="00DF1E1C" w:rsidRDefault="00DF1E1C">
      <w:pPr>
        <w:rPr>
          <w:b/>
          <w:sz w:val="36"/>
          <w:szCs w:val="36"/>
          <w:lang w:val="en-GB"/>
        </w:rPr>
      </w:pPr>
    </w:p>
    <w:p w:rsidR="00DF1E1C" w:rsidRDefault="00DF1E1C">
      <w:pPr>
        <w:rPr>
          <w:b/>
          <w:sz w:val="36"/>
          <w:szCs w:val="36"/>
          <w:lang w:val="en-GB"/>
        </w:rPr>
      </w:pPr>
    </w:p>
    <w:p w:rsidR="00DF1E1C" w:rsidRDefault="00DF1E1C">
      <w:pPr>
        <w:rPr>
          <w:b/>
          <w:sz w:val="36"/>
          <w:szCs w:val="36"/>
          <w:lang w:val="en-GB"/>
        </w:rPr>
      </w:pPr>
    </w:p>
    <w:p w:rsidR="00DF1E1C" w:rsidRDefault="00DF1E1C">
      <w:pPr>
        <w:rPr>
          <w:b/>
          <w:sz w:val="36"/>
          <w:szCs w:val="36"/>
          <w:lang w:val="en-GB"/>
        </w:rPr>
      </w:pPr>
    </w:p>
    <w:p w:rsidR="00DF1E1C" w:rsidRPr="00DF1E1C" w:rsidRDefault="00DF1E1C">
      <w:pPr>
        <w:rPr>
          <w:b/>
          <w:sz w:val="36"/>
          <w:szCs w:val="36"/>
          <w:lang w:val="en-GB"/>
        </w:rPr>
      </w:pPr>
      <w:r w:rsidRPr="00DF1E1C">
        <w:rPr>
          <w:b/>
          <w:sz w:val="36"/>
          <w:szCs w:val="36"/>
          <w:lang w:val="en-GB"/>
        </w:rPr>
        <w:lastRenderedPageBreak/>
        <w:t>TABLE OF CONTENTS</w:t>
      </w:r>
    </w:p>
    <w:p w:rsidR="00DF1E1C" w:rsidRDefault="00DF1E1C">
      <w:pPr>
        <w:rPr>
          <w:b/>
          <w:sz w:val="36"/>
          <w:szCs w:val="36"/>
          <w:lang w:val="en-GB"/>
        </w:rPr>
      </w:pPr>
    </w:p>
    <w:p w:rsidR="00DF1E1C" w:rsidRDefault="00DF1E1C">
      <w:pPr>
        <w:rPr>
          <w:b/>
          <w:sz w:val="36"/>
          <w:szCs w:val="36"/>
          <w:lang w:val="en-GB"/>
        </w:rPr>
      </w:pPr>
      <w:r w:rsidRPr="00DF1E1C">
        <w:rPr>
          <w:sz w:val="36"/>
          <w:szCs w:val="36"/>
          <w:lang w:val="en-GB"/>
        </w:rPr>
        <w:t>Introduction</w:t>
      </w:r>
      <w:r>
        <w:rPr>
          <w:b/>
          <w:sz w:val="36"/>
          <w:szCs w:val="36"/>
          <w:lang w:val="en-GB"/>
        </w:rPr>
        <w:t>...............................................................</w:t>
      </w:r>
      <w:r w:rsidR="00796A88">
        <w:rPr>
          <w:b/>
          <w:sz w:val="36"/>
          <w:szCs w:val="36"/>
          <w:lang w:val="en-GB"/>
        </w:rPr>
        <w:t>.3</w:t>
      </w:r>
    </w:p>
    <w:p w:rsidR="00DF1E1C" w:rsidRDefault="00DF1E1C">
      <w:pPr>
        <w:rPr>
          <w:b/>
          <w:sz w:val="36"/>
          <w:szCs w:val="36"/>
          <w:lang w:val="en-GB"/>
        </w:rPr>
      </w:pPr>
      <w:r w:rsidRPr="00DF1E1C">
        <w:rPr>
          <w:sz w:val="36"/>
          <w:szCs w:val="36"/>
          <w:lang w:val="en-GB"/>
        </w:rPr>
        <w:t>Evaluation of the project</w:t>
      </w:r>
      <w:r>
        <w:rPr>
          <w:b/>
          <w:sz w:val="36"/>
          <w:szCs w:val="36"/>
          <w:lang w:val="en-GB"/>
        </w:rPr>
        <w:t>.............................................</w:t>
      </w:r>
      <w:r w:rsidR="00796A88">
        <w:rPr>
          <w:b/>
          <w:sz w:val="36"/>
          <w:szCs w:val="36"/>
          <w:lang w:val="en-GB"/>
        </w:rPr>
        <w:t>.3</w:t>
      </w:r>
    </w:p>
    <w:p w:rsidR="00AB1732" w:rsidRDefault="002660C3">
      <w:pPr>
        <w:rPr>
          <w:b/>
          <w:sz w:val="36"/>
          <w:szCs w:val="36"/>
          <w:lang w:val="en-GB"/>
        </w:rPr>
      </w:pPr>
      <w:r>
        <w:rPr>
          <w:sz w:val="36"/>
          <w:szCs w:val="36"/>
          <w:lang w:val="en-GB"/>
        </w:rPr>
        <w:t>Time</w:t>
      </w:r>
      <w:r w:rsidR="00AB1732" w:rsidRPr="00AB1732">
        <w:rPr>
          <w:sz w:val="36"/>
          <w:szCs w:val="36"/>
          <w:lang w:val="en-GB"/>
        </w:rPr>
        <w:t>scale of the project</w:t>
      </w:r>
      <w:r w:rsidR="00AB1732">
        <w:rPr>
          <w:b/>
          <w:sz w:val="36"/>
          <w:szCs w:val="36"/>
          <w:lang w:val="en-GB"/>
        </w:rPr>
        <w:t>.............................................</w:t>
      </w:r>
      <w:r w:rsidR="00796A88">
        <w:rPr>
          <w:b/>
          <w:sz w:val="36"/>
          <w:szCs w:val="36"/>
          <w:lang w:val="en-GB"/>
        </w:rPr>
        <w:t>..5</w:t>
      </w:r>
    </w:p>
    <w:p w:rsidR="00DF1E1C" w:rsidRDefault="00DF1E1C">
      <w:pPr>
        <w:rPr>
          <w:b/>
          <w:sz w:val="36"/>
          <w:szCs w:val="36"/>
          <w:lang w:val="en-GB"/>
        </w:rPr>
      </w:pPr>
      <w:r w:rsidRPr="00DF1E1C">
        <w:rPr>
          <w:sz w:val="36"/>
          <w:szCs w:val="36"/>
          <w:lang w:val="en-GB"/>
        </w:rPr>
        <w:t>Conclusion</w:t>
      </w:r>
      <w:r>
        <w:rPr>
          <w:b/>
          <w:sz w:val="36"/>
          <w:szCs w:val="36"/>
          <w:lang w:val="en-GB"/>
        </w:rPr>
        <w:t>..................................</w:t>
      </w:r>
      <w:r w:rsidR="00796A88">
        <w:rPr>
          <w:b/>
          <w:sz w:val="36"/>
          <w:szCs w:val="36"/>
          <w:lang w:val="en-GB"/>
        </w:rPr>
        <w:t>................................</w:t>
      </w:r>
      <w:r>
        <w:rPr>
          <w:b/>
          <w:sz w:val="36"/>
          <w:szCs w:val="36"/>
          <w:lang w:val="en-GB"/>
        </w:rPr>
        <w:t>.</w:t>
      </w:r>
      <w:r w:rsidR="00796A88">
        <w:rPr>
          <w:b/>
          <w:sz w:val="36"/>
          <w:szCs w:val="36"/>
          <w:lang w:val="en-GB"/>
        </w:rPr>
        <w:t>9</w:t>
      </w:r>
    </w:p>
    <w:p w:rsidR="00DF1E1C" w:rsidRDefault="00DF1E1C">
      <w:pPr>
        <w:rPr>
          <w:b/>
          <w:sz w:val="36"/>
          <w:szCs w:val="36"/>
          <w:lang w:val="en-GB"/>
        </w:rPr>
      </w:pPr>
      <w:r w:rsidRPr="00DF1E1C">
        <w:rPr>
          <w:sz w:val="36"/>
          <w:szCs w:val="36"/>
          <w:lang w:val="en-GB"/>
        </w:rPr>
        <w:t>Recommendations</w:t>
      </w:r>
      <w:r>
        <w:rPr>
          <w:b/>
          <w:sz w:val="36"/>
          <w:szCs w:val="36"/>
          <w:lang w:val="en-GB"/>
        </w:rPr>
        <w:t>.......................................................</w:t>
      </w:r>
      <w:r w:rsidR="00796A88">
        <w:rPr>
          <w:b/>
          <w:sz w:val="36"/>
          <w:szCs w:val="36"/>
          <w:lang w:val="en-GB"/>
        </w:rPr>
        <w:t>9</w:t>
      </w:r>
    </w:p>
    <w:p w:rsidR="00DF1E1C" w:rsidRDefault="00DF1E1C">
      <w:pPr>
        <w:rPr>
          <w:b/>
          <w:sz w:val="36"/>
          <w:szCs w:val="36"/>
          <w:lang w:val="en-GB"/>
        </w:rPr>
      </w:pPr>
      <w:r w:rsidRPr="00DF1E1C">
        <w:rPr>
          <w:sz w:val="36"/>
          <w:szCs w:val="36"/>
          <w:lang w:val="en-GB"/>
        </w:rPr>
        <w:t>References</w:t>
      </w:r>
      <w:r>
        <w:rPr>
          <w:b/>
          <w:sz w:val="36"/>
          <w:szCs w:val="36"/>
          <w:lang w:val="en-GB"/>
        </w:rPr>
        <w:t>...................................................................</w:t>
      </w:r>
      <w:r w:rsidR="00796A88">
        <w:rPr>
          <w:b/>
          <w:sz w:val="36"/>
          <w:szCs w:val="36"/>
          <w:lang w:val="en-GB"/>
        </w:rPr>
        <w:t>11</w:t>
      </w:r>
    </w:p>
    <w:p w:rsidR="00DF1E1C" w:rsidRDefault="00DF1E1C">
      <w:pPr>
        <w:rPr>
          <w:b/>
          <w:sz w:val="36"/>
          <w:szCs w:val="36"/>
          <w:lang w:val="en-GB"/>
        </w:rPr>
      </w:pPr>
    </w:p>
    <w:p w:rsidR="00DF1E1C" w:rsidRDefault="00DF1E1C">
      <w:pPr>
        <w:rPr>
          <w:b/>
          <w:sz w:val="36"/>
          <w:szCs w:val="36"/>
          <w:lang w:val="en-GB"/>
        </w:rPr>
      </w:pPr>
    </w:p>
    <w:p w:rsidR="00DF1E1C" w:rsidRDefault="00DF1E1C">
      <w:pPr>
        <w:rPr>
          <w:b/>
          <w:sz w:val="36"/>
          <w:szCs w:val="36"/>
          <w:lang w:val="en-GB"/>
        </w:rPr>
      </w:pPr>
    </w:p>
    <w:p w:rsidR="00DF1E1C" w:rsidRDefault="00DF1E1C">
      <w:pPr>
        <w:rPr>
          <w:b/>
          <w:sz w:val="36"/>
          <w:szCs w:val="36"/>
          <w:lang w:val="en-GB"/>
        </w:rPr>
      </w:pPr>
    </w:p>
    <w:p w:rsidR="00DF1E1C" w:rsidRDefault="00DF1E1C">
      <w:pPr>
        <w:rPr>
          <w:b/>
          <w:sz w:val="36"/>
          <w:szCs w:val="36"/>
          <w:lang w:val="en-GB"/>
        </w:rPr>
      </w:pPr>
    </w:p>
    <w:p w:rsidR="00DF1E1C" w:rsidRDefault="00DF1E1C">
      <w:pPr>
        <w:rPr>
          <w:b/>
          <w:sz w:val="36"/>
          <w:szCs w:val="36"/>
          <w:lang w:val="en-GB"/>
        </w:rPr>
      </w:pPr>
    </w:p>
    <w:p w:rsidR="00DF1E1C" w:rsidRDefault="00DF1E1C">
      <w:pPr>
        <w:rPr>
          <w:b/>
          <w:sz w:val="36"/>
          <w:szCs w:val="36"/>
          <w:lang w:val="en-GB"/>
        </w:rPr>
      </w:pPr>
    </w:p>
    <w:p w:rsidR="00DF1E1C" w:rsidRDefault="00DF1E1C">
      <w:pPr>
        <w:rPr>
          <w:b/>
          <w:sz w:val="36"/>
          <w:szCs w:val="36"/>
          <w:lang w:val="en-GB"/>
        </w:rPr>
      </w:pPr>
    </w:p>
    <w:p w:rsidR="00DF1E1C" w:rsidRDefault="00DF1E1C">
      <w:pPr>
        <w:rPr>
          <w:b/>
          <w:sz w:val="36"/>
          <w:szCs w:val="36"/>
          <w:lang w:val="en-GB"/>
        </w:rPr>
      </w:pPr>
    </w:p>
    <w:p w:rsidR="00DF1E1C" w:rsidRDefault="00DF1E1C">
      <w:pPr>
        <w:rPr>
          <w:b/>
          <w:sz w:val="36"/>
          <w:szCs w:val="36"/>
          <w:lang w:val="en-GB"/>
        </w:rPr>
      </w:pPr>
    </w:p>
    <w:p w:rsidR="00DF1E1C" w:rsidRDefault="00DF1E1C">
      <w:pPr>
        <w:rPr>
          <w:b/>
          <w:sz w:val="36"/>
          <w:szCs w:val="36"/>
          <w:lang w:val="en-GB"/>
        </w:rPr>
      </w:pPr>
    </w:p>
    <w:p w:rsidR="00DF1E1C" w:rsidRDefault="00DF1E1C">
      <w:pPr>
        <w:rPr>
          <w:b/>
          <w:sz w:val="36"/>
          <w:szCs w:val="36"/>
          <w:lang w:val="en-GB"/>
        </w:rPr>
      </w:pPr>
    </w:p>
    <w:p w:rsidR="00DF1E1C" w:rsidRDefault="00DF1E1C">
      <w:pPr>
        <w:rPr>
          <w:b/>
          <w:sz w:val="36"/>
          <w:szCs w:val="36"/>
          <w:lang w:val="en-GB"/>
        </w:rPr>
      </w:pPr>
    </w:p>
    <w:p w:rsidR="00DF1E1C" w:rsidRPr="002B5022" w:rsidRDefault="00DF1E1C" w:rsidP="002B5022">
      <w:pPr>
        <w:pStyle w:val="Heading1"/>
      </w:pPr>
      <w:r w:rsidRPr="002B5022">
        <w:t>Introduction</w:t>
      </w:r>
    </w:p>
    <w:p w:rsidR="00DF1E1C" w:rsidRDefault="00DF1E1C" w:rsidP="00DF1E1C">
      <w:r>
        <w:t xml:space="preserve">Google is getting ready to launch its ground-breaking one-billion-pound project, the new headquarters, which will serve as a tribute to the company's innovative spirit and formidable business acumen in the middle of London's King's Cross district. This architectural masterpiece, which is scheduled to be opened to the public the following year, encompasses over 60,400 square metres and is located next to Kings Cross Station. It will provide homes for 4,500 people over 11 levels, with lively retail areas and an active events and training centre on the ground level(Anderson, 2022). </w:t>
      </w:r>
    </w:p>
    <w:p w:rsidR="00DF1E1C" w:rsidRDefault="00DF1E1C" w:rsidP="00DF1E1C">
      <w:r>
        <w:t xml:space="preserve">Together with the current properties at 6 Pancras Square as well as a prospective third building, this structure constitutes the </w:t>
      </w:r>
      <w:r w:rsidRPr="004D2894">
        <w:rPr>
          <w:lang w:val="en-GB"/>
        </w:rPr>
        <w:t>foundation</w:t>
      </w:r>
      <w:r>
        <w:t xml:space="preserve"> of an expanding Google complex with the capability of housing up to 7,000 personnel (</w:t>
      </w:r>
      <w:r w:rsidRPr="004D2894">
        <w:rPr>
          <w:noProof/>
          <w:lang w:val="en-GB"/>
        </w:rPr>
        <w:t>Gillespies</w:t>
      </w:r>
      <w:r>
        <w:rPr>
          <w:noProof/>
          <w:lang w:val="en-GB"/>
        </w:rPr>
        <w:t>, 2023)</w:t>
      </w:r>
      <w:r>
        <w:t>. This building is the first to be entirely owned and designed by Google outside of the United States. Not only does the development, which is strategically located inside the Knowledge Quarter, represent an important milestone for Google, but it also contributes to King's Cross's thriving knowledge-based economy (BDP, 2023).</w:t>
      </w:r>
    </w:p>
    <w:p w:rsidR="00DF1E1C" w:rsidRDefault="00DF1E1C" w:rsidP="00DF1E1C">
      <w:pPr>
        <w:rPr>
          <w:lang w:val="en-GB"/>
        </w:rPr>
      </w:pPr>
      <w:r>
        <w:t>This paper delves into the domains of budget, management of time, quality assurance, stakeholder involvement, and risk factors to provide an in-depth analysis of important aspects of the Google Headquarters Project. The study will use a practical and logical approach, examining the current status of the endeavour and deriving insights that influence the continued success of this historic endeavour. The evaluation will be characterised by its focus on the current state of the project. The purpose of this review is to give, as it progresses, a comprehensive study of the project's assets and areas for development, and, finally, to conclude with intelligent suggestions for the actualization of Google's ambitious endeavour.</w:t>
      </w:r>
    </w:p>
    <w:p w:rsidR="00AB1732" w:rsidRPr="002B5022" w:rsidRDefault="00AB1732" w:rsidP="002B5022">
      <w:pPr>
        <w:pStyle w:val="Heading1"/>
      </w:pPr>
      <w:bookmarkStart w:id="0" w:name="_Toc150709943"/>
      <w:r w:rsidRPr="002B5022">
        <w:t>Evaluation of the Project</w:t>
      </w:r>
      <w:bookmarkEnd w:id="0"/>
    </w:p>
    <w:p w:rsidR="00AB1732" w:rsidRPr="00A97D39" w:rsidRDefault="00AB1732" w:rsidP="00AB1732">
      <w:r w:rsidRPr="00A97D39">
        <w:t>The Google Headquarters project in King's Cross has undergone several changes since its start. The BIG-Heatherwick Studio Zone A Building, approved by Camden Council, was expected to boost King's Cross Central revitalization. Setbacks, including the three-year delay </w:t>
      </w:r>
      <w:r>
        <w:t>(Hayman, 2014)</w:t>
      </w:r>
      <w:r w:rsidRPr="00A97D39">
        <w:t>, have forced a project reevaluation. Scrapping the original design and revisiting it shows a sophisticated assessment of the project's boundaries and goals.</w:t>
      </w:r>
    </w:p>
    <w:p w:rsidR="00AB1732" w:rsidRPr="002B5022" w:rsidRDefault="00AB1732" w:rsidP="00AB1732">
      <w:pPr>
        <w:pStyle w:val="Heading2"/>
        <w:rPr>
          <w:color w:val="auto"/>
        </w:rPr>
      </w:pPr>
      <w:bookmarkStart w:id="1" w:name="_Toc150709944"/>
      <w:r w:rsidRPr="002B5022">
        <w:rPr>
          <w:color w:val="auto"/>
        </w:rPr>
        <w:t>Objective and Goals</w:t>
      </w:r>
      <w:bookmarkEnd w:id="1"/>
    </w:p>
    <w:p w:rsidR="00AB1732" w:rsidRDefault="00AB1732" w:rsidP="00AB1732">
      <w:pPr>
        <w:pStyle w:val="ListParagraph"/>
        <w:numPr>
          <w:ilvl w:val="0"/>
          <w:numId w:val="1"/>
        </w:numPr>
      </w:pPr>
      <w:r w:rsidRPr="00D16ED1">
        <w:rPr>
          <w:b/>
          <w:bCs/>
        </w:rPr>
        <w:t>Innovation Centre:</w:t>
      </w:r>
      <w:r>
        <w:t xml:space="preserve"> Creating a vibrant innovation centre that will act as the centre of attention for Google's innovative projects and state-of-the-art technology is one of the main objectives. The facility's seven thousand workers are encouraged to collaborate and share ideas to create an atmosphere that is </w:t>
      </w:r>
      <w:proofErr w:type="spellStart"/>
      <w:r>
        <w:t>favourable</w:t>
      </w:r>
      <w:proofErr w:type="spellEnd"/>
      <w:r>
        <w:t xml:space="preserve"> to innovations and technical progress (</w:t>
      </w:r>
      <w:proofErr w:type="spellStart"/>
      <w:r>
        <w:t>Toherud</w:t>
      </w:r>
      <w:proofErr w:type="spellEnd"/>
      <w:r>
        <w:t>, 2023).</w:t>
      </w:r>
    </w:p>
    <w:p w:rsidR="00AB1732" w:rsidRDefault="00AB1732" w:rsidP="00AB1732">
      <w:pPr>
        <w:pStyle w:val="ListParagraph"/>
        <w:numPr>
          <w:ilvl w:val="0"/>
          <w:numId w:val="1"/>
        </w:numPr>
      </w:pPr>
      <w:r w:rsidRPr="00D16ED1">
        <w:rPr>
          <w:b/>
          <w:bCs/>
        </w:rPr>
        <w:lastRenderedPageBreak/>
        <w:t>Optimal Work Environment:</w:t>
      </w:r>
      <w:r>
        <w:t xml:space="preserve"> The project aims to provide an efficient and adaptable work environment with more than 60,400 square </w:t>
      </w:r>
      <w:proofErr w:type="spellStart"/>
      <w:r>
        <w:t>metres</w:t>
      </w:r>
      <w:proofErr w:type="spellEnd"/>
      <w:r>
        <w:t xml:space="preserve"> of premium office space (BDP, 2023). A comprehensive and stimulating work environment is created by including auxiliary areas like cafés, a gym, a multi-use games area (MUGA), and poolside amenities.</w:t>
      </w:r>
      <w:r w:rsidRPr="00A97D39">
        <w:t xml:space="preserve"> Google Headquarters aims to create a creative centre that embodies the company's values </w:t>
      </w:r>
      <w:r>
        <w:t>(Waite, 2021)</w:t>
      </w:r>
      <w:r w:rsidRPr="00A97D39">
        <w:t xml:space="preserve">. </w:t>
      </w:r>
    </w:p>
    <w:p w:rsidR="00AB1732" w:rsidRDefault="00AB1732" w:rsidP="00AB1732">
      <w:pPr>
        <w:pStyle w:val="ListParagraph"/>
        <w:numPr>
          <w:ilvl w:val="0"/>
          <w:numId w:val="1"/>
        </w:numPr>
      </w:pPr>
      <w:r w:rsidRPr="00D16ED1">
        <w:rPr>
          <w:b/>
          <w:bCs/>
        </w:rPr>
        <w:t>Ecological Methods:</w:t>
      </w:r>
      <w:r>
        <w:t xml:space="preserve"> One of the main goals is to include sustainable practices in the building and management of the headquarters. In keeping with Google's commitment to environmental responsibility, the project strives to meet strict requirements for resource conservation, energy efficiency, and eco-friendly design to create a more sustainable and greener urban environment.</w:t>
      </w:r>
    </w:p>
    <w:p w:rsidR="00AB1732" w:rsidRDefault="00AB1732" w:rsidP="00AB1732">
      <w:pPr>
        <w:pStyle w:val="ListParagraph"/>
        <w:numPr>
          <w:ilvl w:val="0"/>
          <w:numId w:val="1"/>
        </w:numPr>
      </w:pPr>
      <w:r w:rsidRPr="00D16ED1">
        <w:rPr>
          <w:b/>
          <w:bCs/>
        </w:rPr>
        <w:t>Contribution to the Knowledge Quarter:</w:t>
      </w:r>
      <w:r>
        <w:t xml:space="preserve"> The project wants to be a major fixture in the Knowledge Quarter and actively support the expanding knowledge-based economy in the region (BDP, 2023). The Google campus aims to create a collaborative environment that will attract talent, encourage local innovation, and play a significant role in King's Cross's economic and intellectual vitality.</w:t>
      </w:r>
    </w:p>
    <w:p w:rsidR="00AB1732" w:rsidRPr="002B5022" w:rsidRDefault="00AB1732" w:rsidP="00AB1732">
      <w:pPr>
        <w:pStyle w:val="Heading2"/>
        <w:rPr>
          <w:color w:val="auto"/>
        </w:rPr>
      </w:pPr>
      <w:bookmarkStart w:id="2" w:name="_Toc150709945"/>
      <w:r w:rsidRPr="002B5022">
        <w:rPr>
          <w:color w:val="auto"/>
        </w:rPr>
        <w:t>Budget</w:t>
      </w:r>
      <w:bookmarkEnd w:id="2"/>
    </w:p>
    <w:p w:rsidR="00AB1732" w:rsidRDefault="00AB1732" w:rsidP="00AB1732">
      <w:pPr>
        <w:rPr>
          <w:lang w:val="en-GB"/>
        </w:rPr>
      </w:pPr>
      <w:r>
        <w:t>A staggering one billion pounds provides the financial foundation for the Google Headquarters Project in London, demonstrating the scope and importance of this undertaking. This large budget covers a wide range of expenses, including building materials, interior design, technology infrastructure, and environmentally friendly elements(Toherud, 2023).</w:t>
      </w:r>
    </w:p>
    <w:p w:rsidR="00AB1732" w:rsidRDefault="00AB1732" w:rsidP="00AB1732">
      <w:pPr>
        <w:rPr>
          <w:lang w:val="en-GB"/>
        </w:rPr>
      </w:pPr>
    </w:p>
    <w:p w:rsidR="00AB1732" w:rsidRPr="002B5022" w:rsidRDefault="00AB1732" w:rsidP="00AB1732">
      <w:pPr>
        <w:rPr>
          <w:b/>
          <w:bCs/>
          <w:sz w:val="24"/>
          <w:szCs w:val="24"/>
        </w:rPr>
      </w:pPr>
      <w:r w:rsidRPr="002B5022">
        <w:rPr>
          <w:b/>
          <w:bCs/>
          <w:sz w:val="24"/>
          <w:szCs w:val="24"/>
        </w:rPr>
        <w:t>Budget Breakdown</w:t>
      </w:r>
    </w:p>
    <w:p w:rsidR="00AB1732" w:rsidRDefault="00AB1732" w:rsidP="00AB1732">
      <w:r>
        <w:t>A thorough budget breakdown is essential for efficient money management. This table illustrates the approximate distribution of money among the major project categories:</w:t>
      </w:r>
    </w:p>
    <w:p w:rsidR="00AB1732" w:rsidRDefault="00AB1732" w:rsidP="00AB1732">
      <w:r>
        <w:t>Source: Author</w:t>
      </w:r>
    </w:p>
    <w:tbl>
      <w:tblPr>
        <w:tblStyle w:val="GridTable3Accent6"/>
        <w:tblW w:w="0" w:type="auto"/>
        <w:tblLook w:val="04A0"/>
      </w:tblPr>
      <w:tblGrid>
        <w:gridCol w:w="4646"/>
        <w:gridCol w:w="4642"/>
      </w:tblGrid>
      <w:tr w:rsidR="00AB1732" w:rsidRPr="00A671E4" w:rsidTr="000635D9">
        <w:trPr>
          <w:cnfStyle w:val="100000000000"/>
        </w:trPr>
        <w:tc>
          <w:tcPr>
            <w:cnfStyle w:val="001000000100"/>
            <w:tcW w:w="4675" w:type="dxa"/>
          </w:tcPr>
          <w:p w:rsidR="00AB1732" w:rsidRPr="00D16ED1" w:rsidRDefault="00AB1732" w:rsidP="000635D9">
            <w:pPr>
              <w:rPr>
                <w:color w:val="984806" w:themeColor="accent6" w:themeShade="80"/>
              </w:rPr>
            </w:pPr>
            <w:r w:rsidRPr="00D16ED1">
              <w:rPr>
                <w:color w:val="984806" w:themeColor="accent6" w:themeShade="80"/>
              </w:rPr>
              <w:t>Category</w:t>
            </w:r>
          </w:p>
        </w:tc>
        <w:tc>
          <w:tcPr>
            <w:tcW w:w="4675" w:type="dxa"/>
          </w:tcPr>
          <w:p w:rsidR="00AB1732" w:rsidRPr="00D16ED1" w:rsidRDefault="00AB1732" w:rsidP="000635D9">
            <w:pPr>
              <w:cnfStyle w:val="100000000000"/>
              <w:rPr>
                <w:color w:val="984806" w:themeColor="accent6" w:themeShade="80"/>
              </w:rPr>
            </w:pPr>
            <w:r w:rsidRPr="00D16ED1">
              <w:rPr>
                <w:color w:val="984806" w:themeColor="accent6" w:themeShade="80"/>
              </w:rPr>
              <w:t>Estimated Budget Allocation (in millions)</w:t>
            </w:r>
          </w:p>
        </w:tc>
      </w:tr>
      <w:tr w:rsidR="00AB1732" w:rsidRPr="00A671E4" w:rsidTr="000635D9">
        <w:trPr>
          <w:cnfStyle w:val="000000100000"/>
        </w:trPr>
        <w:tc>
          <w:tcPr>
            <w:cnfStyle w:val="001000000000"/>
            <w:tcW w:w="4675" w:type="dxa"/>
          </w:tcPr>
          <w:p w:rsidR="00AB1732" w:rsidRPr="00D16ED1" w:rsidRDefault="00AB1732" w:rsidP="000635D9">
            <w:pPr>
              <w:rPr>
                <w:color w:val="984806" w:themeColor="accent6" w:themeShade="80"/>
              </w:rPr>
            </w:pPr>
            <w:r w:rsidRPr="00D16ED1">
              <w:rPr>
                <w:color w:val="984806" w:themeColor="accent6" w:themeShade="80"/>
              </w:rPr>
              <w:t xml:space="preserve">Construction                    </w:t>
            </w:r>
          </w:p>
        </w:tc>
        <w:tc>
          <w:tcPr>
            <w:tcW w:w="4675" w:type="dxa"/>
          </w:tcPr>
          <w:p w:rsidR="00AB1732" w:rsidRPr="00D16ED1" w:rsidRDefault="00AB1732" w:rsidP="000635D9">
            <w:pPr>
              <w:cnfStyle w:val="000000100000"/>
              <w:rPr>
                <w:color w:val="984806" w:themeColor="accent6" w:themeShade="80"/>
              </w:rPr>
            </w:pPr>
            <w:r w:rsidRPr="00D16ED1">
              <w:rPr>
                <w:color w:val="984806" w:themeColor="accent6" w:themeShade="80"/>
              </w:rPr>
              <w:t xml:space="preserve">£500                                    </w:t>
            </w:r>
          </w:p>
        </w:tc>
      </w:tr>
      <w:tr w:rsidR="00AB1732" w:rsidRPr="00A671E4" w:rsidTr="000635D9">
        <w:tc>
          <w:tcPr>
            <w:cnfStyle w:val="001000000000"/>
            <w:tcW w:w="4675" w:type="dxa"/>
          </w:tcPr>
          <w:p w:rsidR="00AB1732" w:rsidRPr="00D16ED1" w:rsidRDefault="00AB1732" w:rsidP="000635D9">
            <w:pPr>
              <w:rPr>
                <w:color w:val="984806" w:themeColor="accent6" w:themeShade="80"/>
              </w:rPr>
            </w:pPr>
            <w:r w:rsidRPr="00D16ED1">
              <w:rPr>
                <w:color w:val="984806" w:themeColor="accent6" w:themeShade="80"/>
              </w:rPr>
              <w:t xml:space="preserve">Technological Infrastructure     </w:t>
            </w:r>
          </w:p>
        </w:tc>
        <w:tc>
          <w:tcPr>
            <w:tcW w:w="4675" w:type="dxa"/>
          </w:tcPr>
          <w:p w:rsidR="00AB1732" w:rsidRPr="00D16ED1" w:rsidRDefault="00AB1732" w:rsidP="000635D9">
            <w:pPr>
              <w:cnfStyle w:val="000000000000"/>
              <w:rPr>
                <w:color w:val="984806" w:themeColor="accent6" w:themeShade="80"/>
              </w:rPr>
            </w:pPr>
            <w:r w:rsidRPr="00D16ED1">
              <w:rPr>
                <w:color w:val="984806" w:themeColor="accent6" w:themeShade="80"/>
              </w:rPr>
              <w:t xml:space="preserve">£150 </w:t>
            </w:r>
          </w:p>
        </w:tc>
      </w:tr>
      <w:tr w:rsidR="00AB1732" w:rsidRPr="00A671E4" w:rsidTr="000635D9">
        <w:trPr>
          <w:cnfStyle w:val="000000100000"/>
        </w:trPr>
        <w:tc>
          <w:tcPr>
            <w:cnfStyle w:val="001000000000"/>
            <w:tcW w:w="4675" w:type="dxa"/>
          </w:tcPr>
          <w:p w:rsidR="00AB1732" w:rsidRPr="00D16ED1" w:rsidRDefault="00AB1732" w:rsidP="000635D9">
            <w:pPr>
              <w:rPr>
                <w:color w:val="984806" w:themeColor="accent6" w:themeShade="80"/>
              </w:rPr>
            </w:pPr>
            <w:r w:rsidRPr="00D16ED1">
              <w:rPr>
                <w:color w:val="984806" w:themeColor="accent6" w:themeShade="80"/>
              </w:rPr>
              <w:t xml:space="preserve">Interior Design                 </w:t>
            </w:r>
          </w:p>
        </w:tc>
        <w:tc>
          <w:tcPr>
            <w:tcW w:w="4675" w:type="dxa"/>
          </w:tcPr>
          <w:p w:rsidR="00AB1732" w:rsidRPr="00D16ED1" w:rsidRDefault="00AB1732" w:rsidP="000635D9">
            <w:pPr>
              <w:cnfStyle w:val="000000100000"/>
              <w:rPr>
                <w:color w:val="984806" w:themeColor="accent6" w:themeShade="80"/>
              </w:rPr>
            </w:pPr>
            <w:r w:rsidRPr="00D16ED1">
              <w:rPr>
                <w:color w:val="984806" w:themeColor="accent6" w:themeShade="80"/>
              </w:rPr>
              <w:t>£80</w:t>
            </w:r>
          </w:p>
        </w:tc>
      </w:tr>
      <w:tr w:rsidR="00AB1732" w:rsidRPr="00A671E4" w:rsidTr="000635D9">
        <w:tc>
          <w:tcPr>
            <w:cnfStyle w:val="001000000000"/>
            <w:tcW w:w="4675" w:type="dxa"/>
          </w:tcPr>
          <w:p w:rsidR="00AB1732" w:rsidRPr="00D16ED1" w:rsidRDefault="00AB1732" w:rsidP="000635D9">
            <w:pPr>
              <w:rPr>
                <w:color w:val="984806" w:themeColor="accent6" w:themeShade="80"/>
              </w:rPr>
            </w:pPr>
            <w:r w:rsidRPr="00D16ED1">
              <w:rPr>
                <w:color w:val="984806" w:themeColor="accent6" w:themeShade="80"/>
              </w:rPr>
              <w:t xml:space="preserve">Sustainable Features             </w:t>
            </w:r>
          </w:p>
        </w:tc>
        <w:tc>
          <w:tcPr>
            <w:tcW w:w="4675" w:type="dxa"/>
          </w:tcPr>
          <w:p w:rsidR="00AB1732" w:rsidRPr="00D16ED1" w:rsidRDefault="00AB1732" w:rsidP="000635D9">
            <w:pPr>
              <w:cnfStyle w:val="000000000000"/>
              <w:rPr>
                <w:color w:val="984806" w:themeColor="accent6" w:themeShade="80"/>
              </w:rPr>
            </w:pPr>
            <w:r w:rsidRPr="00D16ED1">
              <w:rPr>
                <w:color w:val="984806" w:themeColor="accent6" w:themeShade="80"/>
              </w:rPr>
              <w:t>£70</w:t>
            </w:r>
          </w:p>
        </w:tc>
      </w:tr>
      <w:tr w:rsidR="00AB1732" w:rsidRPr="00A671E4" w:rsidTr="000635D9">
        <w:trPr>
          <w:cnfStyle w:val="000000100000"/>
        </w:trPr>
        <w:tc>
          <w:tcPr>
            <w:cnfStyle w:val="001000000000"/>
            <w:tcW w:w="4675" w:type="dxa"/>
          </w:tcPr>
          <w:p w:rsidR="00AB1732" w:rsidRPr="00D16ED1" w:rsidRDefault="00AB1732" w:rsidP="000635D9">
            <w:pPr>
              <w:rPr>
                <w:color w:val="984806" w:themeColor="accent6" w:themeShade="80"/>
              </w:rPr>
            </w:pPr>
            <w:r w:rsidRPr="00D16ED1">
              <w:rPr>
                <w:color w:val="984806" w:themeColor="accent6" w:themeShade="80"/>
              </w:rPr>
              <w:t xml:space="preserve">Contingency                      </w:t>
            </w:r>
          </w:p>
        </w:tc>
        <w:tc>
          <w:tcPr>
            <w:tcW w:w="4675" w:type="dxa"/>
          </w:tcPr>
          <w:p w:rsidR="00AB1732" w:rsidRPr="00D16ED1" w:rsidRDefault="00AB1732" w:rsidP="000635D9">
            <w:pPr>
              <w:cnfStyle w:val="000000100000"/>
              <w:rPr>
                <w:color w:val="984806" w:themeColor="accent6" w:themeShade="80"/>
              </w:rPr>
            </w:pPr>
            <w:r w:rsidRPr="00D16ED1">
              <w:rPr>
                <w:color w:val="984806" w:themeColor="accent6" w:themeShade="80"/>
              </w:rPr>
              <w:t xml:space="preserve">£100 </w:t>
            </w:r>
          </w:p>
        </w:tc>
      </w:tr>
      <w:tr w:rsidR="00AB1732" w:rsidRPr="00A671E4" w:rsidTr="000635D9">
        <w:tc>
          <w:tcPr>
            <w:cnfStyle w:val="001000000000"/>
            <w:tcW w:w="4675" w:type="dxa"/>
          </w:tcPr>
          <w:p w:rsidR="00AB1732" w:rsidRPr="00D16ED1" w:rsidRDefault="00AB1732" w:rsidP="000635D9">
            <w:pPr>
              <w:rPr>
                <w:color w:val="984806" w:themeColor="accent6" w:themeShade="80"/>
              </w:rPr>
            </w:pPr>
            <w:r w:rsidRPr="00D16ED1">
              <w:rPr>
                <w:color w:val="984806" w:themeColor="accent6" w:themeShade="80"/>
              </w:rPr>
              <w:t xml:space="preserve">Miscellaneous            </w:t>
            </w:r>
          </w:p>
        </w:tc>
        <w:tc>
          <w:tcPr>
            <w:tcW w:w="4675" w:type="dxa"/>
          </w:tcPr>
          <w:p w:rsidR="00AB1732" w:rsidRPr="00D16ED1" w:rsidRDefault="00AB1732" w:rsidP="000635D9">
            <w:pPr>
              <w:cnfStyle w:val="000000000000"/>
              <w:rPr>
                <w:color w:val="984806" w:themeColor="accent6" w:themeShade="80"/>
              </w:rPr>
            </w:pPr>
            <w:r w:rsidRPr="00D16ED1">
              <w:rPr>
                <w:color w:val="984806" w:themeColor="accent6" w:themeShade="80"/>
              </w:rPr>
              <w:t xml:space="preserve">£100 </w:t>
            </w:r>
          </w:p>
        </w:tc>
      </w:tr>
      <w:tr w:rsidR="00AB1732" w:rsidTr="000635D9">
        <w:trPr>
          <w:cnfStyle w:val="000000100000"/>
        </w:trPr>
        <w:tc>
          <w:tcPr>
            <w:cnfStyle w:val="001000000000"/>
            <w:tcW w:w="4675" w:type="dxa"/>
          </w:tcPr>
          <w:p w:rsidR="00AB1732" w:rsidRPr="00D16ED1" w:rsidRDefault="00AB1732" w:rsidP="000635D9">
            <w:pPr>
              <w:rPr>
                <w:color w:val="984806" w:themeColor="accent6" w:themeShade="80"/>
              </w:rPr>
            </w:pPr>
            <w:r w:rsidRPr="00D16ED1">
              <w:rPr>
                <w:color w:val="984806" w:themeColor="accent6" w:themeShade="80"/>
              </w:rPr>
              <w:t xml:space="preserve">Total                            </w:t>
            </w:r>
          </w:p>
        </w:tc>
        <w:tc>
          <w:tcPr>
            <w:tcW w:w="4675" w:type="dxa"/>
          </w:tcPr>
          <w:p w:rsidR="00AB1732" w:rsidRPr="00D16ED1" w:rsidRDefault="00AB1732" w:rsidP="000635D9">
            <w:pPr>
              <w:cnfStyle w:val="000000100000"/>
              <w:rPr>
                <w:color w:val="984806" w:themeColor="accent6" w:themeShade="80"/>
              </w:rPr>
            </w:pPr>
            <w:r w:rsidRPr="00D16ED1">
              <w:rPr>
                <w:color w:val="984806" w:themeColor="accent6" w:themeShade="80"/>
              </w:rPr>
              <w:t xml:space="preserve">£1,000   </w:t>
            </w:r>
          </w:p>
        </w:tc>
      </w:tr>
      <w:tr w:rsidR="00AB1732" w:rsidTr="000635D9">
        <w:tc>
          <w:tcPr>
            <w:cnfStyle w:val="001000000000"/>
            <w:tcW w:w="4675" w:type="dxa"/>
          </w:tcPr>
          <w:p w:rsidR="00AB1732" w:rsidRPr="00D16ED1" w:rsidRDefault="00AB1732" w:rsidP="000635D9">
            <w:pPr>
              <w:rPr>
                <w:color w:val="984806" w:themeColor="accent6" w:themeShade="80"/>
              </w:rPr>
            </w:pPr>
          </w:p>
        </w:tc>
        <w:tc>
          <w:tcPr>
            <w:tcW w:w="4675" w:type="dxa"/>
          </w:tcPr>
          <w:p w:rsidR="00AB1732" w:rsidRPr="00D16ED1" w:rsidRDefault="00AB1732" w:rsidP="000635D9">
            <w:pPr>
              <w:cnfStyle w:val="000000000000"/>
              <w:rPr>
                <w:color w:val="984806" w:themeColor="accent6" w:themeShade="80"/>
              </w:rPr>
            </w:pPr>
          </w:p>
        </w:tc>
      </w:tr>
    </w:tbl>
    <w:p w:rsidR="00AB1732" w:rsidRDefault="00AB1732" w:rsidP="00AB1732"/>
    <w:p w:rsidR="00AB1732" w:rsidRDefault="00AB1732" w:rsidP="00AB1732">
      <w:pPr>
        <w:rPr>
          <w:lang w:val="en-GB"/>
        </w:rPr>
      </w:pPr>
    </w:p>
    <w:p w:rsidR="00AB1732" w:rsidRDefault="00AB1732" w:rsidP="00AB1732">
      <w:pPr>
        <w:pStyle w:val="ListParagraph"/>
        <w:numPr>
          <w:ilvl w:val="0"/>
          <w:numId w:val="2"/>
        </w:numPr>
      </w:pPr>
      <w:r w:rsidRPr="00D16ED1">
        <w:rPr>
          <w:b/>
          <w:bCs/>
        </w:rPr>
        <w:t>Construction (50%):</w:t>
      </w:r>
      <w:r>
        <w:t xml:space="preserve"> Site planning, architectural design, and the actual building construction account for the majority of the expenditure, about £500 million.</w:t>
      </w:r>
    </w:p>
    <w:p w:rsidR="00AB1732" w:rsidRDefault="00AB1732" w:rsidP="00AB1732">
      <w:pPr>
        <w:pStyle w:val="ListParagraph"/>
        <w:numPr>
          <w:ilvl w:val="0"/>
          <w:numId w:val="2"/>
        </w:numPr>
      </w:pPr>
      <w:r w:rsidRPr="00D16ED1">
        <w:rPr>
          <w:b/>
          <w:bCs/>
        </w:rPr>
        <w:t>Technical Infrastructure:</w:t>
      </w:r>
      <w:r>
        <w:t xml:space="preserve"> 15% of the Total £150 million is set aside for state-of-the-art technology infrastructure, such as sophisticated networking, safety measures, and cutting-edge communication tools, reflecting Google's tech-centric attitude.</w:t>
      </w:r>
    </w:p>
    <w:p w:rsidR="00AB1732" w:rsidRDefault="00AB1732" w:rsidP="00AB1732">
      <w:pPr>
        <w:pStyle w:val="ListParagraph"/>
        <w:numPr>
          <w:ilvl w:val="0"/>
          <w:numId w:val="2"/>
        </w:numPr>
      </w:pPr>
      <w:r w:rsidRPr="00D16ED1">
        <w:rPr>
          <w:b/>
          <w:bCs/>
        </w:rPr>
        <w:t>Furniture Design (8%):</w:t>
      </w:r>
      <w:r>
        <w:t xml:space="preserve"> A total of £80 million has been allocated towards creating a visually appealing and well-functioning interior area that complements the corporate environment of Google and fosters the welfare of its workforce.</w:t>
      </w:r>
    </w:p>
    <w:p w:rsidR="00AB1732" w:rsidRDefault="00AB1732" w:rsidP="00AB1732">
      <w:pPr>
        <w:pStyle w:val="ListParagraph"/>
        <w:numPr>
          <w:ilvl w:val="0"/>
          <w:numId w:val="2"/>
        </w:numPr>
      </w:pPr>
      <w:r w:rsidRPr="00D16ED1">
        <w:rPr>
          <w:b/>
          <w:bCs/>
        </w:rPr>
        <w:t>Resilient Elements (7%):</w:t>
      </w:r>
      <w:r>
        <w:t xml:space="preserve"> Google has committed £70 million to energy-efficient technology, green construction practices, and environmentally friendly projects as part of its sustainability efforts.</w:t>
      </w:r>
    </w:p>
    <w:p w:rsidR="00AB1732" w:rsidRDefault="00AB1732" w:rsidP="00AB1732">
      <w:pPr>
        <w:pStyle w:val="ListParagraph"/>
        <w:numPr>
          <w:ilvl w:val="0"/>
          <w:numId w:val="2"/>
        </w:numPr>
      </w:pPr>
      <w:r w:rsidRPr="00D16ED1">
        <w:rPr>
          <w:b/>
          <w:bCs/>
        </w:rPr>
        <w:t>Survival and Others (20%):</w:t>
      </w:r>
      <w:r>
        <w:t xml:space="preserve"> A fund for contingencies of £100 million has been allocated to handle unanticipated obstacles or extra needs that can come up throughout the project.</w:t>
      </w:r>
    </w:p>
    <w:p w:rsidR="00AB1732" w:rsidRPr="002B5022" w:rsidRDefault="00AB1732" w:rsidP="00AB1732">
      <w:pPr>
        <w:pStyle w:val="Heading2"/>
        <w:rPr>
          <w:color w:val="auto"/>
          <w:sz w:val="36"/>
          <w:szCs w:val="36"/>
        </w:rPr>
      </w:pPr>
      <w:bookmarkStart w:id="3" w:name="_Toc150709946"/>
      <w:r w:rsidRPr="002B5022">
        <w:rPr>
          <w:color w:val="auto"/>
          <w:sz w:val="36"/>
          <w:szCs w:val="36"/>
        </w:rPr>
        <w:t>Timescale of the Project</w:t>
      </w:r>
      <w:bookmarkEnd w:id="3"/>
    </w:p>
    <w:p w:rsidR="00AB1732" w:rsidRDefault="00AB1732" w:rsidP="00AB1732">
      <w:pPr>
        <w:rPr>
          <w:lang w:val="en-GB"/>
        </w:rPr>
      </w:pPr>
      <w:r w:rsidRPr="00A97D39">
        <w:t>Due to major delays, the project is not projected to begin construction until at least 2017—three years later than originally anticipated (</w:t>
      </w:r>
      <w:r>
        <w:t>Hayman, 2014)</w:t>
      </w:r>
      <w:r w:rsidRPr="00A97D39">
        <w:t>. This interruption, together with the two-year evaluation of Google's large-scale initiatives, highlights the difficulties in sticking to the original schedule.</w:t>
      </w:r>
      <w:r>
        <w:t>With the ambitious scope and size of this one-billion-pound undertaking, the Google Headquarters Project in London has significant temporal implications. The planned schedule, which calls for an expected inauguration the following year, represents a quick and effective development procedure. However, to identify the project's historical strengths and possible obstacles, a thorough assessment is necessary.</w:t>
      </w:r>
    </w:p>
    <w:p w:rsidR="00AB1732" w:rsidRPr="002B5022" w:rsidRDefault="00AB1732" w:rsidP="00AB1732">
      <w:pPr>
        <w:rPr>
          <w:b/>
          <w:bCs/>
          <w:iCs/>
          <w:sz w:val="24"/>
          <w:szCs w:val="24"/>
        </w:rPr>
      </w:pPr>
      <w:r w:rsidRPr="002B5022">
        <w:rPr>
          <w:b/>
          <w:bCs/>
          <w:iCs/>
          <w:sz w:val="24"/>
          <w:szCs w:val="24"/>
        </w:rPr>
        <w:t>Strengths</w:t>
      </w:r>
    </w:p>
    <w:p w:rsidR="00AB1732" w:rsidRDefault="00AB1732" w:rsidP="00AB1732">
      <w:pPr>
        <w:pStyle w:val="ListParagraph"/>
        <w:numPr>
          <w:ilvl w:val="0"/>
          <w:numId w:val="3"/>
        </w:numPr>
      </w:pPr>
      <w:r w:rsidRPr="005A4D53">
        <w:rPr>
          <w:b/>
          <w:bCs/>
        </w:rPr>
        <w:t>Programmatic Strategy:</w:t>
      </w:r>
      <w:r>
        <w:t xml:space="preserve"> The short timetable implies careful planning, with activities strategically ordered to accelerate construction and readiness for </w:t>
      </w:r>
      <w:proofErr w:type="gramStart"/>
      <w:r>
        <w:t>operation</w:t>
      </w:r>
      <w:r w:rsidRPr="00A87C90">
        <w:t>(</w:t>
      </w:r>
      <w:proofErr w:type="spellStart"/>
      <w:proofErr w:type="gramEnd"/>
      <w:r w:rsidRPr="007D695F">
        <w:rPr>
          <w:rFonts w:eastAsia="Times New Roman" w:cs="Times New Roman"/>
          <w:kern w:val="0"/>
          <w:szCs w:val="24"/>
          <w:lang w:val="en-GB"/>
        </w:rPr>
        <w:t>Heagney</w:t>
      </w:r>
      <w:proofErr w:type="spellEnd"/>
      <w:r w:rsidRPr="00A87C90">
        <w:t>, 201</w:t>
      </w:r>
      <w:r>
        <w:t>6</w:t>
      </w:r>
      <w:r w:rsidRPr="00A87C90">
        <w:t>)</w:t>
      </w:r>
      <w:r>
        <w:t xml:space="preserve">. This demonstrates a project management methodology designed to reduce delays and </w:t>
      </w:r>
      <w:proofErr w:type="spellStart"/>
      <w:r>
        <w:t>maximise</w:t>
      </w:r>
      <w:proofErr w:type="spellEnd"/>
      <w:r>
        <w:t xml:space="preserve"> productivity.</w:t>
      </w:r>
    </w:p>
    <w:p w:rsidR="00AB1732" w:rsidRDefault="00AB1732" w:rsidP="00AB1732">
      <w:pPr>
        <w:pStyle w:val="ListParagraph"/>
        <w:numPr>
          <w:ilvl w:val="0"/>
          <w:numId w:val="3"/>
        </w:numPr>
      </w:pPr>
      <w:r w:rsidRPr="005A4D53">
        <w:rPr>
          <w:b/>
          <w:bCs/>
        </w:rPr>
        <w:t>External Factor Mitigation:</w:t>
      </w:r>
      <w:r>
        <w:t> Due to the project's quick pace, external influences like market or regulatory changes can have less of an effect since the project will be completed in a reasonable amount of time.</w:t>
      </w:r>
    </w:p>
    <w:p w:rsidR="00AB1732" w:rsidRPr="002B5022" w:rsidRDefault="00AB1732" w:rsidP="00AB1732">
      <w:pPr>
        <w:rPr>
          <w:b/>
          <w:bCs/>
          <w:iCs/>
          <w:sz w:val="24"/>
          <w:szCs w:val="24"/>
        </w:rPr>
      </w:pPr>
      <w:r w:rsidRPr="002B5022">
        <w:rPr>
          <w:b/>
          <w:bCs/>
          <w:iCs/>
          <w:sz w:val="24"/>
          <w:szCs w:val="24"/>
        </w:rPr>
        <w:t>Challenges</w:t>
      </w:r>
    </w:p>
    <w:p w:rsidR="00AB1732" w:rsidRDefault="00AB1732" w:rsidP="00AB1732">
      <w:pPr>
        <w:pStyle w:val="ListParagraph"/>
        <w:numPr>
          <w:ilvl w:val="0"/>
          <w:numId w:val="4"/>
        </w:numPr>
      </w:pPr>
      <w:r w:rsidRPr="005A4D53">
        <w:rPr>
          <w:b/>
          <w:bCs/>
        </w:rPr>
        <w:lastRenderedPageBreak/>
        <w:t>Quality Compromise Risk:</w:t>
      </w:r>
      <w:r>
        <w:t xml:space="preserve"> It could be difficult to maintain the highest levels of quality in building and design due to the accelerated timetable. Hasty procedures </w:t>
      </w:r>
      <w:proofErr w:type="spellStart"/>
      <w:r>
        <w:t>canjeopardise</w:t>
      </w:r>
      <w:proofErr w:type="spellEnd"/>
      <w:r>
        <w:t xml:space="preserve"> the painstaking attention to detail needed for a job of this size. </w:t>
      </w:r>
    </w:p>
    <w:p w:rsidR="00AB1732" w:rsidRDefault="00AB1732" w:rsidP="00AB1732">
      <w:pPr>
        <w:pStyle w:val="ListParagraph"/>
        <w:numPr>
          <w:ilvl w:val="0"/>
          <w:numId w:val="4"/>
        </w:numPr>
      </w:pPr>
      <w:r w:rsidRPr="005A4D53">
        <w:rPr>
          <w:b/>
          <w:bCs/>
        </w:rPr>
        <w:t>Aligning Stakeholders:</w:t>
      </w:r>
      <w:r>
        <w:t xml:space="preserve"> Fast deadlines can sometimes make it difficult to communicate with stakeholders and stay in alignment, which might lead to misunderstandings or a departure from the project's original </w:t>
      </w:r>
      <w:proofErr w:type="gramStart"/>
      <w:r>
        <w:t>objectives</w:t>
      </w:r>
      <w:r w:rsidRPr="00A87C90">
        <w:t>(</w:t>
      </w:r>
      <w:proofErr w:type="spellStart"/>
      <w:proofErr w:type="gramEnd"/>
      <w:r w:rsidRPr="00A87C90">
        <w:t>Loosemore</w:t>
      </w:r>
      <w:proofErr w:type="spellEnd"/>
      <w:r w:rsidRPr="00A87C90">
        <w:t xml:space="preserve"> et al., 2013)</w:t>
      </w:r>
      <w:r>
        <w:t>.</w:t>
      </w:r>
    </w:p>
    <w:p w:rsidR="00AB1732" w:rsidRPr="002B5022" w:rsidRDefault="00AB1732" w:rsidP="00AB1732">
      <w:pPr>
        <w:pStyle w:val="Heading2"/>
        <w:rPr>
          <w:color w:val="auto"/>
          <w:sz w:val="32"/>
          <w:szCs w:val="32"/>
        </w:rPr>
      </w:pPr>
      <w:bookmarkStart w:id="4" w:name="_Toc150709947"/>
      <w:r w:rsidRPr="002B5022">
        <w:rPr>
          <w:color w:val="auto"/>
          <w:sz w:val="32"/>
          <w:szCs w:val="32"/>
        </w:rPr>
        <w:t>Quality Standards</w:t>
      </w:r>
      <w:bookmarkEnd w:id="4"/>
    </w:p>
    <w:p w:rsidR="00AB1732" w:rsidRPr="00570F4B" w:rsidRDefault="00AB1732" w:rsidP="00AB1732">
      <w:r w:rsidRPr="00570F4B">
        <w:t>Camden Council, developers such as Argent, architects such as BIG and Heatherwick Studio, and a variety of engineering and landscaping experts are among the project's stakeholders. Google employees' recent demonstrations bring attention to the importance of internal stakeholders and raise issues with union representation and layoffs(</w:t>
      </w:r>
      <w:r>
        <w:t>Fletcher, 2023</w:t>
      </w:r>
      <w:r w:rsidRPr="00570F4B">
        <w:t>).</w:t>
      </w:r>
    </w:p>
    <w:p w:rsidR="00AB1732" w:rsidRDefault="00AB1732" w:rsidP="00AB1732">
      <w:r w:rsidRPr="00647B8E">
        <w:rPr>
          <w:b/>
          <w:bCs/>
        </w:rPr>
        <w:t>Excellent Design:</w:t>
      </w:r>
      <w:r>
        <w:t xml:space="preserve"> The project plan shows that design excellence is a means of achieving quality. The architectural concept is in line with Google's values, resulting in a workplace that supports innovation and collaboration in addition to meeting utilitarian demands(Adamson, 2022). A comprehensive commitment to design quality is shown by the consideration of principles of ergonomics and the integration of sustainable elements.</w:t>
      </w:r>
    </w:p>
    <w:p w:rsidR="00AB1732" w:rsidRDefault="00AB1732" w:rsidP="00AB1732">
      <w:r w:rsidRPr="00647B8E">
        <w:rPr>
          <w:b/>
          <w:bCs/>
        </w:rPr>
        <w:t>Building Guidelines</w:t>
      </w:r>
      <w:r>
        <w:t>: A realistic evaluation of the construction plan highlights commitment to building standards that are on par with or better than industry norms</w:t>
      </w:r>
      <w:r w:rsidRPr="00573980">
        <w:t xml:space="preserve">(Lessard </w:t>
      </w:r>
      <w:r>
        <w:t>and</w:t>
      </w:r>
      <w:r w:rsidRPr="00573980">
        <w:t xml:space="preserve"> Miller, 2011)</w:t>
      </w:r>
      <w:r>
        <w:t>. The design shows a dedication to its strength and longevity by outlining strict construction procedures, following building rules, and using high-quality materials.</w:t>
      </w:r>
    </w:p>
    <w:p w:rsidR="00AB1732" w:rsidRDefault="00AB1732" w:rsidP="00AB1732">
      <w:r w:rsidRPr="00647B8E">
        <w:rPr>
          <w:b/>
          <w:bCs/>
        </w:rPr>
        <w:t>Technical Coordination:</w:t>
      </w:r>
      <w:r>
        <w:t xml:space="preserve"> The project's focus on IT infrastructure demonstrates a sensible approach to quality. The strategy allows a substantial amount of funds for innovative technologies, guaranteeing that the corporate office is outfitted with the most recent systems for connection, security, and communication (</w:t>
      </w:r>
      <w:r w:rsidRPr="00766CED">
        <w:rPr>
          <w:rFonts w:cs="Times New Roman"/>
          <w:noProof/>
          <w:color w:val="000000" w:themeColor="text1"/>
          <w:lang w:val="en-GB"/>
        </w:rPr>
        <w:t>Reuters</w:t>
      </w:r>
      <w:r>
        <w:rPr>
          <w:rFonts w:cs="Times New Roman"/>
          <w:noProof/>
          <w:color w:val="000000" w:themeColor="text1"/>
          <w:lang w:val="en-GB"/>
        </w:rPr>
        <w:t>, 2022)</w:t>
      </w:r>
      <w:r>
        <w:t>. This improves overall quality and operational efficiency.</w:t>
      </w:r>
    </w:p>
    <w:p w:rsidR="00AB1732" w:rsidRDefault="00AB1732" w:rsidP="00AB1732">
      <w:r>
        <w:rPr>
          <w:b/>
          <w:bCs/>
        </w:rPr>
        <w:t>Sustainable Considerations</w:t>
      </w:r>
      <w:r w:rsidRPr="00647B8E">
        <w:rPr>
          <w:b/>
          <w:bCs/>
        </w:rPr>
        <w:t>:</w:t>
      </w:r>
      <w:r>
        <w:t xml:space="preserve"> One notable example of the construction plan's dedication to excellence is the integration of sustainable elements</w:t>
      </w:r>
      <w:r w:rsidRPr="00573980">
        <w:t>(</w:t>
      </w:r>
      <w:proofErr w:type="spellStart"/>
      <w:r w:rsidRPr="00C83235">
        <w:rPr>
          <w:rFonts w:eastAsia="Times New Roman" w:cs="Times New Roman"/>
          <w:szCs w:val="24"/>
          <w:lang w:val="en-GB"/>
        </w:rPr>
        <w:t>Kibert</w:t>
      </w:r>
      <w:proofErr w:type="spellEnd"/>
      <w:r w:rsidRPr="00573980">
        <w:t xml:space="preserve">, </w:t>
      </w:r>
      <w:r>
        <w:t>2016</w:t>
      </w:r>
      <w:r w:rsidRPr="00573980">
        <w:t>)</w:t>
      </w:r>
      <w:r>
        <w:t>. The proposal conforms to modern requirements for ecologically responsible construction, including energy-efficient technology and eco-friendly design elements that will contribute to a green and future-proof office.</w:t>
      </w:r>
    </w:p>
    <w:p w:rsidR="00AB1732" w:rsidRPr="002B5022" w:rsidRDefault="00AB1732" w:rsidP="00AB1732">
      <w:pPr>
        <w:pStyle w:val="Heading2"/>
        <w:rPr>
          <w:color w:val="auto"/>
          <w:sz w:val="24"/>
          <w:szCs w:val="24"/>
        </w:rPr>
      </w:pPr>
      <w:bookmarkStart w:id="5" w:name="_Toc150709948"/>
      <w:r w:rsidRPr="002B5022">
        <w:rPr>
          <w:color w:val="auto"/>
          <w:sz w:val="24"/>
          <w:szCs w:val="24"/>
        </w:rPr>
        <w:t>Stakeholders</w:t>
      </w:r>
      <w:bookmarkEnd w:id="5"/>
    </w:p>
    <w:p w:rsidR="00AB1732" w:rsidRDefault="00AB1732" w:rsidP="00AB1732">
      <w:pPr>
        <w:rPr>
          <w:lang w:val="en-GB"/>
        </w:rPr>
      </w:pPr>
      <w:r w:rsidRPr="000B6040">
        <w:rPr>
          <w:b/>
          <w:bCs/>
        </w:rPr>
        <w:t>Google Corporation:</w:t>
      </w:r>
      <w:r>
        <w:t xml:space="preserve"> Being the construction developer and main sponsor, Google has a vested interest in the building's effective development and use. Project dynamics are greatly influenced by their business identity, personnel demands, and strategic objectives.</w:t>
      </w:r>
    </w:p>
    <w:p w:rsidR="00AB1732" w:rsidRDefault="00AB1732" w:rsidP="00AB1732">
      <w:r w:rsidRPr="000B6040">
        <w:rPr>
          <w:b/>
          <w:bCs/>
        </w:rPr>
        <w:t>Development and Designing Teams:</w:t>
      </w:r>
      <w:r>
        <w:t xml:space="preserve"> The key players tasked with bringing conceptual blueprints to life are the builders, architects, and interior designers. Their proficiency, effectiveness, and commitment to quality standards have a direct effect on the project's outcome</w:t>
      </w:r>
      <w:r w:rsidRPr="00573980">
        <w:t>(</w:t>
      </w:r>
      <w:proofErr w:type="spellStart"/>
      <w:r w:rsidRPr="00C83235">
        <w:rPr>
          <w:rFonts w:eastAsia="Times New Roman" w:cs="Times New Roman"/>
          <w:szCs w:val="24"/>
          <w:lang w:val="en-GB"/>
        </w:rPr>
        <w:t>Kibert</w:t>
      </w:r>
      <w:proofErr w:type="spellEnd"/>
      <w:r w:rsidRPr="00573980">
        <w:t xml:space="preserve">, </w:t>
      </w:r>
      <w:r>
        <w:t>2016</w:t>
      </w:r>
      <w:r w:rsidRPr="00573980">
        <w:t>)</w:t>
      </w:r>
      <w:r>
        <w:t>.</w:t>
      </w:r>
    </w:p>
    <w:p w:rsidR="00AB1732" w:rsidRDefault="00AB1732" w:rsidP="00AB1732">
      <w:r w:rsidRPr="000B6040">
        <w:rPr>
          <w:b/>
          <w:bCs/>
        </w:rPr>
        <w:lastRenderedPageBreak/>
        <w:t>Employees:</w:t>
      </w:r>
      <w:r>
        <w:t xml:space="preserve"> An essential stakeholder group, their requirements and preferences play a major role in determining the workspace's environment and functioning. The long-term success of the project depends critically on their level of happiness and productivity.</w:t>
      </w:r>
    </w:p>
    <w:p w:rsidR="00AB1732" w:rsidRDefault="00AB1732" w:rsidP="00AB1732">
      <w:r w:rsidRPr="000B6040">
        <w:rPr>
          <w:b/>
          <w:bCs/>
        </w:rPr>
        <w:t>Local Public and Authorities</w:t>
      </w:r>
      <w:r>
        <w:t>: The project's effects on the neighbourhood and adherence to local laws are important factors to take into account. Harmonious incorporation into the larger urban scene is ensured by stakeholder involvement within the local population and respect for legal standards (Waite, 2021).</w:t>
      </w:r>
    </w:p>
    <w:p w:rsidR="00AB1732" w:rsidRDefault="00AB1732" w:rsidP="00AB1732">
      <w:r w:rsidRPr="000B6040">
        <w:rPr>
          <w:b/>
          <w:bCs/>
        </w:rPr>
        <w:t>The Investors and Shareholders</w:t>
      </w:r>
      <w:r>
        <w:t>: The timely conclusion, financial stability, and possible return on investment of the project are of great importance to financial stakeholders such as investors and shareholders. To keep their support, you need to be financially prudent and communicate openly.</w:t>
      </w:r>
    </w:p>
    <w:p w:rsidR="00AB1732" w:rsidRPr="002B5022" w:rsidRDefault="00AB1732" w:rsidP="00AB1732">
      <w:pPr>
        <w:pStyle w:val="Heading2"/>
        <w:rPr>
          <w:color w:val="auto"/>
          <w:sz w:val="32"/>
          <w:szCs w:val="32"/>
        </w:rPr>
      </w:pPr>
      <w:bookmarkStart w:id="6" w:name="_Toc150709949"/>
      <w:r w:rsidRPr="002B5022">
        <w:rPr>
          <w:color w:val="auto"/>
          <w:sz w:val="32"/>
          <w:szCs w:val="32"/>
        </w:rPr>
        <w:t>Risk Factors</w:t>
      </w:r>
      <w:bookmarkEnd w:id="6"/>
    </w:p>
    <w:p w:rsidR="00AB1732" w:rsidRDefault="00AB1732" w:rsidP="00AB1732">
      <w:r w:rsidRPr="00276613">
        <w:rPr>
          <w:b/>
          <w:bCs/>
        </w:rPr>
        <w:t>Construction Delays:</w:t>
      </w:r>
      <w:r w:rsidRPr="00570F4B">
        <w:t>Notable risk concerns are introduced by the three-year delay and the protests and critiques surrounding the union relations and the redundancy plans (</w:t>
      </w:r>
      <w:r>
        <w:t>Fletcher, 2023</w:t>
      </w:r>
      <w:r w:rsidRPr="00570F4B">
        <w:t xml:space="preserve">). The project's overall performance </w:t>
      </w:r>
      <w:r>
        <w:t>can be</w:t>
      </w:r>
      <w:r w:rsidRPr="00570F4B">
        <w:t xml:space="preserve"> impacted by delays, and reputational problems </w:t>
      </w:r>
      <w:r>
        <w:t>can</w:t>
      </w:r>
      <w:r w:rsidRPr="00570F4B">
        <w:t xml:space="preserve"> arise from stakeholder unhappiness</w:t>
      </w:r>
      <w:r w:rsidRPr="00573980">
        <w:t xml:space="preserve">(Lessard </w:t>
      </w:r>
      <w:r>
        <w:t>and</w:t>
      </w:r>
      <w:r w:rsidRPr="00573980">
        <w:t xml:space="preserve"> Miller, 2011)</w:t>
      </w:r>
      <w:r w:rsidRPr="00570F4B">
        <w:t>.</w:t>
      </w:r>
    </w:p>
    <w:p w:rsidR="00AB1732" w:rsidRDefault="00AB1732" w:rsidP="00AB1732">
      <w:r w:rsidRPr="00276613">
        <w:rPr>
          <w:b/>
          <w:bCs/>
        </w:rPr>
        <w:t>Regulatory Compliance:</w:t>
      </w:r>
      <w:r>
        <w:t xml:space="preserve"> One possible risk associated with the project is its adherence to zoning and municipal rules. Unexpected alterations to regulatory requirements can result in penalties, delays, or changes to the project schedule. Proactive compliance procedures and regular contact with regulatory bodies are crucial.</w:t>
      </w:r>
    </w:p>
    <w:p w:rsidR="00AB1732" w:rsidRDefault="00AB1732" w:rsidP="00AB1732">
      <w:pPr>
        <w:rPr>
          <w:lang w:val="en-GB"/>
        </w:rPr>
      </w:pPr>
      <w:r w:rsidRPr="00276613">
        <w:rPr>
          <w:b/>
          <w:bCs/>
        </w:rPr>
        <w:t>Budget Overruns:</w:t>
      </w:r>
      <w:r>
        <w:t xml:space="preserve"> Unexpected costs can occur even with meticulous planning, which might affect the project's capacity to raise funds. To reduce this risk, it is essential to have accurate financial reporting, effective cost monitoring, and emergency preparedness.</w:t>
      </w:r>
    </w:p>
    <w:p w:rsidR="00AB1732" w:rsidRDefault="00AB1732" w:rsidP="00AB1732">
      <w:r w:rsidRPr="00276613">
        <w:rPr>
          <w:b/>
          <w:bCs/>
        </w:rPr>
        <w:t>Technological Challenges:</w:t>
      </w:r>
      <w:r>
        <w:t xml:space="preserve"> Because the project strongly focuses on cutting-edge technology infrastructure, there can be implementation issues or technical hiccups (Bruman, 2014). To handle any interruptions, a thorough technical risk assessment and backup strategies are required.</w:t>
      </w:r>
    </w:p>
    <w:p w:rsidR="00AB1732" w:rsidRDefault="00AB1732" w:rsidP="00AB1732">
      <w:r w:rsidRPr="00276613">
        <w:rPr>
          <w:b/>
          <w:bCs/>
        </w:rPr>
        <w:t>Stakeholder Disagreements:</w:t>
      </w:r>
      <w:r>
        <w:t xml:space="preserve"> Decision-making and project advancement can be hampered by stakeholders' differing interests. To reduce this risk, effective stakeholder management, transparent communication routes, and disputeresolution techniques are crucial</w:t>
      </w:r>
      <w:r w:rsidRPr="00573980">
        <w:t>(Huemann et al., 2016)</w:t>
      </w:r>
      <w:r>
        <w:t>.</w:t>
      </w:r>
    </w:p>
    <w:p w:rsidR="00AB1732" w:rsidRDefault="00AB1732" w:rsidP="00AB1732">
      <w:r w:rsidRPr="00276613">
        <w:rPr>
          <w:b/>
          <w:bCs/>
        </w:rPr>
        <w:t>Economic and Market Shifts:</w:t>
      </w:r>
      <w:r>
        <w:t xml:space="preserve"> The initiative's susceptibility to market or economic downturns puts its financial stability at risk. Such risks can be navigated using flexible financial plans and regular economic evaluations.</w:t>
      </w:r>
    </w:p>
    <w:p w:rsidR="00AB1732" w:rsidRDefault="00AB1732" w:rsidP="00AB1732">
      <w:r w:rsidRPr="00276613">
        <w:rPr>
          <w:b/>
          <w:bCs/>
        </w:rPr>
        <w:t>Environmental effect:</w:t>
      </w:r>
      <w:r>
        <w:t xml:space="preserve"> There are inherent hazards associated with the project due to its ecological footprint and possible environmental effects. To reduce this risk, it is essential to follow sustainable practices, evaluate environmental impacts, and have backup plans for eco-friendly projects.</w:t>
      </w:r>
    </w:p>
    <w:p w:rsidR="00AB1732" w:rsidRPr="002660C3" w:rsidRDefault="00AB1732" w:rsidP="00AB1732">
      <w:pPr>
        <w:pStyle w:val="Heading2"/>
        <w:rPr>
          <w:color w:val="auto"/>
          <w:sz w:val="32"/>
          <w:szCs w:val="32"/>
        </w:rPr>
      </w:pPr>
      <w:bookmarkStart w:id="7" w:name="_Toc150709950"/>
      <w:r w:rsidRPr="002660C3">
        <w:rPr>
          <w:color w:val="auto"/>
          <w:sz w:val="32"/>
          <w:szCs w:val="32"/>
        </w:rPr>
        <w:t>Resource Management</w:t>
      </w:r>
      <w:bookmarkEnd w:id="7"/>
    </w:p>
    <w:p w:rsidR="00AB1732" w:rsidRPr="00D028A8" w:rsidRDefault="00AB1732" w:rsidP="00AB1732">
      <w:r w:rsidRPr="00D028A8">
        <w:t xml:space="preserve">Leading architectural companies like BIG and Heatherwick Studio, together with executive engineers, designers, and landscape experts like BDP, AKT II, and Gillespie, are working together on the project </w:t>
      </w:r>
      <w:r>
        <w:lastRenderedPageBreak/>
        <w:t>(Waite, 2021)</w:t>
      </w:r>
      <w:r w:rsidRPr="00D028A8">
        <w:t>. The necessity for an extensive project assessment and the delay might cause resource management problems.</w:t>
      </w:r>
    </w:p>
    <w:p w:rsidR="00AB1732" w:rsidRDefault="00AB1732" w:rsidP="00AB1732">
      <w:r w:rsidRPr="00276613">
        <w:rPr>
          <w:b/>
          <w:bCs/>
        </w:rPr>
        <w:t>Financial Resources:</w:t>
      </w:r>
      <w:r>
        <w:t xml:space="preserve"> The project plan's budget allocation shows how financial resources are widely distributed among important categories, guaranteeing that every component—from construction to sustainable features—is sufficiently supported. By providing a layer of economic resilience, the contingency fund allows for the resolution of unanticipated obstacles without endangering the project's overall financial stability</w:t>
      </w:r>
      <w:r w:rsidRPr="00573980">
        <w:t>(Huemann et al., 2016)</w:t>
      </w:r>
      <w:r>
        <w:t>.</w:t>
      </w:r>
    </w:p>
    <w:p w:rsidR="00AB1732" w:rsidRDefault="00AB1732" w:rsidP="00AB1732">
      <w:pPr>
        <w:rPr>
          <w:lang w:val="en-GB"/>
        </w:rPr>
      </w:pPr>
      <w:r w:rsidRPr="00276613">
        <w:rPr>
          <w:b/>
          <w:bCs/>
        </w:rPr>
        <w:t>Human Resources:</w:t>
      </w:r>
      <w:r>
        <w:t xml:space="preserve"> The plan presents a rational strategy for managing human resources. Professionals with the necessary skills are involved, from construction teams to architects, to meet the project's challenging objectives. Strategic human resource allocation aims to optimise design, construction, and technology integration competence</w:t>
      </w:r>
      <w:r w:rsidRPr="00A87C90">
        <w:t>(Loosemore et al., 2013)</w:t>
      </w:r>
      <w:r>
        <w:t>.</w:t>
      </w:r>
    </w:p>
    <w:p w:rsidR="00AB1732" w:rsidRDefault="00AB1732" w:rsidP="00AB1732">
      <w:r w:rsidRPr="00276613">
        <w:rPr>
          <w:b/>
          <w:bCs/>
        </w:rPr>
        <w:t>Material Resources:</w:t>
      </w:r>
      <w:r>
        <w:t xml:space="preserve"> The plan lays forth a methodical approach to material resources with a focus on sustainability and quality</w:t>
      </w:r>
      <w:r w:rsidRPr="00A87C90">
        <w:t>(</w:t>
      </w:r>
      <w:proofErr w:type="spellStart"/>
      <w:r w:rsidRPr="007D695F">
        <w:rPr>
          <w:rFonts w:eastAsia="Times New Roman" w:cs="Times New Roman"/>
          <w:szCs w:val="24"/>
          <w:lang w:val="en-GB"/>
        </w:rPr>
        <w:t>Heagney</w:t>
      </w:r>
      <w:proofErr w:type="spellEnd"/>
      <w:r w:rsidRPr="00A87C90">
        <w:t>, 201</w:t>
      </w:r>
      <w:r>
        <w:t>6</w:t>
      </w:r>
      <w:r w:rsidRPr="00A87C90">
        <w:t>)</w:t>
      </w:r>
      <w:r>
        <w:t>. The project makes sure that resources are used as efficiently as possible while taking quality and environmental concerns into account, from the choice of building materials to the incorporation of eco-friendly elements.</w:t>
      </w:r>
    </w:p>
    <w:p w:rsidR="00AB1732" w:rsidRPr="002660C3" w:rsidRDefault="00AB1732" w:rsidP="00AB1732">
      <w:pPr>
        <w:pStyle w:val="Heading2"/>
        <w:rPr>
          <w:color w:val="auto"/>
          <w:sz w:val="32"/>
          <w:szCs w:val="32"/>
        </w:rPr>
      </w:pPr>
      <w:bookmarkStart w:id="8" w:name="_Toc150709951"/>
      <w:r w:rsidRPr="002660C3">
        <w:rPr>
          <w:color w:val="auto"/>
          <w:sz w:val="32"/>
          <w:szCs w:val="32"/>
        </w:rPr>
        <w:t>Legal Compliance</w:t>
      </w:r>
      <w:bookmarkEnd w:id="8"/>
    </w:p>
    <w:p w:rsidR="00AB1732" w:rsidRDefault="00AB1732" w:rsidP="00AB1732">
      <w:r>
        <w:t>As stated in the project plan, the Google Headquarters Project in London complies with all applicable laws, demonstrating a careful commitment to managing the complex legal environment that surrounds major building projects. Planning and land use laws are a core component of this assessment. The project plan exhibits a comprehensive comprehension of the land use rules and municipal zoning laws that are relevant to the King's Cross region. This entails strict adherence to approved land use, building heights, and general land development to provide a well-integrated experience within the immediate urban setting(</w:t>
      </w:r>
      <w:r w:rsidRPr="004A717B">
        <w:rPr>
          <w:rFonts w:cs="Times New Roman"/>
          <w:noProof/>
          <w:color w:val="000000" w:themeColor="text1"/>
          <w:lang w:val="en-GB"/>
        </w:rPr>
        <w:t>The Guardian</w:t>
      </w:r>
      <w:r>
        <w:rPr>
          <w:rFonts w:cs="Times New Roman"/>
          <w:noProof/>
          <w:color w:val="000000" w:themeColor="text1"/>
          <w:lang w:val="en-GB"/>
        </w:rPr>
        <w:t>, 2022).</w:t>
      </w:r>
    </w:p>
    <w:p w:rsidR="00AB1732" w:rsidRDefault="00AB1732" w:rsidP="00AB1732">
      <w:r>
        <w:t>The project concept also emphasises a dedication to adhering to or surpassing safety and construction requirements. This puts the safety and well-being of the residents first and includes requirements for accessibility, fire safety, and structural integrity. Regulations about the workplace are taken into account, acknowledging the headquarters' substantial workforce</w:t>
      </w:r>
      <w:r w:rsidRPr="00D028A8">
        <w:t>(</w:t>
      </w:r>
      <w:r>
        <w:t>Fletcher, 2023</w:t>
      </w:r>
      <w:r w:rsidRPr="00D028A8">
        <w:t>)</w:t>
      </w:r>
      <w:r>
        <w:t xml:space="preserve">. The plan incorporates health and safety, convenience, and other labour-related norms, promoting a work environment that is both favourable and consistent with the law. </w:t>
      </w:r>
    </w:p>
    <w:p w:rsidR="00AB1732" w:rsidRDefault="00AB1732" w:rsidP="00AB1732">
      <w:pPr>
        <w:rPr>
          <w:lang w:val="en-GB"/>
        </w:rPr>
      </w:pPr>
      <w:r>
        <w:t>W</w:t>
      </w:r>
      <w:r w:rsidRPr="00D028A8">
        <w:t xml:space="preserve">orker protests and concerns highlight the possibility of legal ramifications, particularly </w:t>
      </w:r>
      <w:r>
        <w:t>about</w:t>
      </w:r>
      <w:r w:rsidRPr="00D028A8">
        <w:t xml:space="preserve"> redundancies and the group consultation procedure. Additionally, new factors for complying with laws in construction and design </w:t>
      </w:r>
      <w:r>
        <w:t>can be</w:t>
      </w:r>
      <w:r w:rsidRPr="00D028A8">
        <w:t xml:space="preserve"> introduced by the cutting-edge 'Platform G' office building, scheduled to open in 2024 (</w:t>
      </w:r>
      <w:r>
        <w:t>Toherud, 2023</w:t>
      </w:r>
      <w:r w:rsidRPr="00D028A8">
        <w:t>).</w:t>
      </w:r>
    </w:p>
    <w:p w:rsidR="002B5022" w:rsidRDefault="002B5022" w:rsidP="00AB1732">
      <w:pPr>
        <w:rPr>
          <w:lang w:val="en-GB"/>
        </w:rPr>
      </w:pPr>
    </w:p>
    <w:p w:rsidR="002B5022" w:rsidRDefault="002B5022" w:rsidP="00AB1732">
      <w:pPr>
        <w:rPr>
          <w:lang w:val="en-GB"/>
        </w:rPr>
      </w:pPr>
    </w:p>
    <w:p w:rsidR="002B5022" w:rsidRDefault="002B5022" w:rsidP="00AB1732">
      <w:pPr>
        <w:rPr>
          <w:lang w:val="en-GB"/>
        </w:rPr>
      </w:pPr>
    </w:p>
    <w:p w:rsidR="002B5022" w:rsidRDefault="002B5022" w:rsidP="00AB1732">
      <w:pPr>
        <w:rPr>
          <w:lang w:val="en-GB"/>
        </w:rPr>
      </w:pPr>
    </w:p>
    <w:p w:rsidR="002B5022" w:rsidRDefault="002B5022" w:rsidP="00AB1732">
      <w:pPr>
        <w:rPr>
          <w:lang w:val="en-GB"/>
        </w:rPr>
      </w:pPr>
    </w:p>
    <w:p w:rsidR="002B5022" w:rsidRDefault="002B5022" w:rsidP="002B5022">
      <w:pPr>
        <w:pStyle w:val="Heading1"/>
      </w:pPr>
      <w:bookmarkStart w:id="9" w:name="_Toc150709952"/>
      <w:r>
        <w:t>Conclusion</w:t>
      </w:r>
      <w:bookmarkEnd w:id="9"/>
    </w:p>
    <w:p w:rsidR="002B5022" w:rsidRDefault="002B5022" w:rsidP="002B5022">
      <w:r>
        <w:t>All things considered, the Google Headquarters Project in London is a monument to creativity, business acumen, and a dedication to changing the office environment. Set to commence in the next year, this enormous project has the potential to completely transform the King's Cross neighbourhood and make a substantial contribution to London's based on knowledge economy. Several important conclusions are drawn from a practical and rational assessment of the project plan's essential components.</w:t>
      </w:r>
    </w:p>
    <w:p w:rsidR="002B5022" w:rsidRDefault="002B5022" w:rsidP="002B5022">
      <w:r>
        <w:t>The project's rapid schedule requires careful supervision to make sure that the speed does not degrade the quality of the construction and design, even if it is a sign of smart planning and effective implementation. The establishment of an exceptional, inventive, and long-lasting corporate space is made possible by the dedication to design brilliance, building standards, technology integration, sustainable practices, and thorough project management.</w:t>
      </w:r>
    </w:p>
    <w:p w:rsidR="002B5022" w:rsidRDefault="002B5022" w:rsidP="002B5022">
      <w:pPr>
        <w:rPr>
          <w:lang w:val="en-GB"/>
        </w:rPr>
      </w:pPr>
      <w:r w:rsidRPr="00EF02BE">
        <w:t xml:space="preserve">In summary, the Google Headquarters project offers a complex combination of aspiration, ingenuity, and difficulties. Internal issues and </w:t>
      </w:r>
      <w:r>
        <w:t>delays</w:t>
      </w:r>
      <w:r w:rsidRPr="00EF02BE">
        <w:t xml:space="preserve"> provide dangers that need to be carefully managed. This dynamic situation offers valuable insights that highlight the significance of flexible project planning, active stakeholder interaction, and proactive risk reduction methods in major construction projects. With the entrance of the cutting-edge 'Platform G' office building legal compliance issues should become more important as the project moves forward to make sure it complies with changing regulatory requirements.</w:t>
      </w:r>
    </w:p>
    <w:p w:rsidR="002B5022" w:rsidRDefault="002B5022" w:rsidP="002B5022">
      <w:pPr>
        <w:rPr>
          <w:lang w:val="en-GB"/>
        </w:rPr>
      </w:pPr>
    </w:p>
    <w:p w:rsidR="002B5022" w:rsidRDefault="002B5022" w:rsidP="002B5022">
      <w:pPr>
        <w:pStyle w:val="Heading1"/>
      </w:pPr>
      <w:bookmarkStart w:id="10" w:name="_Toc150709953"/>
      <w:r>
        <w:t>Recommendations</w:t>
      </w:r>
      <w:bookmarkEnd w:id="10"/>
    </w:p>
    <w:p w:rsidR="002B5022" w:rsidRDefault="002B5022" w:rsidP="002B5022">
      <w:pPr>
        <w:pStyle w:val="ListParagraph"/>
        <w:numPr>
          <w:ilvl w:val="0"/>
          <w:numId w:val="5"/>
        </w:numPr>
      </w:pPr>
      <w:r>
        <w:t>A careful balance between quality and speed must be maintained as the project moves closer to its planned launch. Although the quick turnaround time is praiseworthy, it is advised to maintain constant watchfulness and adhere to strict quality control procedures. Maintaining regular and open communication channels with stakeholders is crucial to swiftly resolve any issues and promote a collaborative atmosphere (</w:t>
      </w:r>
      <w:proofErr w:type="spellStart"/>
      <w:r>
        <w:t>Huemann</w:t>
      </w:r>
      <w:proofErr w:type="spellEnd"/>
      <w:r>
        <w:t xml:space="preserve"> et al., 2016). </w:t>
      </w:r>
    </w:p>
    <w:p w:rsidR="002B5022" w:rsidRDefault="002B5022" w:rsidP="002B5022">
      <w:pPr>
        <w:pStyle w:val="ListParagraph"/>
        <w:numPr>
          <w:ilvl w:val="0"/>
          <w:numId w:val="5"/>
        </w:numPr>
      </w:pPr>
      <w:r>
        <w:t>Large-scale building projects have a substantial environmental effect, thus maintaining a commitment to sustainable practices is essential. Constant evaluations of the project's ecological impact and modifications to improve environmentally friendly aspects have to be an essential part of the building process.</w:t>
      </w:r>
    </w:p>
    <w:p w:rsidR="002660C3" w:rsidRDefault="002B5022" w:rsidP="002B5022">
      <w:pPr>
        <w:pStyle w:val="ListParagraph"/>
        <w:numPr>
          <w:ilvl w:val="0"/>
          <w:numId w:val="5"/>
        </w:numPr>
      </w:pPr>
      <w:r>
        <w:t xml:space="preserve">Engaging stakeholders should be a continuous and iterative process. Employees, local community members, and investors can all benefit from regular feedback sessions, </w:t>
      </w:r>
      <w:r>
        <w:lastRenderedPageBreak/>
        <w:t>which can also guarantee that the project's lifetime takes into account and addresses the changing requirements and demands of these stakeholders.</w:t>
      </w:r>
      <w:bookmarkStart w:id="11" w:name="_Toc150709954"/>
    </w:p>
    <w:p w:rsidR="002660C3" w:rsidRDefault="002660C3" w:rsidP="002660C3">
      <w:pPr>
        <w:pStyle w:val="ListParagraph"/>
      </w:pPr>
    </w:p>
    <w:p w:rsidR="002660C3" w:rsidRDefault="002660C3" w:rsidP="002660C3">
      <w:pPr>
        <w:ind w:left="360"/>
        <w:rPr>
          <w:lang w:val="en-GB"/>
        </w:rPr>
      </w:pPr>
    </w:p>
    <w:p w:rsidR="002660C3" w:rsidRDefault="002660C3" w:rsidP="002660C3">
      <w:pPr>
        <w:ind w:left="360"/>
        <w:rPr>
          <w:lang w:val="en-GB"/>
        </w:rPr>
      </w:pPr>
    </w:p>
    <w:p w:rsidR="002660C3" w:rsidRDefault="002660C3" w:rsidP="002660C3">
      <w:pPr>
        <w:ind w:left="360"/>
        <w:rPr>
          <w:lang w:val="en-GB"/>
        </w:rPr>
      </w:pPr>
    </w:p>
    <w:p w:rsidR="002660C3" w:rsidRDefault="002660C3" w:rsidP="002660C3">
      <w:pPr>
        <w:ind w:left="360"/>
        <w:rPr>
          <w:lang w:val="en-GB"/>
        </w:rPr>
      </w:pPr>
    </w:p>
    <w:p w:rsidR="002660C3" w:rsidRDefault="002660C3" w:rsidP="002660C3">
      <w:pPr>
        <w:ind w:left="360"/>
        <w:rPr>
          <w:lang w:val="en-GB"/>
        </w:rPr>
      </w:pPr>
    </w:p>
    <w:p w:rsidR="002660C3" w:rsidRDefault="002660C3" w:rsidP="002660C3">
      <w:pPr>
        <w:ind w:left="360"/>
        <w:rPr>
          <w:lang w:val="en-GB"/>
        </w:rPr>
      </w:pPr>
    </w:p>
    <w:p w:rsidR="002660C3" w:rsidRDefault="002660C3" w:rsidP="002660C3">
      <w:pPr>
        <w:ind w:left="360"/>
        <w:rPr>
          <w:lang w:val="en-GB"/>
        </w:rPr>
      </w:pPr>
    </w:p>
    <w:p w:rsidR="002660C3" w:rsidRDefault="002660C3" w:rsidP="002660C3">
      <w:pPr>
        <w:ind w:left="360"/>
        <w:rPr>
          <w:lang w:val="en-GB"/>
        </w:rPr>
      </w:pPr>
    </w:p>
    <w:p w:rsidR="002660C3" w:rsidRDefault="002660C3" w:rsidP="002660C3">
      <w:pPr>
        <w:ind w:left="360"/>
        <w:rPr>
          <w:lang w:val="en-GB"/>
        </w:rPr>
      </w:pPr>
    </w:p>
    <w:p w:rsidR="002660C3" w:rsidRDefault="002660C3" w:rsidP="002660C3">
      <w:pPr>
        <w:ind w:left="360"/>
        <w:rPr>
          <w:lang w:val="en-GB"/>
        </w:rPr>
      </w:pPr>
    </w:p>
    <w:p w:rsidR="002660C3" w:rsidRDefault="002660C3" w:rsidP="002660C3">
      <w:pPr>
        <w:ind w:left="360"/>
        <w:rPr>
          <w:lang w:val="en-GB"/>
        </w:rPr>
      </w:pPr>
    </w:p>
    <w:p w:rsidR="002660C3" w:rsidRDefault="002660C3" w:rsidP="002660C3">
      <w:pPr>
        <w:ind w:left="360"/>
        <w:rPr>
          <w:lang w:val="en-GB"/>
        </w:rPr>
      </w:pPr>
    </w:p>
    <w:p w:rsidR="002660C3" w:rsidRDefault="002660C3" w:rsidP="002660C3">
      <w:pPr>
        <w:ind w:left="360"/>
        <w:rPr>
          <w:lang w:val="en-GB"/>
        </w:rPr>
      </w:pPr>
    </w:p>
    <w:p w:rsidR="002660C3" w:rsidRDefault="002660C3" w:rsidP="002660C3">
      <w:pPr>
        <w:ind w:left="360"/>
        <w:rPr>
          <w:lang w:val="en-GB"/>
        </w:rPr>
      </w:pPr>
    </w:p>
    <w:p w:rsidR="002660C3" w:rsidRDefault="002660C3" w:rsidP="002660C3">
      <w:pPr>
        <w:ind w:left="360"/>
        <w:rPr>
          <w:lang w:val="en-GB"/>
        </w:rPr>
      </w:pPr>
    </w:p>
    <w:p w:rsidR="002660C3" w:rsidRDefault="002660C3" w:rsidP="002660C3">
      <w:pPr>
        <w:ind w:left="360"/>
        <w:rPr>
          <w:lang w:val="en-GB"/>
        </w:rPr>
      </w:pPr>
    </w:p>
    <w:p w:rsidR="002660C3" w:rsidRDefault="002660C3" w:rsidP="002660C3">
      <w:pPr>
        <w:ind w:left="360"/>
        <w:rPr>
          <w:lang w:val="en-GB"/>
        </w:rPr>
      </w:pPr>
    </w:p>
    <w:p w:rsidR="002660C3" w:rsidRDefault="002660C3" w:rsidP="002660C3">
      <w:pPr>
        <w:ind w:left="360"/>
        <w:rPr>
          <w:lang w:val="en-GB"/>
        </w:rPr>
      </w:pPr>
    </w:p>
    <w:p w:rsidR="002660C3" w:rsidRDefault="002660C3" w:rsidP="002660C3">
      <w:pPr>
        <w:ind w:left="360"/>
        <w:rPr>
          <w:lang w:val="en-GB"/>
        </w:rPr>
      </w:pPr>
    </w:p>
    <w:p w:rsidR="002660C3" w:rsidRDefault="002660C3" w:rsidP="002660C3">
      <w:pPr>
        <w:ind w:left="360"/>
        <w:rPr>
          <w:lang w:val="en-GB"/>
        </w:rPr>
      </w:pPr>
    </w:p>
    <w:p w:rsidR="002660C3" w:rsidRDefault="002660C3" w:rsidP="002660C3">
      <w:pPr>
        <w:ind w:left="360"/>
        <w:rPr>
          <w:lang w:val="en-GB"/>
        </w:rPr>
      </w:pPr>
    </w:p>
    <w:p w:rsidR="002660C3" w:rsidRDefault="002660C3" w:rsidP="002660C3">
      <w:pPr>
        <w:ind w:left="360"/>
        <w:rPr>
          <w:lang w:val="en-GB"/>
        </w:rPr>
      </w:pPr>
    </w:p>
    <w:p w:rsidR="002660C3" w:rsidRDefault="002660C3" w:rsidP="002660C3">
      <w:pPr>
        <w:ind w:left="360"/>
        <w:rPr>
          <w:lang w:val="en-GB"/>
        </w:rPr>
      </w:pPr>
    </w:p>
    <w:p w:rsidR="002660C3" w:rsidRDefault="002660C3" w:rsidP="002660C3">
      <w:pPr>
        <w:ind w:left="360"/>
        <w:rPr>
          <w:lang w:val="en-GB"/>
        </w:rPr>
      </w:pPr>
    </w:p>
    <w:p w:rsidR="002660C3" w:rsidRDefault="002660C3" w:rsidP="002660C3">
      <w:pPr>
        <w:ind w:left="360"/>
        <w:rPr>
          <w:lang w:val="en-GB"/>
        </w:rPr>
      </w:pPr>
    </w:p>
    <w:p w:rsidR="002B5022" w:rsidRPr="002660C3" w:rsidRDefault="002B5022" w:rsidP="002660C3">
      <w:pPr>
        <w:rPr>
          <w:b/>
          <w:sz w:val="36"/>
          <w:szCs w:val="36"/>
        </w:rPr>
      </w:pPr>
      <w:r w:rsidRPr="002660C3">
        <w:rPr>
          <w:b/>
          <w:sz w:val="36"/>
          <w:szCs w:val="36"/>
        </w:rPr>
        <w:lastRenderedPageBreak/>
        <w:t>References</w:t>
      </w:r>
      <w:bookmarkEnd w:id="11"/>
    </w:p>
    <w:p w:rsidR="002B5022" w:rsidRDefault="002B5022" w:rsidP="002B5022">
      <w:pPr>
        <w:pStyle w:val="NormalWeb"/>
        <w:spacing w:line="360" w:lineRule="auto"/>
        <w:jc w:val="both"/>
      </w:pPr>
      <w:r>
        <w:t xml:space="preserve">Adamson, C. (2022) </w:t>
      </w:r>
      <w:r>
        <w:rPr>
          <w:i/>
          <w:iCs/>
        </w:rPr>
        <w:t>Google’s New London office is a $1bn mistake</w:t>
      </w:r>
      <w:r>
        <w:t xml:space="preserve">, </w:t>
      </w:r>
      <w:r>
        <w:rPr>
          <w:i/>
          <w:iCs/>
        </w:rPr>
        <w:t>Business Age</w:t>
      </w:r>
      <w:r>
        <w:t xml:space="preserve">. Available at: </w:t>
      </w:r>
      <w:r w:rsidRPr="005424D6">
        <w:t>https://www.businessage.com/post/googles-new-london-office-is-a-1bn-mistake</w:t>
      </w:r>
      <w:r>
        <w:t xml:space="preserve"> (Accessed: 12 November 2023) </w:t>
      </w:r>
      <w:bookmarkStart w:id="12" w:name="_Hlk150387515"/>
    </w:p>
    <w:p w:rsidR="002B5022" w:rsidRDefault="002B5022" w:rsidP="002B5022">
      <w:pPr>
        <w:pStyle w:val="NormalWeb"/>
        <w:spacing w:line="360" w:lineRule="auto"/>
        <w:jc w:val="both"/>
      </w:pPr>
      <w:r>
        <w:t xml:space="preserve">Anderson, J. (2022) Google HQ, Kings Cross, London, </w:t>
      </w:r>
      <w:proofErr w:type="spellStart"/>
      <w:r w:rsidRPr="0009023E">
        <w:rPr>
          <w:i/>
          <w:iCs/>
        </w:rPr>
        <w:t>Vareo</w:t>
      </w:r>
      <w:proofErr w:type="spellEnd"/>
      <w:r w:rsidRPr="0009023E">
        <w:rPr>
          <w:i/>
          <w:iCs/>
        </w:rPr>
        <w:t xml:space="preserve"> </w:t>
      </w:r>
      <w:proofErr w:type="spellStart"/>
      <w:r w:rsidRPr="0009023E">
        <w:rPr>
          <w:i/>
          <w:iCs/>
        </w:rPr>
        <w:t>Blu</w:t>
      </w:r>
      <w:proofErr w:type="spellEnd"/>
      <w:r>
        <w:t xml:space="preserve">, [online] Available at: https://vareoblu.com/google-hq-kings-cross-london/ (Accessed 12 November 2023). </w:t>
      </w:r>
    </w:p>
    <w:bookmarkEnd w:id="12"/>
    <w:p w:rsidR="002B5022" w:rsidRPr="004A717B" w:rsidRDefault="002B5022" w:rsidP="002B5022">
      <w:pPr>
        <w:pStyle w:val="NormalWeb"/>
        <w:spacing w:line="360" w:lineRule="auto"/>
        <w:jc w:val="both"/>
      </w:pPr>
      <w:r w:rsidRPr="00FA13B0">
        <w:rPr>
          <w:noProof/>
          <w:color w:val="000000" w:themeColor="text1"/>
          <w:lang w:val="en-GB"/>
        </w:rPr>
        <w:t xml:space="preserve">BDP (2023) </w:t>
      </w:r>
      <w:r w:rsidRPr="00FA13B0">
        <w:rPr>
          <w:i/>
          <w:iCs/>
          <w:noProof/>
          <w:color w:val="000000" w:themeColor="text1"/>
          <w:lang w:val="en-GB"/>
        </w:rPr>
        <w:t>Google HQ King’s Cross</w:t>
      </w:r>
      <w:r w:rsidRPr="00FA13B0">
        <w:rPr>
          <w:noProof/>
          <w:color w:val="000000" w:themeColor="text1"/>
          <w:lang w:val="en-GB"/>
        </w:rPr>
        <w:t xml:space="preserve">, </w:t>
      </w:r>
      <w:r w:rsidRPr="00FA13B0">
        <w:rPr>
          <w:i/>
          <w:iCs/>
          <w:noProof/>
          <w:color w:val="000000" w:themeColor="text1"/>
          <w:lang w:val="en-GB"/>
        </w:rPr>
        <w:t>BDP</w:t>
      </w:r>
      <w:r w:rsidRPr="00FA13B0">
        <w:rPr>
          <w:noProof/>
          <w:color w:val="000000" w:themeColor="text1"/>
          <w:lang w:val="en-GB"/>
        </w:rPr>
        <w:t>. Available at: https://www.bdp.com/en/projects/f-l/google-hq-kings-cross/ (Accessed: 8 November 2023).</w:t>
      </w:r>
    </w:p>
    <w:p w:rsidR="002B5022" w:rsidRDefault="002B5022" w:rsidP="002B5022">
      <w:pPr>
        <w:pStyle w:val="NormalWeb"/>
        <w:spacing w:line="360" w:lineRule="auto"/>
        <w:jc w:val="both"/>
      </w:pPr>
      <w:r>
        <w:t xml:space="preserve">Fletcher, R. (2023) </w:t>
      </w:r>
      <w:r>
        <w:rPr>
          <w:i/>
          <w:iCs/>
        </w:rPr>
        <w:t>Google Kings Cross HQ protest over sackings and union busting</w:t>
      </w:r>
      <w:r>
        <w:t xml:space="preserve">, </w:t>
      </w:r>
      <w:r>
        <w:rPr>
          <w:i/>
          <w:iCs/>
        </w:rPr>
        <w:t>Unite the Union</w:t>
      </w:r>
      <w:r>
        <w:t xml:space="preserve">. Available at: </w:t>
      </w:r>
      <w:r w:rsidRPr="005424D6">
        <w:t>https://www.unitetheunion.org/news-events/news/2023/april/google-kings-cross-hq-protest-over-sackings-and-union-busting</w:t>
      </w:r>
      <w:r>
        <w:t xml:space="preserve"> (Accessed: 12 November 2023). </w:t>
      </w:r>
    </w:p>
    <w:p w:rsidR="002B5022" w:rsidRDefault="002B5022" w:rsidP="002B5022">
      <w:pPr>
        <w:pStyle w:val="NormalWeb"/>
        <w:spacing w:line="360" w:lineRule="auto"/>
        <w:jc w:val="both"/>
      </w:pPr>
      <w:r w:rsidRPr="004D2894">
        <w:rPr>
          <w:noProof/>
          <w:lang w:val="en-GB"/>
        </w:rPr>
        <w:t xml:space="preserve">Gillespies (2023) </w:t>
      </w:r>
      <w:r w:rsidRPr="004D2894">
        <w:rPr>
          <w:i/>
          <w:iCs/>
          <w:noProof/>
          <w:lang w:val="en-GB"/>
        </w:rPr>
        <w:t>Google Headquarters - Projects</w:t>
      </w:r>
      <w:r w:rsidRPr="004D2894">
        <w:rPr>
          <w:noProof/>
          <w:lang w:val="en-GB"/>
        </w:rPr>
        <w:t xml:space="preserve">, </w:t>
      </w:r>
      <w:r w:rsidRPr="004D2894">
        <w:rPr>
          <w:i/>
          <w:iCs/>
          <w:noProof/>
          <w:lang w:val="en-GB"/>
        </w:rPr>
        <w:t>Gillespies</w:t>
      </w:r>
      <w:r w:rsidRPr="004D2894">
        <w:rPr>
          <w:noProof/>
          <w:lang w:val="en-GB"/>
        </w:rPr>
        <w:t xml:space="preserve">. Available at: https://www.gillespies.co.uk/projects/google-headquarters </w:t>
      </w:r>
      <w:r>
        <w:t>(Accessed: 12 November 2023).</w:t>
      </w:r>
    </w:p>
    <w:p w:rsidR="002B5022" w:rsidRDefault="002B5022" w:rsidP="002B5022">
      <w:pPr>
        <w:pStyle w:val="NormalWeb"/>
        <w:spacing w:line="360" w:lineRule="auto"/>
        <w:jc w:val="both"/>
      </w:pPr>
      <w:r>
        <w:t xml:space="preserve">Hayman, A. (2014) </w:t>
      </w:r>
      <w:r>
        <w:rPr>
          <w:i/>
          <w:iCs/>
        </w:rPr>
        <w:t>Google HQ Faces ‘at least’ three-year delay</w:t>
      </w:r>
      <w:r>
        <w:t xml:space="preserve">, </w:t>
      </w:r>
      <w:r>
        <w:rPr>
          <w:i/>
          <w:iCs/>
        </w:rPr>
        <w:t>Building</w:t>
      </w:r>
      <w:r>
        <w:t xml:space="preserve">. Available at: </w:t>
      </w:r>
      <w:r w:rsidRPr="005424D6">
        <w:t>https://www.building.co.uk/news/google-hq-faces-at-least-three-year-delay/5068479.article</w:t>
      </w:r>
      <w:r>
        <w:t xml:space="preserve"> (Accessed: 12 November 2023). </w:t>
      </w:r>
    </w:p>
    <w:p w:rsidR="002B5022" w:rsidRPr="007D695F" w:rsidRDefault="002B5022" w:rsidP="002B5022">
      <w:pPr>
        <w:pStyle w:val="NormalWeb"/>
        <w:spacing w:line="360" w:lineRule="auto"/>
        <w:jc w:val="both"/>
        <w:rPr>
          <w:lang w:val="en-GB"/>
        </w:rPr>
      </w:pPr>
      <w:proofErr w:type="spellStart"/>
      <w:r w:rsidRPr="007D695F">
        <w:rPr>
          <w:lang w:val="en-GB"/>
        </w:rPr>
        <w:t>Heagney</w:t>
      </w:r>
      <w:proofErr w:type="spellEnd"/>
      <w:r w:rsidRPr="007D695F">
        <w:rPr>
          <w:lang w:val="en-GB"/>
        </w:rPr>
        <w:t>, J. (2016</w:t>
      </w:r>
      <w:proofErr w:type="gramStart"/>
      <w:r w:rsidRPr="007D695F">
        <w:rPr>
          <w:lang w:val="en-GB"/>
        </w:rPr>
        <w:t>)</w:t>
      </w:r>
      <w:r w:rsidRPr="007D695F">
        <w:rPr>
          <w:i/>
          <w:iCs/>
          <w:lang w:val="en-GB"/>
        </w:rPr>
        <w:t>Fundamentals</w:t>
      </w:r>
      <w:proofErr w:type="gramEnd"/>
      <w:r w:rsidRPr="007D695F">
        <w:rPr>
          <w:i/>
          <w:iCs/>
          <w:lang w:val="en-GB"/>
        </w:rPr>
        <w:t xml:space="preserve"> of project management</w:t>
      </w:r>
      <w:r w:rsidRPr="007D695F">
        <w:rPr>
          <w:lang w:val="en-GB"/>
        </w:rPr>
        <w:t xml:space="preserve">. </w:t>
      </w:r>
      <w:proofErr w:type="spellStart"/>
      <w:proofErr w:type="gramStart"/>
      <w:r w:rsidRPr="007D695F">
        <w:rPr>
          <w:lang w:val="en-GB"/>
        </w:rPr>
        <w:t>Amacom</w:t>
      </w:r>
      <w:proofErr w:type="spellEnd"/>
      <w:r w:rsidRPr="007D695F">
        <w:rPr>
          <w:lang w:val="en-GB"/>
        </w:rPr>
        <w:t>.</w:t>
      </w:r>
      <w:proofErr w:type="gramEnd"/>
    </w:p>
    <w:p w:rsidR="002B5022" w:rsidRDefault="002B5022" w:rsidP="002B5022">
      <w:pPr>
        <w:pStyle w:val="NormalWeb"/>
        <w:spacing w:line="360" w:lineRule="auto"/>
        <w:jc w:val="both"/>
      </w:pPr>
      <w:proofErr w:type="spellStart"/>
      <w:r>
        <w:t>Huemann</w:t>
      </w:r>
      <w:proofErr w:type="spellEnd"/>
      <w:r>
        <w:t xml:space="preserve">, M., </w:t>
      </w:r>
      <w:proofErr w:type="spellStart"/>
      <w:r>
        <w:t>Eskerod</w:t>
      </w:r>
      <w:proofErr w:type="spellEnd"/>
      <w:r>
        <w:t xml:space="preserve">, P. and </w:t>
      </w:r>
      <w:proofErr w:type="spellStart"/>
      <w:r>
        <w:t>Ringhofer</w:t>
      </w:r>
      <w:proofErr w:type="spellEnd"/>
      <w:r>
        <w:t xml:space="preserve">, C. (2016) </w:t>
      </w:r>
      <w:r>
        <w:rPr>
          <w:i/>
          <w:iCs/>
        </w:rPr>
        <w:t xml:space="preserve">Rethink! </w:t>
      </w:r>
      <w:proofErr w:type="gramStart"/>
      <w:r>
        <w:rPr>
          <w:i/>
          <w:iCs/>
        </w:rPr>
        <w:t>project</w:t>
      </w:r>
      <w:proofErr w:type="gramEnd"/>
      <w:r>
        <w:rPr>
          <w:i/>
          <w:iCs/>
        </w:rPr>
        <w:t xml:space="preserve"> stakeholder management</w:t>
      </w:r>
      <w:r>
        <w:t xml:space="preserve">. Newtown Square, PA: Project Management Institute. </w:t>
      </w:r>
    </w:p>
    <w:p w:rsidR="002B5022" w:rsidRDefault="002B5022" w:rsidP="002B5022">
      <w:pPr>
        <w:pStyle w:val="NormalWeb"/>
        <w:spacing w:line="360" w:lineRule="auto"/>
        <w:jc w:val="both"/>
        <w:rPr>
          <w:lang w:val="en-GB"/>
        </w:rPr>
      </w:pPr>
      <w:proofErr w:type="spellStart"/>
      <w:r w:rsidRPr="00C83235">
        <w:rPr>
          <w:lang w:val="en-GB"/>
        </w:rPr>
        <w:t>Kibert</w:t>
      </w:r>
      <w:proofErr w:type="spellEnd"/>
      <w:r w:rsidRPr="00C83235">
        <w:rPr>
          <w:lang w:val="en-GB"/>
        </w:rPr>
        <w:t>, C. J. (2016</w:t>
      </w:r>
      <w:proofErr w:type="gramStart"/>
      <w:r w:rsidRPr="00C83235">
        <w:rPr>
          <w:lang w:val="en-GB"/>
        </w:rPr>
        <w:t>)</w:t>
      </w:r>
      <w:r w:rsidRPr="00C83235">
        <w:rPr>
          <w:i/>
          <w:iCs/>
          <w:lang w:val="en-GB"/>
        </w:rPr>
        <w:t>Sustainable</w:t>
      </w:r>
      <w:proofErr w:type="gramEnd"/>
      <w:r w:rsidRPr="00C83235">
        <w:rPr>
          <w:i/>
          <w:iCs/>
          <w:lang w:val="en-GB"/>
        </w:rPr>
        <w:t xml:space="preserve"> construction: green building design and delivery</w:t>
      </w:r>
      <w:r w:rsidRPr="00C83235">
        <w:rPr>
          <w:lang w:val="en-GB"/>
        </w:rPr>
        <w:t xml:space="preserve">. </w:t>
      </w:r>
      <w:proofErr w:type="gramStart"/>
      <w:r w:rsidRPr="00C83235">
        <w:rPr>
          <w:lang w:val="en-GB"/>
        </w:rPr>
        <w:t xml:space="preserve">John Wiley </w:t>
      </w:r>
      <w:r>
        <w:rPr>
          <w:lang w:val="en-GB"/>
        </w:rPr>
        <w:t>and</w:t>
      </w:r>
      <w:r w:rsidRPr="00C83235">
        <w:rPr>
          <w:lang w:val="en-GB"/>
        </w:rPr>
        <w:t xml:space="preserve"> Sons.</w:t>
      </w:r>
      <w:proofErr w:type="gramEnd"/>
    </w:p>
    <w:p w:rsidR="002B5022" w:rsidRPr="00C83235" w:rsidRDefault="002B5022" w:rsidP="002B5022">
      <w:pPr>
        <w:pStyle w:val="NormalWeb"/>
        <w:spacing w:line="360" w:lineRule="auto"/>
        <w:jc w:val="both"/>
        <w:rPr>
          <w:lang w:val="en-GB"/>
        </w:rPr>
      </w:pPr>
    </w:p>
    <w:p w:rsidR="002B5022" w:rsidRDefault="002B5022" w:rsidP="002B5022">
      <w:pPr>
        <w:pStyle w:val="ListParagraph"/>
        <w:numPr>
          <w:ilvl w:val="0"/>
          <w:numId w:val="5"/>
        </w:numPr>
      </w:pPr>
      <w:r>
        <w:br w:type="page"/>
      </w:r>
    </w:p>
    <w:p w:rsidR="002B5022" w:rsidRPr="002B5022" w:rsidRDefault="002B5022" w:rsidP="002B5022">
      <w:pPr>
        <w:rPr>
          <w:lang w:val="en-GB"/>
        </w:rPr>
      </w:pPr>
    </w:p>
    <w:p w:rsidR="002B5022" w:rsidRPr="002B5022" w:rsidRDefault="002B5022" w:rsidP="00AB1732">
      <w:pPr>
        <w:rPr>
          <w:lang w:val="en-GB"/>
        </w:rPr>
      </w:pPr>
    </w:p>
    <w:p w:rsidR="00AB1732" w:rsidRPr="00BD4035" w:rsidRDefault="00AB1732" w:rsidP="00AB1732">
      <w:r>
        <w:br w:type="page"/>
      </w:r>
    </w:p>
    <w:p w:rsidR="00AB1732" w:rsidRPr="00AB1732" w:rsidRDefault="00AB1732" w:rsidP="00AB1732">
      <w:pPr>
        <w:rPr>
          <w:lang w:val="en-GB"/>
        </w:rPr>
      </w:pPr>
    </w:p>
    <w:p w:rsidR="00AB1732" w:rsidRPr="00AB1732" w:rsidRDefault="00AB1732" w:rsidP="00AB1732">
      <w:pPr>
        <w:rPr>
          <w:lang w:val="en-GB"/>
        </w:rPr>
      </w:pPr>
    </w:p>
    <w:p w:rsidR="00AB1732" w:rsidRPr="00AB1732" w:rsidRDefault="00AB1732" w:rsidP="00AB1732">
      <w:pPr>
        <w:rPr>
          <w:lang w:val="en-GB"/>
        </w:rPr>
      </w:pPr>
    </w:p>
    <w:p w:rsidR="00AB1732" w:rsidRPr="00AB1732" w:rsidRDefault="00AB1732" w:rsidP="00AB1732">
      <w:pPr>
        <w:rPr>
          <w:lang w:val="en-GB"/>
        </w:rPr>
      </w:pPr>
    </w:p>
    <w:p w:rsidR="00AB1732" w:rsidRPr="00AB1732" w:rsidRDefault="00AB1732" w:rsidP="00AB1732">
      <w:pPr>
        <w:rPr>
          <w:lang w:val="en-GB"/>
        </w:rPr>
      </w:pPr>
    </w:p>
    <w:p w:rsidR="00DF1E1C" w:rsidRDefault="00DF1E1C" w:rsidP="00DF1E1C">
      <w:r>
        <w:br w:type="page"/>
      </w:r>
    </w:p>
    <w:p w:rsidR="00DF1E1C" w:rsidRPr="00DF1E1C" w:rsidRDefault="00DF1E1C">
      <w:pPr>
        <w:rPr>
          <w:b/>
          <w:sz w:val="36"/>
          <w:szCs w:val="36"/>
          <w:lang w:val="en-GB"/>
        </w:rPr>
      </w:pPr>
    </w:p>
    <w:sectPr w:rsidR="00DF1E1C" w:rsidRPr="00DF1E1C" w:rsidSect="00B56C5A">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D24E16"/>
    <w:multiLevelType w:val="hybridMultilevel"/>
    <w:tmpl w:val="B4A21D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4046A92"/>
    <w:multiLevelType w:val="hybridMultilevel"/>
    <w:tmpl w:val="5FCA656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76E5091"/>
    <w:multiLevelType w:val="hybridMultilevel"/>
    <w:tmpl w:val="0A4C89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98C136B"/>
    <w:multiLevelType w:val="hybridMultilevel"/>
    <w:tmpl w:val="326245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91154FA"/>
    <w:multiLevelType w:val="hybridMultilevel"/>
    <w:tmpl w:val="5ED21D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99312E"/>
    <w:rsid w:val="002660C3"/>
    <w:rsid w:val="002B5022"/>
    <w:rsid w:val="004E3F43"/>
    <w:rsid w:val="00796A88"/>
    <w:rsid w:val="00931892"/>
    <w:rsid w:val="0099312E"/>
    <w:rsid w:val="00AB1732"/>
    <w:rsid w:val="00B56C5A"/>
    <w:rsid w:val="00DF1E1C"/>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6C5A"/>
  </w:style>
  <w:style w:type="paragraph" w:styleId="Heading1">
    <w:name w:val="heading 1"/>
    <w:basedOn w:val="Normal"/>
    <w:next w:val="Normal"/>
    <w:link w:val="Heading1Char"/>
    <w:autoRedefine/>
    <w:uiPriority w:val="9"/>
    <w:qFormat/>
    <w:rsid w:val="002B5022"/>
    <w:pPr>
      <w:keepNext/>
      <w:keepLines/>
      <w:spacing w:after="0" w:line="480" w:lineRule="auto"/>
      <w:jc w:val="both"/>
      <w:outlineLvl w:val="0"/>
    </w:pPr>
    <w:rPr>
      <w:rFonts w:ascii="Times New Roman" w:eastAsiaTheme="majorEastAsia" w:hAnsi="Times New Roman" w:cstheme="majorBidi"/>
      <w:b/>
      <w:sz w:val="36"/>
      <w:szCs w:val="36"/>
      <w:lang w:val="en-US"/>
    </w:rPr>
  </w:style>
  <w:style w:type="paragraph" w:styleId="Heading2">
    <w:name w:val="heading 2"/>
    <w:basedOn w:val="Normal"/>
    <w:next w:val="Normal"/>
    <w:link w:val="Heading2Char"/>
    <w:uiPriority w:val="9"/>
    <w:semiHidden/>
    <w:unhideWhenUsed/>
    <w:qFormat/>
    <w:rsid w:val="00AB173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5022"/>
    <w:rPr>
      <w:rFonts w:ascii="Times New Roman" w:eastAsiaTheme="majorEastAsia" w:hAnsi="Times New Roman" w:cstheme="majorBidi"/>
      <w:b/>
      <w:sz w:val="36"/>
      <w:szCs w:val="36"/>
      <w:lang w:val="en-US"/>
    </w:rPr>
  </w:style>
  <w:style w:type="character" w:customStyle="1" w:styleId="Heading2Char">
    <w:name w:val="Heading 2 Char"/>
    <w:basedOn w:val="DefaultParagraphFont"/>
    <w:link w:val="Heading2"/>
    <w:uiPriority w:val="9"/>
    <w:semiHidden/>
    <w:rsid w:val="00AB1732"/>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AB1732"/>
    <w:pPr>
      <w:spacing w:after="160" w:line="360" w:lineRule="auto"/>
      <w:ind w:left="720"/>
      <w:contextualSpacing/>
      <w:jc w:val="both"/>
    </w:pPr>
    <w:rPr>
      <w:rFonts w:ascii="Times New Roman" w:hAnsi="Times New Roman"/>
      <w:kern w:val="2"/>
      <w:sz w:val="24"/>
      <w:lang w:val="en-US"/>
    </w:rPr>
  </w:style>
  <w:style w:type="table" w:customStyle="1" w:styleId="GridTable3Accent6">
    <w:name w:val="Grid Table 3 Accent 6"/>
    <w:basedOn w:val="TableNormal"/>
    <w:uiPriority w:val="48"/>
    <w:rsid w:val="00AB1732"/>
    <w:pPr>
      <w:spacing w:after="0" w:line="240" w:lineRule="auto"/>
    </w:pPr>
    <w:rPr>
      <w:kern w:val="2"/>
      <w:lang w:val="en-US"/>
    </w:rPr>
    <w:tblPr>
      <w:tblStyleRowBandSize w:val="1"/>
      <w:tblStyleColBandSize w:val="1"/>
      <w:tblInd w:w="0" w:type="dxa"/>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bottom w:val="single" w:sz="4" w:space="0" w:color="FABF8F" w:themeColor="accent6" w:themeTint="99"/>
        </w:tcBorders>
      </w:tcPr>
    </w:tblStylePr>
    <w:tblStylePr w:type="nwCell">
      <w:tblPr/>
      <w:tcPr>
        <w:tcBorders>
          <w:bottom w:val="single" w:sz="4" w:space="0" w:color="FABF8F" w:themeColor="accent6" w:themeTint="99"/>
        </w:tcBorders>
      </w:tcPr>
    </w:tblStylePr>
    <w:tblStylePr w:type="seCell">
      <w:tblPr/>
      <w:tcPr>
        <w:tcBorders>
          <w:top w:val="single" w:sz="4" w:space="0" w:color="FABF8F" w:themeColor="accent6" w:themeTint="99"/>
        </w:tcBorders>
      </w:tcPr>
    </w:tblStylePr>
    <w:tblStylePr w:type="swCell">
      <w:tblPr/>
      <w:tcPr>
        <w:tcBorders>
          <w:top w:val="single" w:sz="4" w:space="0" w:color="FABF8F" w:themeColor="accent6" w:themeTint="99"/>
        </w:tcBorders>
      </w:tcPr>
    </w:tblStylePr>
  </w:style>
  <w:style w:type="paragraph" w:styleId="NormalWeb">
    <w:name w:val="Normal (Web)"/>
    <w:basedOn w:val="Normal"/>
    <w:uiPriority w:val="99"/>
    <w:unhideWhenUsed/>
    <w:rsid w:val="002B5022"/>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14</Pages>
  <Words>3150</Words>
  <Characters>17955</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2023-11-27T16:10:00Z</dcterms:created>
  <dcterms:modified xsi:type="dcterms:W3CDTF">2023-11-29T20:17:00Z</dcterms:modified>
</cp:coreProperties>
</file>