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F81BD" w:themeColor="accent1"/>
          <w:lang w:val="en-GB"/>
        </w:rPr>
        <w:id w:val="-1229464089"/>
        <w:docPartObj>
          <w:docPartGallery w:val="Cover Pages"/>
          <w:docPartUnique/>
        </w:docPartObj>
      </w:sdtPr>
      <w:sdtEndPr>
        <w:rPr>
          <w:rFonts w:cstheme="minorHAnsi"/>
          <w:b/>
          <w:bCs/>
          <w:color w:val="auto"/>
          <w:sz w:val="28"/>
          <w:szCs w:val="28"/>
        </w:rPr>
      </w:sdtEndPr>
      <w:sdtContent>
        <w:p w14:paraId="4B5D2BBF" w14:textId="0F6CC8B1" w:rsidR="00497378" w:rsidRDefault="00497378">
          <w:pPr>
            <w:pStyle w:val="NoSpacing"/>
            <w:spacing w:before="1540" w:after="240"/>
            <w:jc w:val="center"/>
            <w:rPr>
              <w:color w:val="4F81BD" w:themeColor="accent1"/>
            </w:rPr>
          </w:pPr>
          <w:r>
            <w:rPr>
              <w:noProof/>
              <w:color w:val="4F81BD" w:themeColor="accent1"/>
            </w:rPr>
            <w:drawing>
              <wp:inline distT="0" distB="0" distL="0" distR="0" wp14:anchorId="52E14D9E" wp14:editId="286B8423">
                <wp:extent cx="1417320" cy="750898"/>
                <wp:effectExtent l="0" t="0" r="0" b="0"/>
                <wp:docPr id="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0640FAF" w14:textId="6F61E729" w:rsidR="00497378" w:rsidRDefault="00497378" w:rsidP="00497378">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Assignment 1 – Essay</w:t>
          </w:r>
        </w:p>
        <w:p w14:paraId="4556FFE6" w14:textId="7C5311A7" w:rsidR="00497378" w:rsidRDefault="0066731F" w:rsidP="00497378">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cstheme="minorHAnsi"/>
              <w:b/>
              <w:bCs/>
              <w:noProof/>
              <w:sz w:val="28"/>
              <w:szCs w:val="28"/>
            </w:rPr>
            <w:drawing>
              <wp:anchor distT="0" distB="0" distL="114300" distR="114300" simplePos="0" relativeHeight="251658240" behindDoc="0" locked="0" layoutInCell="1" allowOverlap="1" wp14:anchorId="1F336EF6" wp14:editId="7F28BEC5">
                <wp:simplePos x="0" y="0"/>
                <wp:positionH relativeFrom="margin">
                  <wp:align>right</wp:align>
                </wp:positionH>
                <wp:positionV relativeFrom="page">
                  <wp:posOffset>6195060</wp:posOffset>
                </wp:positionV>
                <wp:extent cx="5730240" cy="1516380"/>
                <wp:effectExtent l="0" t="0" r="3810" b="7620"/>
                <wp:wrapSquare wrapText="bothSides"/>
                <wp:docPr id="46528790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287902" name="Picture 5"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0240" cy="1516380"/>
                        </a:xfrm>
                        <a:prstGeom prst="rect">
                          <a:avLst/>
                        </a:prstGeom>
                      </pic:spPr>
                    </pic:pic>
                  </a:graphicData>
                </a:graphic>
                <wp14:sizeRelH relativeFrom="margin">
                  <wp14:pctWidth>0</wp14:pctWidth>
                </wp14:sizeRelH>
              </wp:anchor>
            </w:drawing>
          </w:r>
          <w:r w:rsidR="00497378">
            <w:rPr>
              <w:rFonts w:asciiTheme="majorHAnsi" w:eastAsiaTheme="majorEastAsia" w:hAnsiTheme="majorHAnsi" w:cstheme="majorBidi"/>
              <w:caps/>
              <w:color w:val="4F81BD" w:themeColor="accent1"/>
              <w:sz w:val="72"/>
              <w:szCs w:val="72"/>
            </w:rPr>
            <w:t>Hounslow council</w:t>
          </w:r>
        </w:p>
        <w:sdt>
          <w:sdtPr>
            <w:rPr>
              <w:b/>
              <w:sz w:val="36"/>
              <w:szCs w:val="36"/>
            </w:rPr>
            <w:alias w:val="Subtitle"/>
            <w:tag w:val=""/>
            <w:id w:val="328029620"/>
            <w:placeholder>
              <w:docPart w:val="D7C14D6882314B2F8D2DD8D7F5B87701"/>
            </w:placeholder>
            <w:dataBinding w:prefixMappings="xmlns:ns0='http://purl.org/dc/elements/1.1/' xmlns:ns1='http://schemas.openxmlformats.org/package/2006/metadata/core-properties' " w:xpath="/ns1:coreProperties[1]/ns0:subject[1]" w:storeItemID="{6C3C8BC8-F283-45AE-878A-BAB7291924A1}"/>
            <w:text/>
          </w:sdtPr>
          <w:sdtContent>
            <w:p w14:paraId="29BA897D" w14:textId="54025E91" w:rsidR="00497378" w:rsidRPr="00497378" w:rsidRDefault="00497378" w:rsidP="00497378">
              <w:pPr>
                <w:pStyle w:val="NoSpacing"/>
                <w:jc w:val="center"/>
                <w:rPr>
                  <w:color w:val="4F81BD" w:themeColor="accent1"/>
                  <w:sz w:val="36"/>
                  <w:szCs w:val="36"/>
                </w:rPr>
              </w:pPr>
              <w:r w:rsidRPr="00497378">
                <w:rPr>
                  <w:b/>
                  <w:sz w:val="36"/>
                  <w:szCs w:val="36"/>
                </w:rPr>
                <w:t>Student: Linda Roze (2219027)                                                                              Programme: BABM                                                                                                     Module: Community engagement (LCBB4002)                                                           Lecturer: Nadeem Mirza</w:t>
              </w:r>
            </w:p>
          </w:sdtContent>
        </w:sdt>
        <w:p w14:paraId="74393CE0" w14:textId="3C16F958" w:rsidR="00497378" w:rsidRDefault="00497378">
          <w:pPr>
            <w:pStyle w:val="NoSpacing"/>
            <w:spacing w:before="480"/>
            <w:jc w:val="center"/>
            <w:rPr>
              <w:color w:val="4F81BD" w:themeColor="accent1"/>
            </w:rPr>
          </w:pPr>
          <w:r>
            <w:rPr>
              <w:noProof/>
              <w:color w:val="4F81BD" w:themeColor="accent1"/>
            </w:rPr>
            <w:drawing>
              <wp:inline distT="0" distB="0" distL="0" distR="0" wp14:anchorId="563DAF56" wp14:editId="52743A06">
                <wp:extent cx="758952" cy="478932"/>
                <wp:effectExtent l="0" t="0" r="3175" b="0"/>
                <wp:docPr id="1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B35862" w14:textId="7FC32443" w:rsidR="00497378" w:rsidRDefault="00497378">
          <w:pPr>
            <w:rPr>
              <w:rFonts w:cstheme="minorHAnsi"/>
              <w:b/>
              <w:bCs/>
              <w:sz w:val="28"/>
              <w:szCs w:val="28"/>
              <w:lang w:val="en-US"/>
            </w:rPr>
          </w:pPr>
          <w:r>
            <w:rPr>
              <w:rFonts w:cstheme="minorHAnsi"/>
              <w:b/>
              <w:bCs/>
              <w:sz w:val="28"/>
              <w:szCs w:val="28"/>
              <w:lang w:val="en-US"/>
            </w:rPr>
            <w:br w:type="page"/>
          </w:r>
        </w:p>
      </w:sdtContent>
    </w:sdt>
    <w:p w14:paraId="021597DD" w14:textId="77777777" w:rsidR="00F27994" w:rsidRDefault="00F27994" w:rsidP="00F27994">
      <w:pPr>
        <w:spacing w:line="360" w:lineRule="auto"/>
        <w:jc w:val="center"/>
        <w:rPr>
          <w:rFonts w:cstheme="minorHAnsi"/>
          <w:b/>
          <w:bCs/>
          <w:sz w:val="32"/>
          <w:szCs w:val="32"/>
          <w:lang w:val="en-US"/>
        </w:rPr>
      </w:pPr>
    </w:p>
    <w:sdt>
      <w:sdtPr>
        <w:rPr>
          <w:rFonts w:asciiTheme="minorHAnsi" w:eastAsiaTheme="minorHAnsi" w:hAnsiTheme="minorHAnsi" w:cstheme="minorBidi"/>
          <w:color w:val="auto"/>
          <w:sz w:val="22"/>
          <w:szCs w:val="22"/>
          <w:lang w:val="en-GB"/>
        </w:rPr>
        <w:id w:val="1779302544"/>
        <w:docPartObj>
          <w:docPartGallery w:val="Table of Contents"/>
          <w:docPartUnique/>
        </w:docPartObj>
      </w:sdtPr>
      <w:sdtEndPr>
        <w:rPr>
          <w:b/>
          <w:bCs/>
          <w:noProof/>
        </w:rPr>
      </w:sdtEndPr>
      <w:sdtContent>
        <w:p w14:paraId="1141F9B8" w14:textId="0A7491BC" w:rsidR="00C03EB0" w:rsidRDefault="00C03EB0">
          <w:pPr>
            <w:pStyle w:val="TOCHeading"/>
          </w:pPr>
          <w:r>
            <w:t>Table of Contents</w:t>
          </w:r>
        </w:p>
        <w:p w14:paraId="42329A0F" w14:textId="3D046679" w:rsidR="0011267D" w:rsidRDefault="00C03EB0">
          <w:pPr>
            <w:pStyle w:val="TOC1"/>
            <w:tabs>
              <w:tab w:val="right" w:leader="dot" w:pos="9016"/>
            </w:tabs>
            <w:rPr>
              <w:rFonts w:eastAsiaTheme="minorEastAsia"/>
              <w:noProof/>
              <w:lang w:val="lv-LV" w:eastAsia="lv-LV"/>
            </w:rPr>
          </w:pPr>
          <w:r>
            <w:fldChar w:fldCharType="begin"/>
          </w:r>
          <w:r>
            <w:instrText xml:space="preserve"> TOC \o "1-3" \h \z \u </w:instrText>
          </w:r>
          <w:r>
            <w:fldChar w:fldCharType="separate"/>
          </w:r>
          <w:hyperlink w:anchor="_Toc131885220" w:history="1">
            <w:r w:rsidR="0011267D" w:rsidRPr="00DF5C41">
              <w:rPr>
                <w:rStyle w:val="Hyperlink"/>
                <w:rFonts w:ascii="Arial" w:hAnsi="Arial" w:cs="Arial"/>
                <w:noProof/>
              </w:rPr>
              <w:t>Introduction</w:t>
            </w:r>
            <w:r w:rsidR="0011267D">
              <w:rPr>
                <w:noProof/>
                <w:webHidden/>
              </w:rPr>
              <w:tab/>
            </w:r>
            <w:r w:rsidR="0011267D">
              <w:rPr>
                <w:noProof/>
                <w:webHidden/>
              </w:rPr>
              <w:fldChar w:fldCharType="begin"/>
            </w:r>
            <w:r w:rsidR="0011267D">
              <w:rPr>
                <w:noProof/>
                <w:webHidden/>
              </w:rPr>
              <w:instrText xml:space="preserve"> PAGEREF _Toc131885220 \h </w:instrText>
            </w:r>
            <w:r w:rsidR="0011267D">
              <w:rPr>
                <w:noProof/>
                <w:webHidden/>
              </w:rPr>
            </w:r>
            <w:r w:rsidR="0011267D">
              <w:rPr>
                <w:noProof/>
                <w:webHidden/>
              </w:rPr>
              <w:fldChar w:fldCharType="separate"/>
            </w:r>
            <w:r w:rsidR="0011267D">
              <w:rPr>
                <w:noProof/>
                <w:webHidden/>
              </w:rPr>
              <w:t>1</w:t>
            </w:r>
            <w:r w:rsidR="0011267D">
              <w:rPr>
                <w:noProof/>
                <w:webHidden/>
              </w:rPr>
              <w:fldChar w:fldCharType="end"/>
            </w:r>
          </w:hyperlink>
        </w:p>
        <w:p w14:paraId="2A4CF7BC" w14:textId="43DD464C" w:rsidR="0011267D" w:rsidRDefault="0011267D">
          <w:pPr>
            <w:pStyle w:val="TOC1"/>
            <w:tabs>
              <w:tab w:val="right" w:leader="dot" w:pos="9016"/>
            </w:tabs>
            <w:rPr>
              <w:rFonts w:eastAsiaTheme="minorEastAsia"/>
              <w:noProof/>
              <w:lang w:val="lv-LV" w:eastAsia="lv-LV"/>
            </w:rPr>
          </w:pPr>
          <w:hyperlink w:anchor="_Toc131885221" w:history="1">
            <w:r w:rsidRPr="00DF5C41">
              <w:rPr>
                <w:rStyle w:val="Hyperlink"/>
                <w:rFonts w:ascii="Arial" w:hAnsi="Arial" w:cs="Arial"/>
                <w:noProof/>
              </w:rPr>
              <w:t>Porter’s Five Forces analysis</w:t>
            </w:r>
            <w:r>
              <w:rPr>
                <w:noProof/>
                <w:webHidden/>
              </w:rPr>
              <w:tab/>
            </w:r>
            <w:r>
              <w:rPr>
                <w:noProof/>
                <w:webHidden/>
              </w:rPr>
              <w:fldChar w:fldCharType="begin"/>
            </w:r>
            <w:r>
              <w:rPr>
                <w:noProof/>
                <w:webHidden/>
              </w:rPr>
              <w:instrText xml:space="preserve"> PAGEREF _Toc131885221 \h </w:instrText>
            </w:r>
            <w:r>
              <w:rPr>
                <w:noProof/>
                <w:webHidden/>
              </w:rPr>
            </w:r>
            <w:r>
              <w:rPr>
                <w:noProof/>
                <w:webHidden/>
              </w:rPr>
              <w:fldChar w:fldCharType="separate"/>
            </w:r>
            <w:r>
              <w:rPr>
                <w:noProof/>
                <w:webHidden/>
              </w:rPr>
              <w:t>3</w:t>
            </w:r>
            <w:r>
              <w:rPr>
                <w:noProof/>
                <w:webHidden/>
              </w:rPr>
              <w:fldChar w:fldCharType="end"/>
            </w:r>
          </w:hyperlink>
        </w:p>
        <w:p w14:paraId="65C8A94F" w14:textId="4D53C0D1" w:rsidR="0011267D" w:rsidRDefault="0011267D">
          <w:pPr>
            <w:pStyle w:val="TOC1"/>
            <w:tabs>
              <w:tab w:val="right" w:leader="dot" w:pos="9016"/>
            </w:tabs>
            <w:rPr>
              <w:rFonts w:eastAsiaTheme="minorEastAsia"/>
              <w:noProof/>
              <w:lang w:val="lv-LV" w:eastAsia="lv-LV"/>
            </w:rPr>
          </w:pPr>
          <w:hyperlink w:anchor="_Toc131885222" w:history="1">
            <w:r w:rsidRPr="00DF5C41">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_Toc131885222 \h </w:instrText>
            </w:r>
            <w:r>
              <w:rPr>
                <w:noProof/>
                <w:webHidden/>
              </w:rPr>
            </w:r>
            <w:r>
              <w:rPr>
                <w:noProof/>
                <w:webHidden/>
              </w:rPr>
              <w:fldChar w:fldCharType="separate"/>
            </w:r>
            <w:r>
              <w:rPr>
                <w:noProof/>
                <w:webHidden/>
              </w:rPr>
              <w:t>5</w:t>
            </w:r>
            <w:r>
              <w:rPr>
                <w:noProof/>
                <w:webHidden/>
              </w:rPr>
              <w:fldChar w:fldCharType="end"/>
            </w:r>
          </w:hyperlink>
        </w:p>
        <w:p w14:paraId="5E141683" w14:textId="0364F2B5" w:rsidR="0011267D" w:rsidRDefault="0011267D">
          <w:pPr>
            <w:pStyle w:val="TOC1"/>
            <w:tabs>
              <w:tab w:val="right" w:leader="dot" w:pos="9016"/>
            </w:tabs>
            <w:rPr>
              <w:rFonts w:eastAsiaTheme="minorEastAsia"/>
              <w:noProof/>
              <w:lang w:val="lv-LV" w:eastAsia="lv-LV"/>
            </w:rPr>
          </w:pPr>
          <w:hyperlink w:anchor="_Toc131885223" w:history="1">
            <w:r w:rsidRPr="00DF5C41">
              <w:rPr>
                <w:rStyle w:val="Hyperlink"/>
                <w:rFonts w:ascii="Arial" w:hAnsi="Arial" w:cs="Arial"/>
                <w:noProof/>
              </w:rPr>
              <w:t>Social issues in Hounslow Council</w:t>
            </w:r>
            <w:r>
              <w:rPr>
                <w:noProof/>
                <w:webHidden/>
              </w:rPr>
              <w:tab/>
            </w:r>
            <w:r>
              <w:rPr>
                <w:noProof/>
                <w:webHidden/>
              </w:rPr>
              <w:fldChar w:fldCharType="begin"/>
            </w:r>
            <w:r>
              <w:rPr>
                <w:noProof/>
                <w:webHidden/>
              </w:rPr>
              <w:instrText xml:space="preserve"> PAGEREF _Toc131885223 \h </w:instrText>
            </w:r>
            <w:r>
              <w:rPr>
                <w:noProof/>
                <w:webHidden/>
              </w:rPr>
            </w:r>
            <w:r>
              <w:rPr>
                <w:noProof/>
                <w:webHidden/>
              </w:rPr>
              <w:fldChar w:fldCharType="separate"/>
            </w:r>
            <w:r>
              <w:rPr>
                <w:noProof/>
                <w:webHidden/>
              </w:rPr>
              <w:t>7</w:t>
            </w:r>
            <w:r>
              <w:rPr>
                <w:noProof/>
                <w:webHidden/>
              </w:rPr>
              <w:fldChar w:fldCharType="end"/>
            </w:r>
          </w:hyperlink>
        </w:p>
        <w:p w14:paraId="43B07F20" w14:textId="3CF97AD7" w:rsidR="0011267D" w:rsidRDefault="0011267D">
          <w:pPr>
            <w:pStyle w:val="TOC1"/>
            <w:tabs>
              <w:tab w:val="right" w:leader="dot" w:pos="9016"/>
            </w:tabs>
            <w:rPr>
              <w:rFonts w:eastAsiaTheme="minorEastAsia"/>
              <w:noProof/>
              <w:lang w:val="lv-LV" w:eastAsia="lv-LV"/>
            </w:rPr>
          </w:pPr>
          <w:hyperlink w:anchor="_Toc131885224" w:history="1">
            <w:r w:rsidRPr="00DF5C41">
              <w:rPr>
                <w:rStyle w:val="Hyperlink"/>
                <w:rFonts w:ascii="Arial" w:hAnsi="Arial" w:cs="Arial"/>
                <w:noProof/>
              </w:rPr>
              <w:t>Advantages and disadvantages</w:t>
            </w:r>
            <w:r>
              <w:rPr>
                <w:noProof/>
                <w:webHidden/>
              </w:rPr>
              <w:tab/>
            </w:r>
            <w:r>
              <w:rPr>
                <w:noProof/>
                <w:webHidden/>
              </w:rPr>
              <w:fldChar w:fldCharType="begin"/>
            </w:r>
            <w:r>
              <w:rPr>
                <w:noProof/>
                <w:webHidden/>
              </w:rPr>
              <w:instrText xml:space="preserve"> PAGEREF _Toc131885224 \h </w:instrText>
            </w:r>
            <w:r>
              <w:rPr>
                <w:noProof/>
                <w:webHidden/>
              </w:rPr>
            </w:r>
            <w:r>
              <w:rPr>
                <w:noProof/>
                <w:webHidden/>
              </w:rPr>
              <w:fldChar w:fldCharType="separate"/>
            </w:r>
            <w:r>
              <w:rPr>
                <w:noProof/>
                <w:webHidden/>
              </w:rPr>
              <w:t>8</w:t>
            </w:r>
            <w:r>
              <w:rPr>
                <w:noProof/>
                <w:webHidden/>
              </w:rPr>
              <w:fldChar w:fldCharType="end"/>
            </w:r>
          </w:hyperlink>
        </w:p>
        <w:p w14:paraId="6509B8CD" w14:textId="22F18D08" w:rsidR="0011267D" w:rsidRDefault="0011267D">
          <w:pPr>
            <w:pStyle w:val="TOC2"/>
            <w:tabs>
              <w:tab w:val="right" w:leader="dot" w:pos="9016"/>
            </w:tabs>
            <w:rPr>
              <w:rFonts w:eastAsiaTheme="minorEastAsia"/>
              <w:noProof/>
              <w:lang w:val="lv-LV" w:eastAsia="lv-LV"/>
            </w:rPr>
          </w:pPr>
          <w:hyperlink w:anchor="_Toc131885225" w:history="1">
            <w:r w:rsidRPr="00DF5C41">
              <w:rPr>
                <w:rStyle w:val="Hyperlink"/>
                <w:noProof/>
              </w:rPr>
              <w:t>Advantages:</w:t>
            </w:r>
            <w:r>
              <w:rPr>
                <w:noProof/>
                <w:webHidden/>
              </w:rPr>
              <w:tab/>
            </w:r>
            <w:r>
              <w:rPr>
                <w:noProof/>
                <w:webHidden/>
              </w:rPr>
              <w:fldChar w:fldCharType="begin"/>
            </w:r>
            <w:r>
              <w:rPr>
                <w:noProof/>
                <w:webHidden/>
              </w:rPr>
              <w:instrText xml:space="preserve"> PAGEREF _Toc131885225 \h </w:instrText>
            </w:r>
            <w:r>
              <w:rPr>
                <w:noProof/>
                <w:webHidden/>
              </w:rPr>
            </w:r>
            <w:r>
              <w:rPr>
                <w:noProof/>
                <w:webHidden/>
              </w:rPr>
              <w:fldChar w:fldCharType="separate"/>
            </w:r>
            <w:r>
              <w:rPr>
                <w:noProof/>
                <w:webHidden/>
              </w:rPr>
              <w:t>8</w:t>
            </w:r>
            <w:r>
              <w:rPr>
                <w:noProof/>
                <w:webHidden/>
              </w:rPr>
              <w:fldChar w:fldCharType="end"/>
            </w:r>
          </w:hyperlink>
        </w:p>
        <w:p w14:paraId="410389EF" w14:textId="415C1790" w:rsidR="0011267D" w:rsidRDefault="0011267D">
          <w:pPr>
            <w:pStyle w:val="TOC2"/>
            <w:tabs>
              <w:tab w:val="right" w:leader="dot" w:pos="9016"/>
            </w:tabs>
            <w:rPr>
              <w:rFonts w:eastAsiaTheme="minorEastAsia"/>
              <w:noProof/>
              <w:lang w:val="lv-LV" w:eastAsia="lv-LV"/>
            </w:rPr>
          </w:pPr>
          <w:hyperlink w:anchor="_Toc131885226" w:history="1">
            <w:r w:rsidRPr="00DF5C41">
              <w:rPr>
                <w:rStyle w:val="Hyperlink"/>
                <w:noProof/>
                <w:lang w:val="en-US"/>
              </w:rPr>
              <w:t>Disadvantages:</w:t>
            </w:r>
            <w:r>
              <w:rPr>
                <w:noProof/>
                <w:webHidden/>
              </w:rPr>
              <w:tab/>
            </w:r>
            <w:r>
              <w:rPr>
                <w:noProof/>
                <w:webHidden/>
              </w:rPr>
              <w:fldChar w:fldCharType="begin"/>
            </w:r>
            <w:r>
              <w:rPr>
                <w:noProof/>
                <w:webHidden/>
              </w:rPr>
              <w:instrText xml:space="preserve"> PAGEREF _Toc131885226 \h </w:instrText>
            </w:r>
            <w:r>
              <w:rPr>
                <w:noProof/>
                <w:webHidden/>
              </w:rPr>
            </w:r>
            <w:r>
              <w:rPr>
                <w:noProof/>
                <w:webHidden/>
              </w:rPr>
              <w:fldChar w:fldCharType="separate"/>
            </w:r>
            <w:r>
              <w:rPr>
                <w:noProof/>
                <w:webHidden/>
              </w:rPr>
              <w:t>8</w:t>
            </w:r>
            <w:r>
              <w:rPr>
                <w:noProof/>
                <w:webHidden/>
              </w:rPr>
              <w:fldChar w:fldCharType="end"/>
            </w:r>
          </w:hyperlink>
        </w:p>
        <w:p w14:paraId="3FCF5A29" w14:textId="58735A1E" w:rsidR="0011267D" w:rsidRDefault="0011267D">
          <w:pPr>
            <w:pStyle w:val="TOC1"/>
            <w:tabs>
              <w:tab w:val="right" w:leader="dot" w:pos="9016"/>
            </w:tabs>
            <w:rPr>
              <w:rFonts w:eastAsiaTheme="minorEastAsia"/>
              <w:noProof/>
              <w:lang w:val="lv-LV" w:eastAsia="lv-LV"/>
            </w:rPr>
          </w:pPr>
          <w:hyperlink w:anchor="_Toc131885227" w:history="1">
            <w:r w:rsidRPr="00DF5C41">
              <w:rPr>
                <w:rStyle w:val="Hyperlink"/>
                <w:rFonts w:ascii="Arial" w:hAnsi="Arial" w:cs="Arial"/>
                <w:noProof/>
              </w:rPr>
              <w:t>The key stakeholders in the Hounslow Council</w:t>
            </w:r>
            <w:r>
              <w:rPr>
                <w:noProof/>
                <w:webHidden/>
              </w:rPr>
              <w:tab/>
            </w:r>
            <w:r>
              <w:rPr>
                <w:noProof/>
                <w:webHidden/>
              </w:rPr>
              <w:fldChar w:fldCharType="begin"/>
            </w:r>
            <w:r>
              <w:rPr>
                <w:noProof/>
                <w:webHidden/>
              </w:rPr>
              <w:instrText xml:space="preserve"> PAGEREF _Toc131885227 \h </w:instrText>
            </w:r>
            <w:r>
              <w:rPr>
                <w:noProof/>
                <w:webHidden/>
              </w:rPr>
            </w:r>
            <w:r>
              <w:rPr>
                <w:noProof/>
                <w:webHidden/>
              </w:rPr>
              <w:fldChar w:fldCharType="separate"/>
            </w:r>
            <w:r>
              <w:rPr>
                <w:noProof/>
                <w:webHidden/>
              </w:rPr>
              <w:t>9</w:t>
            </w:r>
            <w:r>
              <w:rPr>
                <w:noProof/>
                <w:webHidden/>
              </w:rPr>
              <w:fldChar w:fldCharType="end"/>
            </w:r>
          </w:hyperlink>
        </w:p>
        <w:p w14:paraId="10C2A38D" w14:textId="68BA8C5A" w:rsidR="0011267D" w:rsidRDefault="0011267D">
          <w:pPr>
            <w:pStyle w:val="TOC1"/>
            <w:tabs>
              <w:tab w:val="right" w:leader="dot" w:pos="9016"/>
            </w:tabs>
            <w:rPr>
              <w:rFonts w:eastAsiaTheme="minorEastAsia"/>
              <w:noProof/>
              <w:lang w:val="lv-LV" w:eastAsia="lv-LV"/>
            </w:rPr>
          </w:pPr>
          <w:hyperlink w:anchor="_Toc131885228" w:history="1">
            <w:r w:rsidRPr="00DF5C41">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_Toc131885228 \h </w:instrText>
            </w:r>
            <w:r>
              <w:rPr>
                <w:noProof/>
                <w:webHidden/>
              </w:rPr>
            </w:r>
            <w:r>
              <w:rPr>
                <w:noProof/>
                <w:webHidden/>
              </w:rPr>
              <w:fldChar w:fldCharType="separate"/>
            </w:r>
            <w:r>
              <w:rPr>
                <w:noProof/>
                <w:webHidden/>
              </w:rPr>
              <w:t>10</w:t>
            </w:r>
            <w:r>
              <w:rPr>
                <w:noProof/>
                <w:webHidden/>
              </w:rPr>
              <w:fldChar w:fldCharType="end"/>
            </w:r>
          </w:hyperlink>
        </w:p>
        <w:p w14:paraId="160904BC" w14:textId="1C1BA2CE" w:rsidR="0011267D" w:rsidRDefault="0011267D">
          <w:pPr>
            <w:pStyle w:val="TOC1"/>
            <w:tabs>
              <w:tab w:val="right" w:leader="dot" w:pos="9016"/>
            </w:tabs>
            <w:rPr>
              <w:rFonts w:eastAsiaTheme="minorEastAsia"/>
              <w:noProof/>
              <w:lang w:val="lv-LV" w:eastAsia="lv-LV"/>
            </w:rPr>
          </w:pPr>
          <w:hyperlink w:anchor="_Toc131885229" w:history="1">
            <w:r w:rsidRPr="00DF5C4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_Toc131885229 \h </w:instrText>
            </w:r>
            <w:r>
              <w:rPr>
                <w:noProof/>
                <w:webHidden/>
              </w:rPr>
            </w:r>
            <w:r>
              <w:rPr>
                <w:noProof/>
                <w:webHidden/>
              </w:rPr>
              <w:fldChar w:fldCharType="separate"/>
            </w:r>
            <w:r>
              <w:rPr>
                <w:noProof/>
                <w:webHidden/>
              </w:rPr>
              <w:t>12</w:t>
            </w:r>
            <w:r>
              <w:rPr>
                <w:noProof/>
                <w:webHidden/>
              </w:rPr>
              <w:fldChar w:fldCharType="end"/>
            </w:r>
          </w:hyperlink>
        </w:p>
        <w:p w14:paraId="73074FB9" w14:textId="6D4BBB72" w:rsidR="0011267D" w:rsidRDefault="0011267D">
          <w:pPr>
            <w:pStyle w:val="TOC1"/>
            <w:tabs>
              <w:tab w:val="right" w:leader="dot" w:pos="9016"/>
            </w:tabs>
            <w:rPr>
              <w:rFonts w:eastAsiaTheme="minorEastAsia"/>
              <w:noProof/>
              <w:lang w:val="lv-LV" w:eastAsia="lv-LV"/>
            </w:rPr>
          </w:pPr>
          <w:hyperlink w:anchor="_Toc131885230" w:history="1">
            <w:r w:rsidRPr="00DF5C4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_Toc131885230 \h </w:instrText>
            </w:r>
            <w:r>
              <w:rPr>
                <w:noProof/>
                <w:webHidden/>
              </w:rPr>
            </w:r>
            <w:r>
              <w:rPr>
                <w:noProof/>
                <w:webHidden/>
              </w:rPr>
              <w:fldChar w:fldCharType="separate"/>
            </w:r>
            <w:r>
              <w:rPr>
                <w:noProof/>
                <w:webHidden/>
              </w:rPr>
              <w:t>13</w:t>
            </w:r>
            <w:r>
              <w:rPr>
                <w:noProof/>
                <w:webHidden/>
              </w:rPr>
              <w:fldChar w:fldCharType="end"/>
            </w:r>
          </w:hyperlink>
        </w:p>
        <w:p w14:paraId="2B15D0D3" w14:textId="7A8A6B95" w:rsidR="00C03EB0" w:rsidRDefault="00C03EB0">
          <w:r>
            <w:rPr>
              <w:b/>
              <w:bCs/>
              <w:noProof/>
            </w:rPr>
            <w:fldChar w:fldCharType="end"/>
          </w:r>
        </w:p>
      </w:sdtContent>
    </w:sdt>
    <w:p w14:paraId="5A3B2781" w14:textId="77777777" w:rsidR="00F27994" w:rsidRDefault="00F27994" w:rsidP="00F27994">
      <w:pPr>
        <w:spacing w:line="360" w:lineRule="auto"/>
        <w:jc w:val="center"/>
        <w:rPr>
          <w:rFonts w:cstheme="minorHAnsi"/>
          <w:b/>
          <w:bCs/>
          <w:sz w:val="32"/>
          <w:szCs w:val="32"/>
          <w:lang w:val="en-US"/>
        </w:rPr>
      </w:pPr>
    </w:p>
    <w:p w14:paraId="5CCEBEB2" w14:textId="77777777" w:rsidR="00F27994" w:rsidRDefault="00F27994" w:rsidP="00F27994">
      <w:pPr>
        <w:spacing w:line="360" w:lineRule="auto"/>
        <w:jc w:val="center"/>
        <w:rPr>
          <w:rFonts w:cstheme="minorHAnsi"/>
          <w:b/>
          <w:bCs/>
          <w:sz w:val="32"/>
          <w:szCs w:val="32"/>
          <w:lang w:val="en-US"/>
        </w:rPr>
      </w:pPr>
    </w:p>
    <w:p w14:paraId="2CEBA666" w14:textId="77777777" w:rsidR="00F27994" w:rsidRPr="003D3973" w:rsidRDefault="00F27994" w:rsidP="00F27994">
      <w:pPr>
        <w:spacing w:line="360" w:lineRule="auto"/>
        <w:jc w:val="center"/>
        <w:rPr>
          <w:rFonts w:cstheme="minorHAnsi"/>
          <w:b/>
          <w:bCs/>
          <w:sz w:val="28"/>
          <w:szCs w:val="28"/>
          <w:lang w:val="en-US"/>
        </w:rPr>
      </w:pPr>
    </w:p>
    <w:p w14:paraId="0BBB3D6C" w14:textId="674B15C5" w:rsidR="00F27994" w:rsidRDefault="00F27994" w:rsidP="003D3973">
      <w:pPr>
        <w:spacing w:line="360" w:lineRule="auto"/>
        <w:jc w:val="both"/>
        <w:rPr>
          <w:rFonts w:cstheme="minorHAnsi"/>
          <w:b/>
          <w:bCs/>
          <w:sz w:val="28"/>
          <w:szCs w:val="28"/>
          <w:lang w:val="en-US"/>
        </w:rPr>
      </w:pPr>
    </w:p>
    <w:p w14:paraId="468F04E7" w14:textId="77777777" w:rsidR="00F27994" w:rsidRDefault="00F27994" w:rsidP="003D3973">
      <w:pPr>
        <w:spacing w:line="360" w:lineRule="auto"/>
        <w:jc w:val="both"/>
        <w:rPr>
          <w:rFonts w:cstheme="minorHAnsi"/>
          <w:b/>
          <w:bCs/>
          <w:sz w:val="28"/>
          <w:szCs w:val="28"/>
          <w:lang w:val="en-US"/>
        </w:rPr>
      </w:pPr>
    </w:p>
    <w:p w14:paraId="15CA7B61" w14:textId="72F3CF13" w:rsidR="00F27994" w:rsidRDefault="00F27994" w:rsidP="003D3973">
      <w:pPr>
        <w:spacing w:line="360" w:lineRule="auto"/>
        <w:jc w:val="both"/>
        <w:rPr>
          <w:rFonts w:cstheme="minorHAnsi"/>
          <w:b/>
          <w:bCs/>
          <w:sz w:val="28"/>
          <w:szCs w:val="28"/>
          <w:lang w:val="en-US"/>
        </w:rPr>
      </w:pPr>
    </w:p>
    <w:p w14:paraId="0E5C0A50" w14:textId="77777777" w:rsidR="00C03EB0" w:rsidRDefault="00C03EB0" w:rsidP="003D3973">
      <w:pPr>
        <w:spacing w:line="360" w:lineRule="auto"/>
        <w:jc w:val="both"/>
        <w:rPr>
          <w:rFonts w:cstheme="minorHAnsi"/>
          <w:b/>
          <w:bCs/>
          <w:sz w:val="28"/>
          <w:szCs w:val="28"/>
          <w:lang w:val="en-US"/>
        </w:rPr>
      </w:pPr>
    </w:p>
    <w:p w14:paraId="7D8177F7" w14:textId="77777777" w:rsidR="00F27994" w:rsidRDefault="00F27994" w:rsidP="003D3973">
      <w:pPr>
        <w:spacing w:line="360" w:lineRule="auto"/>
        <w:jc w:val="both"/>
        <w:rPr>
          <w:rFonts w:cstheme="minorHAnsi"/>
          <w:b/>
          <w:bCs/>
          <w:sz w:val="28"/>
          <w:szCs w:val="28"/>
          <w:lang w:val="en-US"/>
        </w:rPr>
      </w:pPr>
    </w:p>
    <w:p w14:paraId="57D00DCC" w14:textId="60758DA5" w:rsidR="0011267D" w:rsidRDefault="0011267D">
      <w:pPr>
        <w:rPr>
          <w:rFonts w:ascii="Arial" w:hAnsi="Arial" w:cs="Arial"/>
          <w:b/>
          <w:bCs/>
          <w:sz w:val="24"/>
          <w:szCs w:val="24"/>
          <w:u w:val="single"/>
          <w:lang w:val="en-US"/>
        </w:rPr>
      </w:pPr>
      <w:r>
        <w:rPr>
          <w:rFonts w:ascii="Arial" w:hAnsi="Arial" w:cs="Arial"/>
          <w:b/>
          <w:bCs/>
          <w:sz w:val="24"/>
          <w:szCs w:val="24"/>
          <w:u w:val="single"/>
          <w:lang w:val="en-US"/>
        </w:rPr>
        <w:br w:type="page"/>
      </w:r>
    </w:p>
    <w:p w14:paraId="18C7E50F" w14:textId="77777777" w:rsidR="00C64C27" w:rsidRPr="00C03EB0" w:rsidRDefault="00C64C27" w:rsidP="00C03EB0">
      <w:pPr>
        <w:spacing w:line="360" w:lineRule="auto"/>
        <w:jc w:val="both"/>
        <w:rPr>
          <w:rFonts w:ascii="Arial" w:hAnsi="Arial" w:cs="Arial"/>
          <w:b/>
          <w:bCs/>
          <w:sz w:val="24"/>
          <w:szCs w:val="24"/>
          <w:u w:val="single"/>
          <w:lang w:val="en-US"/>
        </w:rPr>
      </w:pPr>
    </w:p>
    <w:p w14:paraId="38FC0B51" w14:textId="2D03D6B1" w:rsidR="006E7E8D" w:rsidRPr="0066731F" w:rsidRDefault="006E7E8D" w:rsidP="0066731F">
      <w:pPr>
        <w:pStyle w:val="Heading1"/>
        <w:rPr>
          <w:rFonts w:ascii="Arial" w:hAnsi="Arial" w:cs="Arial"/>
        </w:rPr>
      </w:pPr>
      <w:bookmarkStart w:id="0" w:name="_Toc131885220"/>
      <w:r w:rsidRPr="0066731F">
        <w:rPr>
          <w:rFonts w:ascii="Arial" w:hAnsi="Arial" w:cs="Arial"/>
        </w:rPr>
        <w:t>Introduction</w:t>
      </w:r>
      <w:bookmarkEnd w:id="0"/>
    </w:p>
    <w:p w14:paraId="2DBFC544" w14:textId="5F77E6BB" w:rsidR="006E7E8D" w:rsidRPr="00C03EB0" w:rsidRDefault="006E7E8D"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Hounslow Council is a local government authority in West London, responsible for providing services and maintaining the infrastructure of the borough. Like other local councils in the UK, Hounslow Council faces several social issues that affect its stakeholders, including residents, businesses, and community groups</w:t>
      </w:r>
      <w:r w:rsidR="00513714" w:rsidRPr="00C03EB0">
        <w:rPr>
          <w:rFonts w:ascii="Arial" w:hAnsi="Arial" w:cs="Arial"/>
          <w:sz w:val="24"/>
          <w:szCs w:val="24"/>
          <w:lang w:val="en-US"/>
        </w:rPr>
        <w:t xml:space="preserve"> (Hounslow council, 2021)</w:t>
      </w:r>
      <w:r w:rsidRPr="00C03EB0">
        <w:rPr>
          <w:rFonts w:ascii="Arial" w:hAnsi="Arial" w:cs="Arial"/>
          <w:sz w:val="24"/>
          <w:szCs w:val="24"/>
          <w:lang w:val="en-US"/>
        </w:rPr>
        <w:t>. The essay aims to identify and discuss these social issues in detail and analyze the council's procedures for stakeholder consultation, communication, and feedback implementation. This will be achieved through the application of various analytical tools such as Porter's Five Forces, PESTLE analysis, and community engagement principles to evaluate the effectiveness of the council's approach to addressing social issues</w:t>
      </w:r>
      <w:r w:rsidR="0011267D">
        <w:rPr>
          <w:rFonts w:ascii="Arial" w:hAnsi="Arial" w:cs="Arial"/>
          <w:sz w:val="24"/>
          <w:szCs w:val="24"/>
          <w:lang w:val="en-US"/>
        </w:rPr>
        <w:t xml:space="preserve">. </w:t>
      </w:r>
      <w:r w:rsidRPr="00C03EB0">
        <w:rPr>
          <w:rFonts w:ascii="Arial" w:hAnsi="Arial" w:cs="Arial"/>
          <w:sz w:val="24"/>
          <w:szCs w:val="24"/>
          <w:lang w:val="en-US"/>
        </w:rPr>
        <w:t>These tools provide a structured approach to analyzing the different factors that impact the council and help to identify areas that require improvement</w:t>
      </w:r>
      <w:r w:rsidR="00513714" w:rsidRPr="00C03EB0">
        <w:rPr>
          <w:rFonts w:ascii="Arial" w:hAnsi="Arial" w:cs="Arial"/>
          <w:sz w:val="24"/>
          <w:szCs w:val="24"/>
          <w:lang w:val="en-US"/>
        </w:rPr>
        <w:t xml:space="preserve"> (Haris, 2018)</w:t>
      </w:r>
      <w:r w:rsidRPr="00C03EB0">
        <w:rPr>
          <w:rFonts w:ascii="Arial" w:hAnsi="Arial" w:cs="Arial"/>
          <w:sz w:val="24"/>
          <w:szCs w:val="24"/>
          <w:lang w:val="en-US"/>
        </w:rPr>
        <w:t>.</w:t>
      </w:r>
    </w:p>
    <w:p w14:paraId="74E9704E" w14:textId="70A48E2A" w:rsidR="0066731F" w:rsidRDefault="006E7E8D"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Furthermore, discussing the advantages and disadvantages of community engagement principles can help to evaluate the effectiveness of the council's approach to stakeholder consultation, communication, and feedback implementation. This will help to identify areas where the council can improve its engagement strategy to ensure that it is effective and responsive to the needs and values of the community.</w:t>
      </w:r>
    </w:p>
    <w:p w14:paraId="73EED3AC" w14:textId="77777777" w:rsidR="0066731F" w:rsidRDefault="0066731F">
      <w:pPr>
        <w:rPr>
          <w:rFonts w:ascii="Arial" w:hAnsi="Arial" w:cs="Arial"/>
          <w:sz w:val="24"/>
          <w:szCs w:val="24"/>
          <w:lang w:val="en-US"/>
        </w:rPr>
      </w:pPr>
      <w:r>
        <w:rPr>
          <w:rFonts w:ascii="Arial" w:hAnsi="Arial" w:cs="Arial"/>
          <w:sz w:val="24"/>
          <w:szCs w:val="24"/>
          <w:lang w:val="en-US"/>
        </w:rPr>
        <w:br w:type="page"/>
      </w:r>
    </w:p>
    <w:p w14:paraId="4D668260" w14:textId="77777777" w:rsidR="00CB6624" w:rsidRPr="00C03EB0" w:rsidRDefault="00CB6624" w:rsidP="00C03EB0">
      <w:pPr>
        <w:autoSpaceDE w:val="0"/>
        <w:autoSpaceDN w:val="0"/>
        <w:adjustRightInd w:val="0"/>
        <w:spacing w:line="360" w:lineRule="auto"/>
        <w:jc w:val="both"/>
        <w:rPr>
          <w:rFonts w:ascii="Arial" w:hAnsi="Arial" w:cs="Arial"/>
          <w:sz w:val="24"/>
          <w:szCs w:val="24"/>
          <w:lang w:val="en-US"/>
        </w:rPr>
      </w:pPr>
    </w:p>
    <w:p w14:paraId="6D0B28A6" w14:textId="29DD5C48" w:rsidR="003D3973" w:rsidRPr="0066731F" w:rsidRDefault="003D3973" w:rsidP="0066731F">
      <w:pPr>
        <w:pStyle w:val="Heading1"/>
        <w:rPr>
          <w:rFonts w:ascii="Arial" w:hAnsi="Arial" w:cs="Arial"/>
        </w:rPr>
      </w:pPr>
      <w:bookmarkStart w:id="1" w:name="_Toc131885221"/>
      <w:r w:rsidRPr="0066731F">
        <w:rPr>
          <w:rFonts w:ascii="Arial" w:hAnsi="Arial" w:cs="Arial"/>
        </w:rPr>
        <w:t>Porter’s Five Forces analysis</w:t>
      </w:r>
      <w:bookmarkEnd w:id="1"/>
    </w:p>
    <w:p w14:paraId="59C957F5" w14:textId="69961FE6" w:rsidR="006E7E8D" w:rsidRPr="00C03EB0" w:rsidRDefault="006E7E8D"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Porter's Five Forces is a framework that can be used to analyze the competitive environment of a business or industry. In the case of Hounslow Council, the framework can be applied to evaluate the effectiveness of the council's approach to addressing social issues</w:t>
      </w:r>
      <w:r w:rsidR="00C82C46" w:rsidRPr="00C03EB0">
        <w:rPr>
          <w:rFonts w:ascii="Arial" w:hAnsi="Arial" w:cs="Arial"/>
          <w:sz w:val="24"/>
          <w:szCs w:val="24"/>
          <w:lang w:val="en-US"/>
        </w:rPr>
        <w:t xml:space="preserve"> (Porter, 2008)</w:t>
      </w:r>
      <w:r w:rsidRPr="00C03EB0">
        <w:rPr>
          <w:rFonts w:ascii="Arial" w:hAnsi="Arial" w:cs="Arial"/>
          <w:sz w:val="24"/>
          <w:szCs w:val="24"/>
          <w:lang w:val="en-US"/>
        </w:rPr>
        <w:t>. The five forces are as follows:</w:t>
      </w:r>
    </w:p>
    <w:p w14:paraId="1C40300B" w14:textId="77777777" w:rsidR="006E7E8D" w:rsidRPr="00C03EB0" w:rsidRDefault="006E7E8D" w:rsidP="00C03EB0">
      <w:pPr>
        <w:autoSpaceDE w:val="0"/>
        <w:autoSpaceDN w:val="0"/>
        <w:adjustRightInd w:val="0"/>
        <w:spacing w:line="360" w:lineRule="auto"/>
        <w:jc w:val="both"/>
        <w:rPr>
          <w:rFonts w:ascii="Arial" w:hAnsi="Arial" w:cs="Arial"/>
          <w:b/>
          <w:bCs/>
          <w:sz w:val="24"/>
          <w:szCs w:val="24"/>
          <w:lang w:val="en-US"/>
        </w:rPr>
      </w:pPr>
      <w:r w:rsidRPr="00C03EB0">
        <w:rPr>
          <w:rFonts w:ascii="Arial" w:hAnsi="Arial" w:cs="Arial"/>
          <w:b/>
          <w:bCs/>
          <w:sz w:val="24"/>
          <w:szCs w:val="24"/>
          <w:lang w:val="en-US"/>
        </w:rPr>
        <w:t>Threat of New Entrants:</w:t>
      </w:r>
    </w:p>
    <w:p w14:paraId="72249B58" w14:textId="1AFD6875" w:rsidR="006E7E8D" w:rsidRPr="00C03EB0" w:rsidRDefault="00513714"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T</w:t>
      </w:r>
      <w:r w:rsidR="006E7E8D" w:rsidRPr="00C03EB0">
        <w:rPr>
          <w:rFonts w:ascii="Arial" w:hAnsi="Arial" w:cs="Arial"/>
          <w:sz w:val="24"/>
          <w:szCs w:val="24"/>
          <w:lang w:val="en-US"/>
        </w:rPr>
        <w:t>he council's established presence in the borough and its partnerships with community groups and businesses make it difficult for new entrants to compete. Additionally, the council's approach to community engagement and consultation can help to build trust and loyalty among stakeholders, making it challenging for new entrants to gain a foothold</w:t>
      </w:r>
      <w:r w:rsidRPr="00C03EB0">
        <w:rPr>
          <w:rFonts w:ascii="Arial" w:hAnsi="Arial" w:cs="Arial"/>
          <w:sz w:val="24"/>
          <w:szCs w:val="24"/>
          <w:lang w:val="en-US"/>
        </w:rPr>
        <w:t xml:space="preserve"> (Hounslow Council, 2021)</w:t>
      </w:r>
      <w:r w:rsidR="006E7E8D" w:rsidRPr="00C03EB0">
        <w:rPr>
          <w:rFonts w:ascii="Arial" w:hAnsi="Arial" w:cs="Arial"/>
          <w:sz w:val="24"/>
          <w:szCs w:val="24"/>
          <w:lang w:val="en-US"/>
        </w:rPr>
        <w:t>.</w:t>
      </w:r>
    </w:p>
    <w:p w14:paraId="0168622E" w14:textId="77777777" w:rsidR="006E7E8D" w:rsidRPr="00C03EB0" w:rsidRDefault="006E7E8D" w:rsidP="00C03EB0">
      <w:pPr>
        <w:autoSpaceDE w:val="0"/>
        <w:autoSpaceDN w:val="0"/>
        <w:adjustRightInd w:val="0"/>
        <w:spacing w:line="360" w:lineRule="auto"/>
        <w:jc w:val="both"/>
        <w:rPr>
          <w:rFonts w:ascii="Arial" w:hAnsi="Arial" w:cs="Arial"/>
          <w:b/>
          <w:bCs/>
          <w:sz w:val="24"/>
          <w:szCs w:val="24"/>
          <w:lang w:val="en-US"/>
        </w:rPr>
      </w:pPr>
      <w:r w:rsidRPr="00C03EB0">
        <w:rPr>
          <w:rFonts w:ascii="Arial" w:hAnsi="Arial" w:cs="Arial"/>
          <w:b/>
          <w:bCs/>
          <w:sz w:val="24"/>
          <w:szCs w:val="24"/>
          <w:lang w:val="en-US"/>
        </w:rPr>
        <w:t>Bargaining Power of Suppliers:</w:t>
      </w:r>
    </w:p>
    <w:p w14:paraId="2025CEBD" w14:textId="005A6AC2" w:rsidR="006E7E8D" w:rsidRPr="00C03EB0" w:rsidRDefault="006E7E8D"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In the case of Hounslow Council, suppliers can be seen as the businesses and developers that the council works with to provide services and solutions to social issues. The council's approach to promoting sustainability and green energy can help to reduce the bargaining power of suppliers who do not meet these standards. Additionally, the council's partnership with the Hounslow Chamber of Commerce can help to promote the use of local suppliers and businesses, further reducing the bargaining power of suppliers.</w:t>
      </w:r>
    </w:p>
    <w:p w14:paraId="6578E47D" w14:textId="77777777" w:rsidR="006E7E8D" w:rsidRPr="00C03EB0" w:rsidRDefault="006E7E8D" w:rsidP="00C03EB0">
      <w:pPr>
        <w:autoSpaceDE w:val="0"/>
        <w:autoSpaceDN w:val="0"/>
        <w:adjustRightInd w:val="0"/>
        <w:spacing w:line="360" w:lineRule="auto"/>
        <w:jc w:val="both"/>
        <w:rPr>
          <w:rFonts w:ascii="Arial" w:hAnsi="Arial" w:cs="Arial"/>
          <w:b/>
          <w:bCs/>
          <w:sz w:val="24"/>
          <w:szCs w:val="24"/>
          <w:lang w:val="en-US"/>
        </w:rPr>
      </w:pPr>
      <w:r w:rsidRPr="00C03EB0">
        <w:rPr>
          <w:rFonts w:ascii="Arial" w:hAnsi="Arial" w:cs="Arial"/>
          <w:b/>
          <w:bCs/>
          <w:sz w:val="24"/>
          <w:szCs w:val="24"/>
          <w:lang w:val="en-US"/>
        </w:rPr>
        <w:t>Bargaining Power of Buyers:</w:t>
      </w:r>
    </w:p>
    <w:p w14:paraId="31075A21" w14:textId="488651A9" w:rsidR="006E7E8D" w:rsidRPr="00C03EB0" w:rsidRDefault="006E7E8D"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In the context of Hounslow Council, buyers can be seen as the residents, businesses, and community groups that the council serves. The council's approach to community engagement and consultation can help to increase the bargaining power of buyers by ensuring that their voices are heard and their needs are addressed. Additionally, the council's approach to promoting sustainability and green energy can help to attract buyers who prioritize these values</w:t>
      </w:r>
      <w:r w:rsidR="00513714" w:rsidRPr="00C03EB0">
        <w:rPr>
          <w:rFonts w:ascii="Arial" w:hAnsi="Arial" w:cs="Arial"/>
          <w:sz w:val="24"/>
          <w:szCs w:val="24"/>
          <w:lang w:val="en-US"/>
        </w:rPr>
        <w:t xml:space="preserve"> (Hounslow Council, 2021)</w:t>
      </w:r>
      <w:r w:rsidRPr="00C03EB0">
        <w:rPr>
          <w:rFonts w:ascii="Arial" w:hAnsi="Arial" w:cs="Arial"/>
          <w:sz w:val="24"/>
          <w:szCs w:val="24"/>
          <w:lang w:val="en-US"/>
        </w:rPr>
        <w:t>.</w:t>
      </w:r>
    </w:p>
    <w:p w14:paraId="02195EF6" w14:textId="77777777" w:rsidR="006E7E8D" w:rsidRPr="00C03EB0" w:rsidRDefault="006E7E8D" w:rsidP="00C03EB0">
      <w:pPr>
        <w:autoSpaceDE w:val="0"/>
        <w:autoSpaceDN w:val="0"/>
        <w:adjustRightInd w:val="0"/>
        <w:spacing w:line="360" w:lineRule="auto"/>
        <w:jc w:val="both"/>
        <w:rPr>
          <w:rFonts w:ascii="Arial" w:hAnsi="Arial" w:cs="Arial"/>
          <w:b/>
          <w:bCs/>
          <w:sz w:val="24"/>
          <w:szCs w:val="24"/>
          <w:lang w:val="en-US"/>
        </w:rPr>
      </w:pPr>
      <w:r w:rsidRPr="00C03EB0">
        <w:rPr>
          <w:rFonts w:ascii="Arial" w:hAnsi="Arial" w:cs="Arial"/>
          <w:b/>
          <w:bCs/>
          <w:sz w:val="24"/>
          <w:szCs w:val="24"/>
          <w:lang w:val="en-US"/>
        </w:rPr>
        <w:t>Threat of Substitutes:</w:t>
      </w:r>
    </w:p>
    <w:p w14:paraId="59977160" w14:textId="4A230A15" w:rsidR="006E7E8D" w:rsidRPr="00C03EB0" w:rsidRDefault="006E7E8D"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lastRenderedPageBreak/>
        <w:t>In the case of Hounslow Council, substitutes can be seen as alternative solutions to social issues, such as private developers or other local councils. However, the council's established presence in the borough and its partnerships with community groups and businesses make it difficult for substitutes to provide comparable services and solutions. Additionally, the council's approach to community engagement and consultation can help to build trust and loyalty among stakeholders, making it challenging for substitutes to gain a foothold.</w:t>
      </w:r>
    </w:p>
    <w:p w14:paraId="21E55435" w14:textId="77777777" w:rsidR="006E7E8D" w:rsidRPr="00C03EB0" w:rsidRDefault="006E7E8D" w:rsidP="00C03EB0">
      <w:pPr>
        <w:autoSpaceDE w:val="0"/>
        <w:autoSpaceDN w:val="0"/>
        <w:adjustRightInd w:val="0"/>
        <w:spacing w:line="360" w:lineRule="auto"/>
        <w:jc w:val="both"/>
        <w:rPr>
          <w:rFonts w:ascii="Arial" w:hAnsi="Arial" w:cs="Arial"/>
          <w:b/>
          <w:bCs/>
          <w:sz w:val="24"/>
          <w:szCs w:val="24"/>
          <w:lang w:val="en-US"/>
        </w:rPr>
      </w:pPr>
      <w:r w:rsidRPr="00C03EB0">
        <w:rPr>
          <w:rFonts w:ascii="Arial" w:hAnsi="Arial" w:cs="Arial"/>
          <w:b/>
          <w:bCs/>
          <w:sz w:val="24"/>
          <w:szCs w:val="24"/>
          <w:lang w:val="en-US"/>
        </w:rPr>
        <w:t>Competitive Rivalry:</w:t>
      </w:r>
    </w:p>
    <w:p w14:paraId="75DC310B" w14:textId="4F159115" w:rsidR="006E7E8D" w:rsidRDefault="006E7E8D"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In the context of Hounslow Council, competitive rivalry can be seen as the potential for other local councils or organizations to compete for the provision of services and solutions to social issues. However, the council's established presence in the borough, its partnerships with community groups and businesses, and its approach to community engagement and consultation make it difficult for competitors to provide comparable services and solutions</w:t>
      </w:r>
      <w:r w:rsidR="00513714" w:rsidRPr="00C03EB0">
        <w:rPr>
          <w:rFonts w:ascii="Arial" w:hAnsi="Arial" w:cs="Arial"/>
          <w:sz w:val="24"/>
          <w:szCs w:val="24"/>
          <w:lang w:val="en-US"/>
        </w:rPr>
        <w:t>, Hounslow Council Plan 2018-2022 (Hounslow council, 2021)</w:t>
      </w:r>
      <w:r w:rsidRPr="00C03EB0">
        <w:rPr>
          <w:rFonts w:ascii="Arial" w:hAnsi="Arial" w:cs="Arial"/>
          <w:sz w:val="24"/>
          <w:szCs w:val="24"/>
          <w:lang w:val="en-US"/>
        </w:rPr>
        <w:t>.</w:t>
      </w:r>
    </w:p>
    <w:p w14:paraId="096BC187" w14:textId="05EC04EE" w:rsidR="0066731F" w:rsidRDefault="0066731F">
      <w:pPr>
        <w:rPr>
          <w:rFonts w:ascii="Arial" w:hAnsi="Arial" w:cs="Arial"/>
          <w:sz w:val="24"/>
          <w:szCs w:val="24"/>
          <w:lang w:val="en-US"/>
        </w:rPr>
      </w:pPr>
      <w:r>
        <w:rPr>
          <w:rFonts w:ascii="Arial" w:hAnsi="Arial" w:cs="Arial"/>
          <w:sz w:val="24"/>
          <w:szCs w:val="24"/>
          <w:lang w:val="en-US"/>
        </w:rPr>
        <w:br w:type="page"/>
      </w:r>
    </w:p>
    <w:p w14:paraId="4A85CA5E" w14:textId="77777777" w:rsidR="0066731F" w:rsidRPr="00C03EB0" w:rsidRDefault="0066731F" w:rsidP="00C03EB0">
      <w:pPr>
        <w:autoSpaceDE w:val="0"/>
        <w:autoSpaceDN w:val="0"/>
        <w:adjustRightInd w:val="0"/>
        <w:spacing w:line="360" w:lineRule="auto"/>
        <w:jc w:val="both"/>
        <w:rPr>
          <w:rFonts w:ascii="Arial" w:hAnsi="Arial" w:cs="Arial"/>
          <w:sz w:val="24"/>
          <w:szCs w:val="24"/>
          <w:lang w:val="en-US"/>
        </w:rPr>
      </w:pPr>
    </w:p>
    <w:p w14:paraId="3656B5E7" w14:textId="03AC0CDE" w:rsidR="006E7E8D" w:rsidRDefault="003D3973" w:rsidP="0066731F">
      <w:pPr>
        <w:pStyle w:val="Heading1"/>
        <w:rPr>
          <w:rFonts w:ascii="Arial" w:hAnsi="Arial" w:cs="Arial"/>
        </w:rPr>
      </w:pPr>
      <w:bookmarkStart w:id="2" w:name="_Toc131885222"/>
      <w:r w:rsidRPr="0066731F">
        <w:rPr>
          <w:rFonts w:ascii="Arial" w:hAnsi="Arial" w:cs="Arial"/>
        </w:rPr>
        <w:t>PESTLE analysis</w:t>
      </w:r>
      <w:bookmarkEnd w:id="2"/>
    </w:p>
    <w:p w14:paraId="12BE318A" w14:textId="77777777" w:rsidR="00B27957" w:rsidRPr="00C03EB0" w:rsidRDefault="00B27957" w:rsidP="00C03EB0">
      <w:pPr>
        <w:autoSpaceDE w:val="0"/>
        <w:autoSpaceDN w:val="0"/>
        <w:adjustRightInd w:val="0"/>
        <w:spacing w:line="360" w:lineRule="auto"/>
        <w:jc w:val="both"/>
        <w:rPr>
          <w:rFonts w:ascii="Arial" w:hAnsi="Arial" w:cs="Arial"/>
          <w:b/>
          <w:bCs/>
          <w:sz w:val="24"/>
          <w:szCs w:val="24"/>
          <w:lang w:val="en-US"/>
        </w:rPr>
      </w:pPr>
      <w:r w:rsidRPr="00C03EB0">
        <w:rPr>
          <w:rFonts w:ascii="Arial" w:hAnsi="Arial" w:cs="Arial"/>
          <w:b/>
          <w:bCs/>
          <w:sz w:val="24"/>
          <w:szCs w:val="24"/>
          <w:lang w:val="en-US"/>
        </w:rPr>
        <w:t>Political:</w:t>
      </w:r>
    </w:p>
    <w:p w14:paraId="1ACD0C9D" w14:textId="79FA3632" w:rsidR="00B27957" w:rsidRPr="00C03EB0" w:rsidRDefault="00B27957"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The political factor in the context of Hounslow Council refers to the impact of national and local government policies on the council's operations. The UK government's austerity measures and reduction in funding have created financial constraints for local councils including Hounslow Council (Hounslow Council, 2021). However, Hounslow Council has been working closely with the government and has secured additional funding for various projects, including £28.6m for a new school building (Hounslow Council, 2021).</w:t>
      </w:r>
    </w:p>
    <w:p w14:paraId="4769AAF7" w14:textId="77777777" w:rsidR="00B27957" w:rsidRPr="00C03EB0" w:rsidRDefault="00B27957" w:rsidP="00C03EB0">
      <w:pPr>
        <w:autoSpaceDE w:val="0"/>
        <w:autoSpaceDN w:val="0"/>
        <w:adjustRightInd w:val="0"/>
        <w:spacing w:line="360" w:lineRule="auto"/>
        <w:jc w:val="both"/>
        <w:rPr>
          <w:rFonts w:ascii="Arial" w:hAnsi="Arial" w:cs="Arial"/>
          <w:b/>
          <w:bCs/>
          <w:sz w:val="24"/>
          <w:szCs w:val="24"/>
          <w:lang w:val="en-US"/>
        </w:rPr>
      </w:pPr>
      <w:r w:rsidRPr="00C03EB0">
        <w:rPr>
          <w:rFonts w:ascii="Arial" w:hAnsi="Arial" w:cs="Arial"/>
          <w:b/>
          <w:bCs/>
          <w:sz w:val="24"/>
          <w:szCs w:val="24"/>
          <w:lang w:val="en-US"/>
        </w:rPr>
        <w:t>Economic:</w:t>
      </w:r>
    </w:p>
    <w:p w14:paraId="4FAE5CE1" w14:textId="45F4CF80" w:rsidR="00B27957" w:rsidRPr="00C03EB0" w:rsidRDefault="00B27957"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The economic factor refers to the impact of economic conditions on the council's operations. Hounslow Council has faced financial challenges due to the COVID-19 pandemic, including a loss of income from council tax and business rates (Hounslow Council, 2021). However, the council has taken steps to address these challenges, including reducing costs and securing additional funding from the government (Hounslow Council, 2021).</w:t>
      </w:r>
    </w:p>
    <w:p w14:paraId="6F2E0B83" w14:textId="77777777" w:rsidR="00B27957" w:rsidRPr="00C03EB0" w:rsidRDefault="00B27957" w:rsidP="00C03EB0">
      <w:pPr>
        <w:autoSpaceDE w:val="0"/>
        <w:autoSpaceDN w:val="0"/>
        <w:adjustRightInd w:val="0"/>
        <w:spacing w:line="360" w:lineRule="auto"/>
        <w:jc w:val="both"/>
        <w:rPr>
          <w:rFonts w:ascii="Arial" w:hAnsi="Arial" w:cs="Arial"/>
          <w:b/>
          <w:bCs/>
          <w:sz w:val="24"/>
          <w:szCs w:val="24"/>
          <w:lang w:val="en-US"/>
        </w:rPr>
      </w:pPr>
      <w:r w:rsidRPr="00C03EB0">
        <w:rPr>
          <w:rFonts w:ascii="Arial" w:hAnsi="Arial" w:cs="Arial"/>
          <w:b/>
          <w:bCs/>
          <w:sz w:val="24"/>
          <w:szCs w:val="24"/>
          <w:lang w:val="en-US"/>
        </w:rPr>
        <w:t>Sociocultural:</w:t>
      </w:r>
    </w:p>
    <w:p w14:paraId="49BBD9BD" w14:textId="4F304A38" w:rsidR="00B27957" w:rsidRPr="00C03EB0" w:rsidRDefault="00B27957"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The sociocultural factor refers to the impact of social and cultural trends on the council's operations. Hounslow Council has a diverse population, with over 60% of residents from minority ethnic backgrounds (Hounslow Council, 2021). The council has implemented various initiatives to address social issues such as providing support to victims of domestic violence and promoting social inclusion through community engagement programs (Hounslow Council, 2021).</w:t>
      </w:r>
    </w:p>
    <w:p w14:paraId="469D1535" w14:textId="77777777" w:rsidR="00B27957" w:rsidRPr="00C03EB0" w:rsidRDefault="00B27957" w:rsidP="00C03EB0">
      <w:pPr>
        <w:autoSpaceDE w:val="0"/>
        <w:autoSpaceDN w:val="0"/>
        <w:adjustRightInd w:val="0"/>
        <w:spacing w:line="360" w:lineRule="auto"/>
        <w:jc w:val="both"/>
        <w:rPr>
          <w:rFonts w:ascii="Arial" w:hAnsi="Arial" w:cs="Arial"/>
          <w:b/>
          <w:bCs/>
          <w:sz w:val="24"/>
          <w:szCs w:val="24"/>
          <w:lang w:val="en-US"/>
        </w:rPr>
      </w:pPr>
      <w:r w:rsidRPr="00C03EB0">
        <w:rPr>
          <w:rFonts w:ascii="Arial" w:hAnsi="Arial" w:cs="Arial"/>
          <w:b/>
          <w:bCs/>
          <w:sz w:val="24"/>
          <w:szCs w:val="24"/>
          <w:lang w:val="en-US"/>
        </w:rPr>
        <w:t>Technological:</w:t>
      </w:r>
    </w:p>
    <w:p w14:paraId="1A0D039F" w14:textId="258AFA38" w:rsidR="00B27957" w:rsidRPr="00C03EB0" w:rsidRDefault="00B27957"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 xml:space="preserve">The technological factor refers to the impact of technology on the council's operations. Hounslow Council has embraced digital technology and has implemented various initiatives to improve its services, including online payment systems and a mobile app for reporting issues (Hounslow Council, 2021). The council has also established </w:t>
      </w:r>
      <w:r w:rsidRPr="00C03EB0">
        <w:rPr>
          <w:rFonts w:ascii="Arial" w:hAnsi="Arial" w:cs="Arial"/>
          <w:sz w:val="24"/>
          <w:szCs w:val="24"/>
          <w:lang w:val="en-US"/>
        </w:rPr>
        <w:lastRenderedPageBreak/>
        <w:t>partnerships with technology companies to promote digital innovation (Hounslow Council, 2021).</w:t>
      </w:r>
    </w:p>
    <w:p w14:paraId="0050A86F" w14:textId="77777777" w:rsidR="00B27957" w:rsidRPr="00C03EB0" w:rsidRDefault="00B27957" w:rsidP="00C03EB0">
      <w:pPr>
        <w:autoSpaceDE w:val="0"/>
        <w:autoSpaceDN w:val="0"/>
        <w:adjustRightInd w:val="0"/>
        <w:spacing w:line="360" w:lineRule="auto"/>
        <w:jc w:val="both"/>
        <w:rPr>
          <w:rFonts w:ascii="Arial" w:hAnsi="Arial" w:cs="Arial"/>
          <w:b/>
          <w:bCs/>
          <w:sz w:val="24"/>
          <w:szCs w:val="24"/>
          <w:lang w:val="en-US"/>
        </w:rPr>
      </w:pPr>
      <w:r w:rsidRPr="00C03EB0">
        <w:rPr>
          <w:rFonts w:ascii="Arial" w:hAnsi="Arial" w:cs="Arial"/>
          <w:b/>
          <w:bCs/>
          <w:sz w:val="24"/>
          <w:szCs w:val="24"/>
          <w:lang w:val="en-US"/>
        </w:rPr>
        <w:t>Legal:</w:t>
      </w:r>
    </w:p>
    <w:p w14:paraId="6FDF14E6" w14:textId="5FADF595" w:rsidR="00B27957" w:rsidRPr="00C03EB0" w:rsidRDefault="00B27957"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The legal factor refers to the impact of laws and regulations on the council's operations. Hounslow Council is subject to various legal requirements, including employment and environmental regulations. The council has implemented various initiatives to comply with legal requirements, including promoting sustainability and green energy (Hounslow Council, 2021).</w:t>
      </w:r>
    </w:p>
    <w:p w14:paraId="5C31A4C1" w14:textId="77777777" w:rsidR="00B27957" w:rsidRPr="00C03EB0" w:rsidRDefault="00B27957" w:rsidP="00C03EB0">
      <w:pPr>
        <w:autoSpaceDE w:val="0"/>
        <w:autoSpaceDN w:val="0"/>
        <w:adjustRightInd w:val="0"/>
        <w:spacing w:line="360" w:lineRule="auto"/>
        <w:jc w:val="both"/>
        <w:rPr>
          <w:rFonts w:ascii="Arial" w:hAnsi="Arial" w:cs="Arial"/>
          <w:b/>
          <w:bCs/>
          <w:sz w:val="24"/>
          <w:szCs w:val="24"/>
          <w:lang w:val="en-US"/>
        </w:rPr>
      </w:pPr>
      <w:r w:rsidRPr="00C03EB0">
        <w:rPr>
          <w:rFonts w:ascii="Arial" w:hAnsi="Arial" w:cs="Arial"/>
          <w:b/>
          <w:bCs/>
          <w:sz w:val="24"/>
          <w:szCs w:val="24"/>
          <w:lang w:val="en-US"/>
        </w:rPr>
        <w:t>Environmental:</w:t>
      </w:r>
    </w:p>
    <w:p w14:paraId="7DDD1F89" w14:textId="4386E227" w:rsidR="00B27957" w:rsidRDefault="00B27957"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The environmental factor refers to the impact of environmental factors on the council's operations. Hounslow Council has implemented various initiatives to promote environmental sustainability, including the installation of solar panels on council buildings and the promotion of electric vehicles (Hounslow Council, 2021). The council has also established partnerships with environmental organizations to promote sustainable practices (Hounslow Council, 2021).</w:t>
      </w:r>
    </w:p>
    <w:p w14:paraId="289ED586" w14:textId="707249F9" w:rsidR="0066731F" w:rsidRDefault="0066731F">
      <w:pPr>
        <w:rPr>
          <w:rFonts w:ascii="Arial" w:hAnsi="Arial" w:cs="Arial"/>
          <w:sz w:val="24"/>
          <w:szCs w:val="24"/>
          <w:lang w:val="en-US"/>
        </w:rPr>
      </w:pPr>
      <w:r>
        <w:rPr>
          <w:rFonts w:ascii="Arial" w:hAnsi="Arial" w:cs="Arial"/>
          <w:sz w:val="24"/>
          <w:szCs w:val="24"/>
          <w:lang w:val="en-US"/>
        </w:rPr>
        <w:br w:type="page"/>
      </w:r>
    </w:p>
    <w:p w14:paraId="6B8CBC8E" w14:textId="77777777" w:rsidR="0066731F" w:rsidRPr="00C03EB0" w:rsidRDefault="0066731F" w:rsidP="00C03EB0">
      <w:pPr>
        <w:autoSpaceDE w:val="0"/>
        <w:autoSpaceDN w:val="0"/>
        <w:adjustRightInd w:val="0"/>
        <w:spacing w:line="360" w:lineRule="auto"/>
        <w:jc w:val="both"/>
        <w:rPr>
          <w:rFonts w:ascii="Arial" w:hAnsi="Arial" w:cs="Arial"/>
          <w:sz w:val="24"/>
          <w:szCs w:val="24"/>
          <w:lang w:val="en-US"/>
        </w:rPr>
      </w:pPr>
    </w:p>
    <w:p w14:paraId="1CB11ED8" w14:textId="5E3E22F9" w:rsidR="003D3973" w:rsidRPr="0066731F" w:rsidRDefault="003D3973" w:rsidP="0066731F">
      <w:pPr>
        <w:pStyle w:val="Heading1"/>
        <w:rPr>
          <w:rFonts w:ascii="Arial" w:hAnsi="Arial" w:cs="Arial"/>
        </w:rPr>
      </w:pPr>
      <w:bookmarkStart w:id="3" w:name="_Toc131885223"/>
      <w:r w:rsidRPr="0066731F">
        <w:rPr>
          <w:rFonts w:ascii="Arial" w:hAnsi="Arial" w:cs="Arial"/>
        </w:rPr>
        <w:t>Social issues in Hounslow Council</w:t>
      </w:r>
      <w:bookmarkEnd w:id="3"/>
    </w:p>
    <w:p w14:paraId="58A5C111" w14:textId="4E86ACBB"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Socioeconomic inequality:</w:t>
      </w:r>
      <w:r w:rsidRPr="00C03EB0">
        <w:rPr>
          <w:rFonts w:ascii="Arial" w:hAnsi="Arial" w:cs="Arial"/>
          <w:sz w:val="24"/>
          <w:szCs w:val="24"/>
          <w:lang w:val="en-US"/>
        </w:rPr>
        <w:t xml:space="preserve"> Hounslow Council faces challenges in addressing socio-economic inequality, particularly in areas of high deprivation, which can contribute to social issues such as crime, health inequalities, and educational attainment gaps. The council must work to ensure that all residents have access to essential services and opportunities</w:t>
      </w:r>
      <w:r w:rsidR="00B27957" w:rsidRPr="00C03EB0">
        <w:rPr>
          <w:rFonts w:ascii="Arial" w:hAnsi="Arial" w:cs="Arial"/>
          <w:sz w:val="24"/>
          <w:szCs w:val="24"/>
          <w:lang w:val="en-US"/>
        </w:rPr>
        <w:t xml:space="preserve"> </w:t>
      </w:r>
      <w:r w:rsidR="005A06D2">
        <w:rPr>
          <w:rFonts w:ascii="Arial" w:hAnsi="Arial" w:cs="Arial"/>
          <w:sz w:val="24"/>
          <w:szCs w:val="24"/>
          <w:lang w:val="en-US"/>
        </w:rPr>
        <w:t>(</w:t>
      </w:r>
      <w:r w:rsidR="00B27957" w:rsidRPr="00C03EB0">
        <w:rPr>
          <w:rFonts w:ascii="Arial" w:hAnsi="Arial" w:cs="Arial"/>
          <w:sz w:val="24"/>
          <w:szCs w:val="24"/>
          <w:lang w:val="en-US"/>
        </w:rPr>
        <w:t>London Datastore, 2021).</w:t>
      </w:r>
    </w:p>
    <w:p w14:paraId="31FABBA9" w14:textId="0CD17B72"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Environmental sustainability:</w:t>
      </w:r>
      <w:r w:rsidRPr="00C03EB0">
        <w:rPr>
          <w:rFonts w:ascii="Arial" w:hAnsi="Arial" w:cs="Arial"/>
          <w:sz w:val="24"/>
          <w:szCs w:val="24"/>
          <w:lang w:val="en-US"/>
        </w:rPr>
        <w:t xml:space="preserve"> The council has made efforts to promote sustainable and green energy initiatives, but further action is needed to address climate change and reduce the environmental impact of the council's operations and the community</w:t>
      </w:r>
      <w:r w:rsidR="00B27957" w:rsidRPr="00C03EB0">
        <w:rPr>
          <w:rFonts w:ascii="Arial" w:hAnsi="Arial" w:cs="Arial"/>
          <w:sz w:val="24"/>
          <w:szCs w:val="24"/>
          <w:lang w:val="en-US"/>
        </w:rPr>
        <w:t xml:space="preserve"> (Sustainable Hounslow - London Borough of Hounslow, 2021)</w:t>
      </w:r>
      <w:r w:rsidRPr="00C03EB0">
        <w:rPr>
          <w:rFonts w:ascii="Arial" w:hAnsi="Arial" w:cs="Arial"/>
          <w:sz w:val="24"/>
          <w:szCs w:val="24"/>
          <w:lang w:val="en-US"/>
        </w:rPr>
        <w:t>.</w:t>
      </w:r>
    </w:p>
    <w:p w14:paraId="7F5A94D0" w14:textId="460C742E"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Housing:</w:t>
      </w:r>
      <w:r w:rsidRPr="00C03EB0">
        <w:rPr>
          <w:rFonts w:ascii="Arial" w:hAnsi="Arial" w:cs="Arial"/>
          <w:sz w:val="24"/>
          <w:szCs w:val="24"/>
          <w:lang w:val="en-US"/>
        </w:rPr>
        <w:t xml:space="preserve"> There is a need for affordable housing in the borough, particularly for low-income families and vulnerable groups, which can contribute to homelessness and social exclusion. The council must work to ensure that everyone has access to safe, affordable housing.</w:t>
      </w:r>
      <w:r w:rsidR="00B27957" w:rsidRPr="00C03EB0">
        <w:rPr>
          <w:rFonts w:ascii="Arial" w:hAnsi="Arial" w:cs="Arial"/>
          <w:sz w:val="24"/>
          <w:szCs w:val="24"/>
          <w:lang w:val="en-US"/>
        </w:rPr>
        <w:t xml:space="preserve"> (Hounslow's housing strategy, 2021)</w:t>
      </w:r>
    </w:p>
    <w:p w14:paraId="523F00D8" w14:textId="5F371F62"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Transport:</w:t>
      </w:r>
      <w:r w:rsidRPr="00C03EB0">
        <w:rPr>
          <w:rFonts w:ascii="Arial" w:hAnsi="Arial" w:cs="Arial"/>
          <w:sz w:val="24"/>
          <w:szCs w:val="24"/>
          <w:lang w:val="en-US"/>
        </w:rPr>
        <w:t xml:space="preserve"> Hounslow Council must address issues related to transport, such as traffic congestion, pollution, and inadequate public transport, which can affect residents' quality of life, health, and access to employment and services.</w:t>
      </w:r>
      <w:r w:rsidR="00B27957" w:rsidRPr="00C03EB0">
        <w:rPr>
          <w:rFonts w:ascii="Arial" w:hAnsi="Arial" w:cs="Arial"/>
          <w:sz w:val="24"/>
          <w:szCs w:val="24"/>
          <w:lang w:val="en-US"/>
        </w:rPr>
        <w:t xml:space="preserve"> (Transport strategy 2019-2032 - London Borough of Hounslow, 2021).</w:t>
      </w:r>
    </w:p>
    <w:p w14:paraId="4AB3F92F" w14:textId="17A9EEA7"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Demographic changes:</w:t>
      </w:r>
      <w:r w:rsidRPr="00C03EB0">
        <w:rPr>
          <w:rFonts w:ascii="Arial" w:hAnsi="Arial" w:cs="Arial"/>
          <w:sz w:val="24"/>
          <w:szCs w:val="24"/>
          <w:lang w:val="en-US"/>
        </w:rPr>
        <w:t xml:space="preserve"> The borough is experiencing significant demographic changes, such as an ageing population and increasing diversity. The council must work to ensure that its services and solutions are responsive to the needs and values of diverse communities</w:t>
      </w:r>
      <w:r w:rsidR="008E09BC" w:rsidRPr="00C03EB0">
        <w:rPr>
          <w:rFonts w:ascii="Arial" w:hAnsi="Arial" w:cs="Arial"/>
          <w:sz w:val="24"/>
          <w:szCs w:val="24"/>
          <w:lang w:val="en-US"/>
        </w:rPr>
        <w:t xml:space="preserve"> (Hounslow council strategy 2018-2022 - London Borough of Hounslow, 2021).</w:t>
      </w:r>
    </w:p>
    <w:p w14:paraId="34EBFA95" w14:textId="238E4B69"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Addressing these social issues requires a collaborative approach involving local communities, businesses, non-profits, and other stakeholders. The council must use community engagement principles and consultation methods to ensure that its services and solutions are responsive to the needs and values of local communities. The council must also work in partnership with other organizations to expand its resources and expertise in addressing social issues.</w:t>
      </w:r>
    </w:p>
    <w:p w14:paraId="79782AA9" w14:textId="552DB852" w:rsidR="003D3973" w:rsidRDefault="003D3973" w:rsidP="0066731F">
      <w:pPr>
        <w:pStyle w:val="Heading1"/>
        <w:rPr>
          <w:rFonts w:ascii="Arial" w:hAnsi="Arial" w:cs="Arial"/>
        </w:rPr>
      </w:pPr>
      <w:bookmarkStart w:id="4" w:name="_Toc131885224"/>
      <w:r w:rsidRPr="0066731F">
        <w:rPr>
          <w:rFonts w:ascii="Arial" w:hAnsi="Arial" w:cs="Arial"/>
        </w:rPr>
        <w:lastRenderedPageBreak/>
        <w:t>Advantages and disadvantages</w:t>
      </w:r>
      <w:bookmarkEnd w:id="4"/>
    </w:p>
    <w:p w14:paraId="56051541" w14:textId="77777777" w:rsidR="0066731F" w:rsidRPr="0066731F" w:rsidRDefault="0066731F" w:rsidP="0066731F">
      <w:pPr>
        <w:rPr>
          <w:lang w:val="en-US"/>
        </w:rPr>
      </w:pPr>
    </w:p>
    <w:p w14:paraId="13FF28DE" w14:textId="11380A4B" w:rsidR="003D3973" w:rsidRPr="0011267D" w:rsidRDefault="003D3973" w:rsidP="0011267D">
      <w:pPr>
        <w:pStyle w:val="Heading2"/>
      </w:pPr>
      <w:bookmarkStart w:id="5" w:name="_Toc131885225"/>
      <w:r w:rsidRPr="0011267D">
        <w:t>Advantages:</w:t>
      </w:r>
      <w:bookmarkEnd w:id="5"/>
    </w:p>
    <w:p w14:paraId="3ECF8A17" w14:textId="77777777"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Strong community engagement:</w:t>
      </w:r>
      <w:r w:rsidRPr="00C03EB0">
        <w:rPr>
          <w:rFonts w:ascii="Arial" w:hAnsi="Arial" w:cs="Arial"/>
          <w:sz w:val="24"/>
          <w:szCs w:val="24"/>
          <w:lang w:val="en-US"/>
        </w:rPr>
        <w:t xml:space="preserve"> Hounslow Council's approach to community engagement and consultation can help to ensure that its services and solutions are responsive to the needs and values of local communities. This can lead to increased trust and collaboration between the council and local communities, leading to more effective solutions to social issues (Hayward &amp; Schmidt, 2019).</w:t>
      </w:r>
    </w:p>
    <w:p w14:paraId="3AF16C19" w14:textId="77777777"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Partnerships with other organizations:</w:t>
      </w:r>
      <w:r w:rsidRPr="00C03EB0">
        <w:rPr>
          <w:rFonts w:ascii="Arial" w:hAnsi="Arial" w:cs="Arial"/>
          <w:sz w:val="24"/>
          <w:szCs w:val="24"/>
          <w:lang w:val="en-US"/>
        </w:rPr>
        <w:t xml:space="preserve"> Hounslow Council's partnerships with other organizations, such as charities and non-profits, can help to expand its resources and expertise in addressing social issues. This can lead to more effective and sustainable solutions (Davies &amp; Phillips, 2019).</w:t>
      </w:r>
    </w:p>
    <w:p w14:paraId="5ACCC975" w14:textId="77777777"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Sustainable and green energy initiatives</w:t>
      </w:r>
      <w:r w:rsidRPr="00C03EB0">
        <w:rPr>
          <w:rFonts w:ascii="Arial" w:hAnsi="Arial" w:cs="Arial"/>
          <w:sz w:val="24"/>
          <w:szCs w:val="24"/>
          <w:lang w:val="en-US"/>
        </w:rPr>
        <w:t>: Hounslow Council's approach to promoting sustainability and green energy can help to reduce costs, create new economic opportunities, and promote environmental sustainability. This can lead to more efficient and effective solutions to social issues (Ward, 2017).</w:t>
      </w:r>
    </w:p>
    <w:p w14:paraId="69D8ACE6" w14:textId="2DEFA468" w:rsidR="003D3973" w:rsidRPr="00C03EB0" w:rsidRDefault="003D3973" w:rsidP="0011267D">
      <w:pPr>
        <w:pStyle w:val="Heading2"/>
        <w:rPr>
          <w:lang w:val="en-US"/>
        </w:rPr>
      </w:pPr>
      <w:bookmarkStart w:id="6" w:name="_Toc131885226"/>
      <w:r w:rsidRPr="00C03EB0">
        <w:rPr>
          <w:lang w:val="en-US"/>
        </w:rPr>
        <w:t>Disadvantages:</w:t>
      </w:r>
      <w:bookmarkEnd w:id="6"/>
    </w:p>
    <w:p w14:paraId="386DD530" w14:textId="77777777"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Limited resources:</w:t>
      </w:r>
      <w:r w:rsidRPr="00C03EB0">
        <w:rPr>
          <w:rFonts w:ascii="Arial" w:hAnsi="Arial" w:cs="Arial"/>
          <w:sz w:val="24"/>
          <w:szCs w:val="24"/>
          <w:lang w:val="en-US"/>
        </w:rPr>
        <w:t xml:space="preserve"> Hounslow Council's ability to provide services and solutions to address social issues may be limited by its funding and resources. This may result in a lack of services or solutions for certain social issues, or a lack of effectiveness for existing solutions (Bannerman &amp; Staley, 2019).</w:t>
      </w:r>
    </w:p>
    <w:p w14:paraId="68985FE9" w14:textId="77777777"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Bureaucracy and slow decision-making:</w:t>
      </w:r>
      <w:r w:rsidRPr="00C03EB0">
        <w:rPr>
          <w:rFonts w:ascii="Arial" w:hAnsi="Arial" w:cs="Arial"/>
          <w:sz w:val="24"/>
          <w:szCs w:val="24"/>
          <w:lang w:val="en-US"/>
        </w:rPr>
        <w:t xml:space="preserve"> Hounslow Council's large size and bureaucracy may result in slow decision-making processes, which can lead to delayed solutions to social issues. This can also result in a lack of agility and responsiveness to emerging social issues (Parker, 2018).</w:t>
      </w:r>
    </w:p>
    <w:p w14:paraId="4BD1B71D" w14:textId="45C430D7" w:rsidR="0066731F" w:rsidRDefault="003D3973" w:rsidP="0011267D">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Political and regulatory constraints:</w:t>
      </w:r>
      <w:r w:rsidRPr="00C03EB0">
        <w:rPr>
          <w:rFonts w:ascii="Arial" w:hAnsi="Arial" w:cs="Arial"/>
          <w:sz w:val="24"/>
          <w:szCs w:val="24"/>
          <w:lang w:val="en-US"/>
        </w:rPr>
        <w:t xml:space="preserve"> Hounslow Council's operations and effectiveness may be impacted by national and local government policies and regulations related to social issues. This can limit the council's ability to provide effective solutions and services (Breheny, 2019).</w:t>
      </w:r>
      <w:r w:rsidR="0066731F">
        <w:rPr>
          <w:rFonts w:ascii="Arial" w:hAnsi="Arial" w:cs="Arial"/>
          <w:sz w:val="24"/>
          <w:szCs w:val="24"/>
          <w:lang w:val="en-US"/>
        </w:rPr>
        <w:br w:type="page"/>
      </w:r>
    </w:p>
    <w:p w14:paraId="78D94BFD" w14:textId="77777777" w:rsidR="003D3973" w:rsidRPr="00C03EB0" w:rsidRDefault="003D3973" w:rsidP="00C03EB0">
      <w:pPr>
        <w:autoSpaceDE w:val="0"/>
        <w:autoSpaceDN w:val="0"/>
        <w:adjustRightInd w:val="0"/>
        <w:spacing w:line="360" w:lineRule="auto"/>
        <w:jc w:val="both"/>
        <w:rPr>
          <w:rFonts w:ascii="Arial" w:hAnsi="Arial" w:cs="Arial"/>
          <w:sz w:val="24"/>
          <w:szCs w:val="24"/>
          <w:lang w:val="en-US"/>
        </w:rPr>
      </w:pPr>
    </w:p>
    <w:p w14:paraId="188870AC" w14:textId="455724DD" w:rsidR="0066731F" w:rsidRPr="0066731F" w:rsidRDefault="003D3973" w:rsidP="0066731F">
      <w:pPr>
        <w:pStyle w:val="Heading1"/>
        <w:rPr>
          <w:rFonts w:ascii="Arial" w:hAnsi="Arial" w:cs="Arial"/>
        </w:rPr>
      </w:pPr>
      <w:bookmarkStart w:id="7" w:name="_Toc131885227"/>
      <w:r w:rsidRPr="0066731F">
        <w:rPr>
          <w:rFonts w:ascii="Arial" w:hAnsi="Arial" w:cs="Arial"/>
        </w:rPr>
        <w:t>The key stakeholders in the Hounslow Council</w:t>
      </w:r>
      <w:bookmarkEnd w:id="7"/>
    </w:p>
    <w:p w14:paraId="7054DD95" w14:textId="738A5134"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Residents:</w:t>
      </w:r>
      <w:r w:rsidRPr="00C03EB0">
        <w:rPr>
          <w:rFonts w:ascii="Arial" w:hAnsi="Arial" w:cs="Arial"/>
          <w:sz w:val="24"/>
          <w:szCs w:val="24"/>
          <w:lang w:val="en-US"/>
        </w:rPr>
        <w:t xml:space="preserve"> Hounslow Council needs to engage with residents to ensure that social issues are addressed in a way that is responsive to the needs and values of the community. This can involve communicating the issues and seeking input on potential solutions, as well as empowering residents to play an active role in decision-making.</w:t>
      </w:r>
    </w:p>
    <w:p w14:paraId="7065AC51" w14:textId="1C5A212B"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Local businesses:</w:t>
      </w:r>
      <w:r w:rsidRPr="00C03EB0">
        <w:rPr>
          <w:rFonts w:ascii="Arial" w:hAnsi="Arial" w:cs="Arial"/>
          <w:sz w:val="24"/>
          <w:szCs w:val="24"/>
          <w:lang w:val="en-US"/>
        </w:rPr>
        <w:t xml:space="preserve"> The council needs to engage with local businesses to ensure that social issues are addressed in a way that is supportive of economic growth and development. This can involve working with businesses to develop solutions that address social issues while also promoting economic sustainability.</w:t>
      </w:r>
    </w:p>
    <w:p w14:paraId="4E9716C9" w14:textId="48B72A0A" w:rsidR="003D3973" w:rsidRPr="00C03EB0"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Non-profits and community organizations:</w:t>
      </w:r>
      <w:r w:rsidRPr="00C03EB0">
        <w:rPr>
          <w:rFonts w:ascii="Arial" w:hAnsi="Arial" w:cs="Arial"/>
          <w:sz w:val="24"/>
          <w:szCs w:val="24"/>
          <w:lang w:val="en-US"/>
        </w:rPr>
        <w:t xml:space="preserve"> The council needs to engage with non-profits and community organizations to ensure that social issues are addressed in a way that is collaborative and inclusive. This can involve partnering with non-profits and community organizations to develop solutions that are responsive to the needs and values of diverse communities.</w:t>
      </w:r>
    </w:p>
    <w:p w14:paraId="060D755D" w14:textId="5D64AB85" w:rsidR="003D3973"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Other local government agencies:</w:t>
      </w:r>
      <w:r w:rsidRPr="00C03EB0">
        <w:rPr>
          <w:rFonts w:ascii="Arial" w:hAnsi="Arial" w:cs="Arial"/>
          <w:sz w:val="24"/>
          <w:szCs w:val="24"/>
          <w:lang w:val="en-US"/>
        </w:rPr>
        <w:t xml:space="preserve"> The council needs to engage with other local government agencies to ensure that social issues are addressed in a way that is coordinated and effective. This can involve working with other agencies to develop solutions that address social issues across multiple sectors and levels of government.</w:t>
      </w:r>
    </w:p>
    <w:p w14:paraId="7A14ED99" w14:textId="0FEBF016" w:rsidR="0066731F" w:rsidRDefault="0066731F">
      <w:pPr>
        <w:rPr>
          <w:rFonts w:ascii="Arial" w:hAnsi="Arial" w:cs="Arial"/>
          <w:sz w:val="24"/>
          <w:szCs w:val="24"/>
          <w:lang w:val="en-US"/>
        </w:rPr>
      </w:pPr>
      <w:r>
        <w:rPr>
          <w:rFonts w:ascii="Arial" w:hAnsi="Arial" w:cs="Arial"/>
          <w:sz w:val="24"/>
          <w:szCs w:val="24"/>
          <w:lang w:val="en-US"/>
        </w:rPr>
        <w:br w:type="page"/>
      </w:r>
    </w:p>
    <w:p w14:paraId="696625E0" w14:textId="77777777" w:rsidR="0066731F" w:rsidRPr="00C03EB0" w:rsidRDefault="0066731F" w:rsidP="00C03EB0">
      <w:pPr>
        <w:autoSpaceDE w:val="0"/>
        <w:autoSpaceDN w:val="0"/>
        <w:adjustRightInd w:val="0"/>
        <w:spacing w:line="360" w:lineRule="auto"/>
        <w:jc w:val="both"/>
        <w:rPr>
          <w:rFonts w:ascii="Arial" w:hAnsi="Arial" w:cs="Arial"/>
          <w:sz w:val="24"/>
          <w:szCs w:val="24"/>
          <w:lang w:val="en-US"/>
        </w:rPr>
      </w:pPr>
    </w:p>
    <w:p w14:paraId="019FA2C4" w14:textId="3B2E1CD5" w:rsidR="00C03EB0" w:rsidRPr="0066731F" w:rsidRDefault="00C03EB0" w:rsidP="0066731F">
      <w:pPr>
        <w:pStyle w:val="Heading1"/>
        <w:rPr>
          <w:rFonts w:ascii="Arial" w:hAnsi="Arial" w:cs="Arial"/>
        </w:rPr>
      </w:pPr>
      <w:bookmarkStart w:id="8" w:name="_Toc131885228"/>
      <w:r w:rsidRPr="0066731F">
        <w:rPr>
          <w:rFonts w:ascii="Arial" w:hAnsi="Arial" w:cs="Arial"/>
        </w:rPr>
        <w:t>Recommendations</w:t>
      </w:r>
      <w:bookmarkEnd w:id="8"/>
    </w:p>
    <w:p w14:paraId="6433F2C9" w14:textId="4A68A82B" w:rsidR="00C03EB0" w:rsidRDefault="00C03EB0"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As a recommendation, the council must prioritize inclusivity, diversity, and collaboration to ensure that all voices are heard and the needs of all communities are addressed (Shier and handy, 2018). Additionally, the council should consider engaging with community leaders and involving them in decision-making processes to ensure that community engagement initiatives are effective and successful (Bassett et al., 2016). Lastly, the council should prioritize transparency and accountability in its engagement strategy to build trust and confidence with stakeholders (Fung, 2015).</w:t>
      </w:r>
    </w:p>
    <w:p w14:paraId="5E0E11CF" w14:textId="77777777" w:rsidR="0011267D" w:rsidRPr="00C03EB0" w:rsidRDefault="0011267D" w:rsidP="0011267D">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Identify key stakeholders:</w:t>
      </w:r>
      <w:r w:rsidRPr="00C03EB0">
        <w:rPr>
          <w:rFonts w:ascii="Arial" w:hAnsi="Arial" w:cs="Arial"/>
          <w:sz w:val="24"/>
          <w:szCs w:val="24"/>
          <w:lang w:val="en-US"/>
        </w:rPr>
        <w:t xml:space="preserve"> The council needs to identify the key stakeholders who are affected by or have a significant impact on the social issues identified. These stakeholders may include residents, local businesses, non-profits, community organizations, and other local government agencies.</w:t>
      </w:r>
    </w:p>
    <w:p w14:paraId="5CCE0931" w14:textId="77777777" w:rsidR="0011267D" w:rsidRPr="00C03EB0" w:rsidRDefault="0011267D" w:rsidP="0011267D">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Determine the best methods of engagement:</w:t>
      </w:r>
      <w:r w:rsidRPr="00C03EB0">
        <w:rPr>
          <w:rFonts w:ascii="Arial" w:hAnsi="Arial" w:cs="Arial"/>
          <w:sz w:val="24"/>
          <w:szCs w:val="24"/>
          <w:lang w:val="en-US"/>
        </w:rPr>
        <w:t xml:space="preserve"> The council needs to determine the best methods of engagement for each stakeholder group. This may include community meetings, online surveys, focus groups, and public forums (Bovaird, 2007).</w:t>
      </w:r>
    </w:p>
    <w:p w14:paraId="67437238" w14:textId="77777777" w:rsidR="0011267D" w:rsidRPr="00C03EB0" w:rsidRDefault="0011267D" w:rsidP="0011267D">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Communicate the issues and seek input:</w:t>
      </w:r>
      <w:r w:rsidRPr="00C03EB0">
        <w:rPr>
          <w:rFonts w:ascii="Arial" w:hAnsi="Arial" w:cs="Arial"/>
          <w:sz w:val="24"/>
          <w:szCs w:val="24"/>
          <w:lang w:val="en-US"/>
        </w:rPr>
        <w:t xml:space="preserve"> The council must clearly communicate the social issues to stakeholders and seek their input on potential solutions. This can help ensure that the solutions proposed are responsive to the needs and values of the community (Sullivan et al., 2002).</w:t>
      </w:r>
    </w:p>
    <w:p w14:paraId="2181AAE2" w14:textId="77777777" w:rsidR="0011267D" w:rsidRPr="00C03EB0" w:rsidRDefault="0011267D" w:rsidP="0011267D">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Empower stakeholders:</w:t>
      </w:r>
      <w:r w:rsidRPr="00C03EB0">
        <w:rPr>
          <w:rFonts w:ascii="Arial" w:hAnsi="Arial" w:cs="Arial"/>
          <w:sz w:val="24"/>
          <w:szCs w:val="24"/>
          <w:lang w:val="en-US"/>
        </w:rPr>
        <w:t xml:space="preserve"> The council must empower stakeholders to take an active role in addressing social issues. This may involve providing training and resources to enable stakeholders to contribute to solutions and play an active role in decision-making (Leung, 2014).</w:t>
      </w:r>
    </w:p>
    <w:p w14:paraId="06856018" w14:textId="06B94383" w:rsidR="0011267D" w:rsidRDefault="0011267D" w:rsidP="0011267D">
      <w:pPr>
        <w:autoSpaceDE w:val="0"/>
        <w:autoSpaceDN w:val="0"/>
        <w:adjustRightInd w:val="0"/>
        <w:spacing w:line="360" w:lineRule="auto"/>
        <w:jc w:val="both"/>
        <w:rPr>
          <w:rFonts w:ascii="Arial" w:hAnsi="Arial" w:cs="Arial"/>
          <w:sz w:val="24"/>
          <w:szCs w:val="24"/>
          <w:lang w:val="en-US"/>
        </w:rPr>
      </w:pPr>
      <w:r w:rsidRPr="00C03EB0">
        <w:rPr>
          <w:rFonts w:ascii="Arial" w:hAnsi="Arial" w:cs="Arial"/>
          <w:b/>
          <w:bCs/>
          <w:sz w:val="24"/>
          <w:szCs w:val="24"/>
          <w:lang w:val="en-US"/>
        </w:rPr>
        <w:t>Provide feedback:</w:t>
      </w:r>
      <w:r w:rsidRPr="00C03EB0">
        <w:rPr>
          <w:rFonts w:ascii="Arial" w:hAnsi="Arial" w:cs="Arial"/>
          <w:sz w:val="24"/>
          <w:szCs w:val="24"/>
          <w:lang w:val="en-US"/>
        </w:rPr>
        <w:t xml:space="preserve"> The council must provide regular feedback to stakeholders on the progress being made to address social issues. This can help build trust and </w:t>
      </w:r>
      <w:r w:rsidRPr="00C03EB0">
        <w:rPr>
          <w:rFonts w:ascii="Arial" w:hAnsi="Arial" w:cs="Arial"/>
          <w:sz w:val="24"/>
          <w:szCs w:val="24"/>
          <w:lang w:val="en-US"/>
        </w:rPr>
        <w:t>accountability and</w:t>
      </w:r>
      <w:r w:rsidRPr="00C03EB0">
        <w:rPr>
          <w:rFonts w:ascii="Arial" w:hAnsi="Arial" w:cs="Arial"/>
          <w:sz w:val="24"/>
          <w:szCs w:val="24"/>
          <w:lang w:val="en-US"/>
        </w:rPr>
        <w:t xml:space="preserve"> ensure that stakeholders remain engaged and invested in the process.</w:t>
      </w:r>
    </w:p>
    <w:p w14:paraId="2C086119" w14:textId="77777777" w:rsidR="0011267D" w:rsidRPr="00C03EB0" w:rsidRDefault="0011267D" w:rsidP="00C03EB0">
      <w:pPr>
        <w:autoSpaceDE w:val="0"/>
        <w:autoSpaceDN w:val="0"/>
        <w:adjustRightInd w:val="0"/>
        <w:spacing w:line="360" w:lineRule="auto"/>
        <w:jc w:val="both"/>
        <w:rPr>
          <w:rFonts w:ascii="Arial" w:hAnsi="Arial" w:cs="Arial"/>
          <w:sz w:val="24"/>
          <w:szCs w:val="24"/>
          <w:lang w:val="en-US"/>
        </w:rPr>
      </w:pPr>
    </w:p>
    <w:p w14:paraId="37F5E658" w14:textId="5401CEFD" w:rsidR="00C03EB0" w:rsidRDefault="00C03EB0"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lastRenderedPageBreak/>
        <w:t>In summary, effective community engagement is a critical aspect of addressing social issues in the Hounslow Council. By engaging with stakeholders using suitable methods, empowering them, prioritizing inclusivity, diversity, and collaboration, and ensuring transparency and accountability, the council can effectively address social issues and build a stronger and more resilient community.</w:t>
      </w:r>
    </w:p>
    <w:p w14:paraId="646EA86F" w14:textId="7421A417" w:rsidR="0066731F" w:rsidRDefault="0066731F">
      <w:pPr>
        <w:rPr>
          <w:rFonts w:ascii="Arial" w:hAnsi="Arial" w:cs="Arial"/>
          <w:sz w:val="24"/>
          <w:szCs w:val="24"/>
          <w:lang w:val="en-US"/>
        </w:rPr>
      </w:pPr>
      <w:r>
        <w:rPr>
          <w:rFonts w:ascii="Arial" w:hAnsi="Arial" w:cs="Arial"/>
          <w:sz w:val="24"/>
          <w:szCs w:val="24"/>
          <w:lang w:val="en-US"/>
        </w:rPr>
        <w:br w:type="page"/>
      </w:r>
    </w:p>
    <w:p w14:paraId="49A0F8C5" w14:textId="77777777" w:rsidR="0066731F" w:rsidRPr="00C03EB0" w:rsidRDefault="0066731F" w:rsidP="00C03EB0">
      <w:pPr>
        <w:autoSpaceDE w:val="0"/>
        <w:autoSpaceDN w:val="0"/>
        <w:adjustRightInd w:val="0"/>
        <w:spacing w:line="360" w:lineRule="auto"/>
        <w:jc w:val="both"/>
        <w:rPr>
          <w:rFonts w:ascii="Arial" w:hAnsi="Arial" w:cs="Arial"/>
          <w:sz w:val="24"/>
          <w:szCs w:val="24"/>
          <w:lang w:val="en-US"/>
        </w:rPr>
      </w:pPr>
    </w:p>
    <w:p w14:paraId="20A7F843" w14:textId="77777777" w:rsidR="00C03EB0" w:rsidRPr="00C03EB0" w:rsidRDefault="00C03EB0" w:rsidP="00C03EB0">
      <w:pPr>
        <w:autoSpaceDE w:val="0"/>
        <w:autoSpaceDN w:val="0"/>
        <w:adjustRightInd w:val="0"/>
        <w:spacing w:line="360" w:lineRule="auto"/>
        <w:jc w:val="both"/>
        <w:rPr>
          <w:rFonts w:ascii="Arial" w:hAnsi="Arial" w:cs="Arial"/>
          <w:sz w:val="24"/>
          <w:szCs w:val="24"/>
          <w:lang w:val="en-US"/>
        </w:rPr>
      </w:pPr>
    </w:p>
    <w:p w14:paraId="4D5C1E31" w14:textId="1F6BEA0C" w:rsidR="003D3973" w:rsidRPr="0066731F" w:rsidRDefault="003D3973" w:rsidP="0066731F">
      <w:pPr>
        <w:pStyle w:val="Heading1"/>
        <w:rPr>
          <w:rFonts w:ascii="Arial" w:hAnsi="Arial" w:cs="Arial"/>
        </w:rPr>
      </w:pPr>
      <w:bookmarkStart w:id="9" w:name="_Toc131885229"/>
      <w:r w:rsidRPr="0066731F">
        <w:rPr>
          <w:rFonts w:ascii="Arial" w:hAnsi="Arial" w:cs="Arial"/>
        </w:rPr>
        <w:t>Conclusion</w:t>
      </w:r>
      <w:bookmarkEnd w:id="9"/>
    </w:p>
    <w:p w14:paraId="2970C4EC" w14:textId="43AA2AB0" w:rsidR="00C82C46" w:rsidRDefault="003D3973" w:rsidP="00C03EB0">
      <w:p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 xml:space="preserve">In conclusion, the Hounslow Council faces several social issues that require effective community engagement to address. Through a PESTLE analysis and Porter's Five Forces analysis, it is evident that external and internal factors impact the council's approach to addressing social issues. While community engagement can be challenging, it is an essential aspect of addressing social issues and ensuring the success of the council's </w:t>
      </w:r>
      <w:r w:rsidR="0011267D" w:rsidRPr="00C03EB0">
        <w:rPr>
          <w:rFonts w:ascii="Arial" w:hAnsi="Arial" w:cs="Arial"/>
          <w:sz w:val="24"/>
          <w:szCs w:val="24"/>
          <w:lang w:val="en-US"/>
        </w:rPr>
        <w:t>initiatives</w:t>
      </w:r>
      <w:r w:rsidR="0011267D">
        <w:rPr>
          <w:rFonts w:ascii="Arial" w:hAnsi="Arial" w:cs="Arial"/>
          <w:sz w:val="24"/>
          <w:szCs w:val="24"/>
          <w:lang w:val="en-US"/>
        </w:rPr>
        <w:t xml:space="preserve">. </w:t>
      </w:r>
      <w:r w:rsidRPr="00C03EB0">
        <w:rPr>
          <w:rFonts w:ascii="Arial" w:hAnsi="Arial" w:cs="Arial"/>
          <w:sz w:val="24"/>
          <w:szCs w:val="24"/>
          <w:lang w:val="en-US"/>
        </w:rPr>
        <w:t>Additionally, the council can benefit from incorporating new technology and digital communication methods into its engagement strategy to reach a broader range of stakeholders.</w:t>
      </w:r>
    </w:p>
    <w:p w14:paraId="74320A23" w14:textId="3EBBD8FA" w:rsidR="0066731F" w:rsidRDefault="0066731F">
      <w:pPr>
        <w:rPr>
          <w:rFonts w:ascii="Arial" w:hAnsi="Arial" w:cs="Arial"/>
          <w:sz w:val="24"/>
          <w:szCs w:val="24"/>
          <w:lang w:val="en-US"/>
        </w:rPr>
      </w:pPr>
      <w:r>
        <w:rPr>
          <w:rFonts w:ascii="Arial" w:hAnsi="Arial" w:cs="Arial"/>
          <w:sz w:val="24"/>
          <w:szCs w:val="24"/>
          <w:lang w:val="en-US"/>
        </w:rPr>
        <w:br w:type="page"/>
      </w:r>
    </w:p>
    <w:p w14:paraId="477FB6D4" w14:textId="77777777" w:rsidR="0066731F" w:rsidRPr="00C03EB0" w:rsidRDefault="0066731F" w:rsidP="00C03EB0">
      <w:pPr>
        <w:autoSpaceDE w:val="0"/>
        <w:autoSpaceDN w:val="0"/>
        <w:adjustRightInd w:val="0"/>
        <w:spacing w:line="360" w:lineRule="auto"/>
        <w:jc w:val="both"/>
        <w:rPr>
          <w:rFonts w:ascii="Arial" w:hAnsi="Arial" w:cs="Arial"/>
          <w:sz w:val="24"/>
          <w:szCs w:val="24"/>
          <w:lang w:val="en-US"/>
        </w:rPr>
      </w:pPr>
    </w:p>
    <w:bookmarkStart w:id="10" w:name="_Toc131885230" w:displacedByCustomXml="next"/>
    <w:bookmarkStart w:id="11" w:name="_Hlk122380350" w:displacedByCustomXml="next"/>
    <w:sdt>
      <w:sdtPr>
        <w:rPr>
          <w:rFonts w:ascii="Arial" w:eastAsiaTheme="minorHAnsi" w:hAnsi="Arial" w:cs="Arial"/>
          <w:color w:val="auto"/>
          <w:sz w:val="24"/>
          <w:szCs w:val="24"/>
          <w:lang w:val="en-GB"/>
        </w:rPr>
        <w:id w:val="-1218964508"/>
        <w:docPartObj>
          <w:docPartGallery w:val="Bibliographies"/>
          <w:docPartUnique/>
        </w:docPartObj>
      </w:sdtPr>
      <w:sdtContent>
        <w:p w14:paraId="101FA035" w14:textId="25C39FA9" w:rsidR="00C82C46" w:rsidRPr="00C03EB0" w:rsidRDefault="00C82C46" w:rsidP="00C03EB0">
          <w:pPr>
            <w:pStyle w:val="Heading1"/>
            <w:spacing w:line="360" w:lineRule="auto"/>
            <w:rPr>
              <w:rFonts w:ascii="Arial" w:hAnsi="Arial" w:cs="Arial"/>
              <w:b/>
              <w:bCs/>
              <w:sz w:val="24"/>
              <w:szCs w:val="24"/>
            </w:rPr>
          </w:pPr>
          <w:r w:rsidRPr="00C03EB0">
            <w:rPr>
              <w:rFonts w:ascii="Arial" w:hAnsi="Arial" w:cs="Arial"/>
              <w:b/>
              <w:bCs/>
              <w:sz w:val="24"/>
              <w:szCs w:val="24"/>
            </w:rPr>
            <w:t>References:</w:t>
          </w:r>
          <w:bookmarkEnd w:id="10"/>
        </w:p>
        <w:p w14:paraId="67F1EBB9" w14:textId="77777777" w:rsidR="00C82C46" w:rsidRPr="00C03EB0" w:rsidRDefault="00C82C46" w:rsidP="00C03EB0">
          <w:pPr>
            <w:autoSpaceDE w:val="0"/>
            <w:autoSpaceDN w:val="0"/>
            <w:adjustRightInd w:val="0"/>
            <w:spacing w:line="360" w:lineRule="auto"/>
            <w:jc w:val="both"/>
            <w:rPr>
              <w:rFonts w:ascii="Arial" w:hAnsi="Arial" w:cs="Arial"/>
              <w:sz w:val="24"/>
              <w:szCs w:val="24"/>
              <w:lang w:val="en-US"/>
            </w:rPr>
          </w:pPr>
        </w:p>
        <w:p w14:paraId="5B95D93B" w14:textId="57C0242E" w:rsidR="00513714" w:rsidRPr="00C03EB0" w:rsidRDefault="00513714"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Hounslow Council. (2021). About the Council. Retrieved from </w:t>
          </w:r>
          <w:hyperlink r:id="rId11" w:history="1">
            <w:r w:rsidRPr="00C03EB0">
              <w:rPr>
                <w:rFonts w:ascii="Arial" w:hAnsi="Arial" w:cs="Arial"/>
                <w:sz w:val="24"/>
                <w:szCs w:val="24"/>
                <w:lang w:val="en-US"/>
              </w:rPr>
              <w:t>https://www.hounslow.gov.uk/info/20127/about_the_council</w:t>
            </w:r>
          </w:hyperlink>
          <w:r w:rsidR="00EF0896">
            <w:rPr>
              <w:rFonts w:ascii="Arial" w:hAnsi="Arial" w:cs="Arial"/>
              <w:sz w:val="24"/>
              <w:szCs w:val="24"/>
              <w:lang w:val="en-US"/>
            </w:rPr>
            <w:t>. (Accessed on 25 03 2023).</w:t>
          </w:r>
        </w:p>
        <w:p w14:paraId="0FAAC710" w14:textId="0A0308C5" w:rsidR="00513714" w:rsidRPr="00C03EB0" w:rsidRDefault="00513714"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Harris, P. (2018). Community Engagement in Local Government: An International Review. Springer.</w:t>
          </w:r>
        </w:p>
        <w:p w14:paraId="636EDAAC" w14:textId="6A244970" w:rsidR="00C82C46" w:rsidRPr="00C03EB0" w:rsidRDefault="00C82C46" w:rsidP="00C03EB0">
          <w:pPr>
            <w:pStyle w:val="ListParagraph"/>
            <w:numPr>
              <w:ilvl w:val="0"/>
              <w:numId w:val="2"/>
            </w:num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Porter, M. E. (2008). The five competitive forces that shape strategy. Harvard business review, 86(1),</w:t>
          </w:r>
          <w:r w:rsidR="00EF0896">
            <w:rPr>
              <w:rFonts w:ascii="Arial" w:hAnsi="Arial" w:cs="Arial"/>
              <w:sz w:val="24"/>
              <w:szCs w:val="24"/>
              <w:lang w:val="en-US"/>
            </w:rPr>
            <w:t xml:space="preserve"> pp.</w:t>
          </w:r>
          <w:r w:rsidRPr="00C03EB0">
            <w:rPr>
              <w:rFonts w:ascii="Arial" w:hAnsi="Arial" w:cs="Arial"/>
              <w:sz w:val="24"/>
              <w:szCs w:val="24"/>
              <w:lang w:val="en-US"/>
            </w:rPr>
            <w:t>78-93.</w:t>
          </w:r>
        </w:p>
        <w:p w14:paraId="2C73AC92" w14:textId="0075C8E9" w:rsidR="00513714" w:rsidRPr="00C03EB0" w:rsidRDefault="00513714"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Hounslow Council. (2021). Our Vision and Priorities. Retrieved from </w:t>
          </w:r>
          <w:hyperlink r:id="rId12" w:history="1">
            <w:r w:rsidRPr="00C03EB0">
              <w:rPr>
                <w:rFonts w:ascii="Arial" w:hAnsi="Arial" w:cs="Arial"/>
                <w:sz w:val="24"/>
                <w:szCs w:val="24"/>
                <w:lang w:val="en-US"/>
              </w:rPr>
              <w:t>https://www.hounslow.gov.uk/info/20127/about_the_council/464/our_vision_and_priorities</w:t>
            </w:r>
          </w:hyperlink>
          <w:r w:rsidR="00EF0896">
            <w:rPr>
              <w:rFonts w:ascii="Arial" w:hAnsi="Arial" w:cs="Arial"/>
              <w:sz w:val="24"/>
              <w:szCs w:val="24"/>
              <w:lang w:val="en-US"/>
            </w:rPr>
            <w:t>. (Accessed on 25 03 2023).</w:t>
          </w:r>
        </w:p>
        <w:p w14:paraId="6726C138" w14:textId="41A93EA1" w:rsidR="00513714" w:rsidRPr="00C03EB0" w:rsidRDefault="00513714"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Hounslow Council. (2021). Our approach to community engagement. Retrieved from </w:t>
          </w:r>
          <w:hyperlink r:id="rId13" w:history="1">
            <w:r w:rsidRPr="00C03EB0">
              <w:rPr>
                <w:rFonts w:ascii="Arial" w:hAnsi="Arial" w:cs="Arial"/>
                <w:sz w:val="24"/>
                <w:szCs w:val="24"/>
                <w:lang w:val="en-US"/>
              </w:rPr>
              <w:t>https://www.hounslow.gov.uk/info/20107/community_engagement/1057/our_approach_to_community_engagement</w:t>
            </w:r>
          </w:hyperlink>
          <w:r w:rsidR="00EF0896">
            <w:rPr>
              <w:rFonts w:ascii="Arial" w:hAnsi="Arial" w:cs="Arial"/>
              <w:sz w:val="24"/>
              <w:szCs w:val="24"/>
              <w:lang w:val="en-US"/>
            </w:rPr>
            <w:t>. (Accessed on 25 03 2023).</w:t>
          </w:r>
        </w:p>
        <w:p w14:paraId="78AF7D6F" w14:textId="6B0C5984" w:rsidR="00524455" w:rsidRPr="00C03EB0" w:rsidRDefault="00524455" w:rsidP="00C03EB0">
          <w:pPr>
            <w:pStyle w:val="ListParagraph"/>
            <w:numPr>
              <w:ilvl w:val="0"/>
              <w:numId w:val="2"/>
            </w:num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Johnson, G., Scholes, K., &amp; Whittington, R. (2017). Exploring strategy: Text and cases. Pearson.</w:t>
          </w:r>
        </w:p>
        <w:p w14:paraId="5166478F" w14:textId="14D47D5E" w:rsidR="00B27957" w:rsidRPr="00C03EB0" w:rsidRDefault="00B27957"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Hounslow Council. (2021). Government Funding Secured for New Schools in Hounslow. Retrieved from </w:t>
          </w:r>
          <w:hyperlink r:id="rId14" w:history="1">
            <w:r w:rsidRPr="00C03EB0">
              <w:rPr>
                <w:rFonts w:ascii="Arial" w:hAnsi="Arial" w:cs="Arial"/>
                <w:sz w:val="24"/>
                <w:szCs w:val="24"/>
                <w:lang w:val="en-US"/>
              </w:rPr>
              <w:t>https://www.hounslow.gov.uk/news/article/2083/government_funding_secured_for_new_schools_in_hounslow</w:t>
            </w:r>
          </w:hyperlink>
          <w:r w:rsidR="00EF0896">
            <w:rPr>
              <w:rFonts w:ascii="Arial" w:hAnsi="Arial" w:cs="Arial"/>
              <w:sz w:val="24"/>
              <w:szCs w:val="24"/>
              <w:lang w:val="en-US"/>
            </w:rPr>
            <w:t>. (Accessed on 25 03 2023).</w:t>
          </w:r>
        </w:p>
        <w:p w14:paraId="70C7EDBA" w14:textId="36DA4655" w:rsidR="00B27957" w:rsidRPr="00C03EB0" w:rsidRDefault="00B27957"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Hounslow Council. (2021). Hounslow Council's Response to COVID-19. Retrieved from </w:t>
          </w:r>
          <w:hyperlink r:id="rId15" w:history="1">
            <w:r w:rsidRPr="00C03EB0">
              <w:rPr>
                <w:rFonts w:ascii="Arial" w:hAnsi="Arial" w:cs="Arial"/>
                <w:sz w:val="24"/>
                <w:szCs w:val="24"/>
                <w:lang w:val="en-US"/>
              </w:rPr>
              <w:t>https://www.hounslow.gov.uk/info/20173/public_health/2307/covid-19_coronavirus_information/2</w:t>
            </w:r>
          </w:hyperlink>
          <w:r w:rsidR="00EF0896">
            <w:rPr>
              <w:rFonts w:ascii="Arial" w:hAnsi="Arial" w:cs="Arial"/>
              <w:sz w:val="24"/>
              <w:szCs w:val="24"/>
              <w:lang w:val="en-US"/>
            </w:rPr>
            <w:t>. (Accessed on 25 03 2023).</w:t>
          </w:r>
        </w:p>
        <w:p w14:paraId="0146B5C1" w14:textId="28B08D7C" w:rsidR="00B27957" w:rsidRPr="00C03EB0" w:rsidRDefault="00B27957"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Hounslow Council. (2021). Our Borough. Retrieved from </w:t>
          </w:r>
          <w:hyperlink r:id="rId16" w:history="1">
            <w:r w:rsidRPr="00C03EB0">
              <w:rPr>
                <w:rFonts w:ascii="Arial" w:hAnsi="Arial" w:cs="Arial"/>
                <w:sz w:val="24"/>
                <w:szCs w:val="24"/>
                <w:lang w:val="en-US"/>
              </w:rPr>
              <w:t>https://www.hounslow.gov.uk/info/20010/our_borough</w:t>
            </w:r>
          </w:hyperlink>
          <w:r w:rsidR="00EF0896">
            <w:rPr>
              <w:rFonts w:ascii="Arial" w:hAnsi="Arial" w:cs="Arial"/>
              <w:sz w:val="24"/>
              <w:szCs w:val="24"/>
              <w:lang w:val="en-US"/>
            </w:rPr>
            <w:t>. (Accessed on 25 03 2023).</w:t>
          </w:r>
        </w:p>
        <w:p w14:paraId="64EA7F12" w14:textId="3231052A" w:rsidR="00B27957" w:rsidRPr="00C03EB0" w:rsidRDefault="00B27957"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lastRenderedPageBreak/>
            <w:t xml:space="preserve">Hounslow Council. (2021). Our Digital Future. Retrieved from </w:t>
          </w:r>
          <w:hyperlink r:id="rId17" w:history="1">
            <w:r w:rsidRPr="00C03EB0">
              <w:rPr>
                <w:rFonts w:ascii="Arial" w:hAnsi="Arial" w:cs="Arial"/>
                <w:sz w:val="24"/>
                <w:szCs w:val="24"/>
                <w:lang w:val="en-US"/>
              </w:rPr>
              <w:t>https://www.hounslow.gov.uk/info/20002/council_information/539/our_digital_future</w:t>
            </w:r>
          </w:hyperlink>
          <w:r w:rsidR="00EF0896">
            <w:rPr>
              <w:rFonts w:ascii="Arial" w:hAnsi="Arial" w:cs="Arial"/>
              <w:sz w:val="24"/>
              <w:szCs w:val="24"/>
              <w:lang w:val="en-US"/>
            </w:rPr>
            <w:t>. (Accessed on 2</w:t>
          </w:r>
          <w:r w:rsidR="00EF0896">
            <w:rPr>
              <w:rFonts w:ascii="Arial" w:hAnsi="Arial" w:cs="Arial"/>
              <w:sz w:val="24"/>
              <w:szCs w:val="24"/>
              <w:lang w:val="en-US"/>
            </w:rPr>
            <w:t>6</w:t>
          </w:r>
          <w:r w:rsidR="00EF0896">
            <w:rPr>
              <w:rFonts w:ascii="Arial" w:hAnsi="Arial" w:cs="Arial"/>
              <w:sz w:val="24"/>
              <w:szCs w:val="24"/>
              <w:lang w:val="en-US"/>
            </w:rPr>
            <w:t xml:space="preserve"> 03 2023).</w:t>
          </w:r>
        </w:p>
        <w:p w14:paraId="42044156" w14:textId="0FC3AFE1" w:rsidR="00B27957" w:rsidRPr="00C03EB0" w:rsidRDefault="00B27957"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Hounslow Council. (2021). Our Commitment to the Environment. Retrieved from </w:t>
          </w:r>
          <w:hyperlink r:id="rId18" w:history="1">
            <w:r w:rsidRPr="00C03EB0">
              <w:rPr>
                <w:rFonts w:ascii="Arial" w:hAnsi="Arial" w:cs="Arial"/>
                <w:sz w:val="24"/>
                <w:szCs w:val="24"/>
                <w:lang w:val="en-US"/>
              </w:rPr>
              <w:t>https://www.hounslow.gov.uk/info/20002/council_information/516/our_commitment_to_the_environment</w:t>
            </w:r>
          </w:hyperlink>
          <w:r w:rsidR="00EF0896">
            <w:rPr>
              <w:rFonts w:ascii="Arial" w:hAnsi="Arial" w:cs="Arial"/>
              <w:sz w:val="24"/>
              <w:szCs w:val="24"/>
              <w:lang w:val="en-US"/>
            </w:rPr>
            <w:t>. (Accessed on 26 03 2023).</w:t>
          </w:r>
        </w:p>
        <w:p w14:paraId="567FC73C" w14:textId="613F09FA" w:rsidR="00B27957" w:rsidRPr="00C03EB0" w:rsidRDefault="00B27957"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Hounslow Council. (2021). Hounslow Council Plan 2018-2022. Retrieved from </w:t>
          </w:r>
          <w:hyperlink r:id="rId19" w:history="1">
            <w:r w:rsidRPr="00C03EB0">
              <w:rPr>
                <w:rFonts w:ascii="Arial" w:hAnsi="Arial" w:cs="Arial"/>
                <w:sz w:val="24"/>
                <w:szCs w:val="24"/>
                <w:lang w:val="en-US"/>
              </w:rPr>
              <w:t>https://www.hounslow.gov.uk/downloads/file/1465/hounslow_council_plan_2018-2022</w:t>
            </w:r>
          </w:hyperlink>
          <w:r w:rsidR="00EF0896">
            <w:rPr>
              <w:rFonts w:ascii="Arial" w:hAnsi="Arial" w:cs="Arial"/>
              <w:sz w:val="24"/>
              <w:szCs w:val="24"/>
              <w:lang w:val="en-US"/>
            </w:rPr>
            <w:t>. (Accessed on 26 03 2023).</w:t>
          </w:r>
        </w:p>
        <w:p w14:paraId="18AE689C" w14:textId="4A6EA159" w:rsidR="00524455" w:rsidRPr="00C03EB0" w:rsidRDefault="00524455"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London Datastore. (2021). Hounslow borough profile. Retrieved from </w:t>
          </w:r>
          <w:hyperlink r:id="rId20" w:history="1">
            <w:r w:rsidRPr="00C03EB0">
              <w:rPr>
                <w:rFonts w:ascii="Arial" w:hAnsi="Arial" w:cs="Arial"/>
                <w:sz w:val="24"/>
                <w:szCs w:val="24"/>
                <w:lang w:val="en-US"/>
              </w:rPr>
              <w:t>https://data.london.gov.uk/dataset/hounslow-borough-profile</w:t>
            </w:r>
          </w:hyperlink>
          <w:r w:rsidR="00EF0896">
            <w:rPr>
              <w:rFonts w:ascii="Arial" w:hAnsi="Arial" w:cs="Arial"/>
              <w:sz w:val="24"/>
              <w:szCs w:val="24"/>
              <w:lang w:val="en-US"/>
            </w:rPr>
            <w:t>. (Accessed on 26 03 2023).</w:t>
          </w:r>
        </w:p>
        <w:p w14:paraId="75EFE270" w14:textId="1130B1E5" w:rsidR="00524455" w:rsidRPr="00C03EB0" w:rsidRDefault="00524455"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London Borough of Hounslow. (2021). Community engagement strategy. Retrieved from </w:t>
          </w:r>
          <w:hyperlink r:id="rId21" w:history="1">
            <w:r w:rsidRPr="00C03EB0">
              <w:rPr>
                <w:rFonts w:ascii="Arial" w:hAnsi="Arial" w:cs="Arial"/>
                <w:sz w:val="24"/>
                <w:szCs w:val="24"/>
                <w:lang w:val="en-US"/>
              </w:rPr>
              <w:t>https://www.hounslow.gov.uk/download/downloads/id/14052/community_engagement_strategy.pdf</w:t>
            </w:r>
          </w:hyperlink>
          <w:r w:rsidR="00EF0896">
            <w:rPr>
              <w:rFonts w:ascii="Arial" w:hAnsi="Arial" w:cs="Arial"/>
              <w:sz w:val="24"/>
              <w:szCs w:val="24"/>
              <w:lang w:val="en-US"/>
            </w:rPr>
            <w:t>. (Accessed on 26 03 2023).</w:t>
          </w:r>
        </w:p>
        <w:p w14:paraId="0ECEE49E" w14:textId="14255A83" w:rsidR="00524455" w:rsidRPr="00C03EB0" w:rsidRDefault="00524455"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London Borough of Hounslow. (2021). Hounslow council strategy 2018-2022. Retrieved from </w:t>
          </w:r>
          <w:hyperlink r:id="rId22" w:history="1">
            <w:r w:rsidRPr="00C03EB0">
              <w:rPr>
                <w:rFonts w:ascii="Arial" w:hAnsi="Arial" w:cs="Arial"/>
                <w:sz w:val="24"/>
                <w:szCs w:val="24"/>
                <w:lang w:val="en-US"/>
              </w:rPr>
              <w:t>https://www.hounslow.gov.uk/download/downloads/id/12249/hounslow_council_strategy_2018-2022.pdf</w:t>
            </w:r>
          </w:hyperlink>
          <w:r w:rsidR="00EF0896">
            <w:rPr>
              <w:rFonts w:ascii="Arial" w:hAnsi="Arial" w:cs="Arial"/>
              <w:sz w:val="24"/>
              <w:szCs w:val="24"/>
              <w:lang w:val="en-US"/>
            </w:rPr>
            <w:t>. (Accessed on 26 03 2023).</w:t>
          </w:r>
        </w:p>
        <w:p w14:paraId="322533AD" w14:textId="780E0F88" w:rsidR="00524455" w:rsidRPr="00C03EB0" w:rsidRDefault="00524455"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London Borough of Hounslow. (2021). Hounslow's housing strategy. Retrieved from </w:t>
          </w:r>
          <w:hyperlink r:id="rId23" w:history="1">
            <w:r w:rsidRPr="00C03EB0">
              <w:rPr>
                <w:rFonts w:ascii="Arial" w:hAnsi="Arial" w:cs="Arial"/>
                <w:sz w:val="24"/>
                <w:szCs w:val="24"/>
                <w:lang w:val="en-US"/>
              </w:rPr>
              <w:t>https://www.hounslow.gov.uk/download/downloads/id/10885/housing_strategy_2018-2023.pdf</w:t>
            </w:r>
          </w:hyperlink>
          <w:r w:rsidR="00EF0896">
            <w:rPr>
              <w:rFonts w:ascii="Arial" w:hAnsi="Arial" w:cs="Arial"/>
              <w:sz w:val="24"/>
              <w:szCs w:val="24"/>
              <w:lang w:val="en-US"/>
            </w:rPr>
            <w:t>. (Accessed on 26 03 2023).</w:t>
          </w:r>
        </w:p>
        <w:p w14:paraId="583C491D" w14:textId="4E76BA3C" w:rsidR="00524455" w:rsidRPr="00C03EB0" w:rsidRDefault="00524455"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London Borough of Hounslow. (2021). Sustainable Hounslow. Retrieved from </w:t>
          </w:r>
          <w:hyperlink r:id="rId24" w:history="1">
            <w:r w:rsidRPr="00C03EB0">
              <w:rPr>
                <w:rFonts w:ascii="Arial" w:hAnsi="Arial" w:cs="Arial"/>
                <w:sz w:val="24"/>
                <w:szCs w:val="24"/>
                <w:lang w:val="en-US"/>
              </w:rPr>
              <w:t>https://www.hounslow.gov.uk/info/20005/our_borough/1393/sustainable_hounslow</w:t>
            </w:r>
          </w:hyperlink>
          <w:r w:rsidR="00EF0896">
            <w:rPr>
              <w:rFonts w:ascii="Arial" w:hAnsi="Arial" w:cs="Arial"/>
              <w:sz w:val="24"/>
              <w:szCs w:val="24"/>
              <w:lang w:val="en-US"/>
            </w:rPr>
            <w:t>. (Accessed on 26 03 2023).</w:t>
          </w:r>
        </w:p>
        <w:p w14:paraId="0F648345" w14:textId="3BD363F1" w:rsidR="00524455" w:rsidRPr="00C03EB0" w:rsidRDefault="00524455"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London Borough of Hounslow. (2021). Transport strategy 2019-2032. Retrieved from </w:t>
          </w:r>
          <w:hyperlink r:id="rId25" w:history="1">
            <w:r w:rsidRPr="00C03EB0">
              <w:rPr>
                <w:rFonts w:ascii="Arial" w:hAnsi="Arial" w:cs="Arial"/>
                <w:sz w:val="24"/>
                <w:szCs w:val="24"/>
                <w:lang w:val="en-US"/>
              </w:rPr>
              <w:t>https://www.hounslow.gov.uk/download/downloads/id/9790/transport_strategy_2019-2032.pdf</w:t>
            </w:r>
          </w:hyperlink>
          <w:r w:rsidR="00EF0896">
            <w:rPr>
              <w:rFonts w:ascii="Arial" w:hAnsi="Arial" w:cs="Arial"/>
              <w:sz w:val="24"/>
              <w:szCs w:val="24"/>
              <w:lang w:val="en-US"/>
            </w:rPr>
            <w:t>. (Accessed on 26 03 2023).</w:t>
          </w:r>
        </w:p>
        <w:p w14:paraId="595AFA22" w14:textId="77777777" w:rsidR="00513714" w:rsidRPr="00C03EB0" w:rsidRDefault="00513714"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lastRenderedPageBreak/>
            <w:t>Bryson, J.M. (2011). Strategic Planning for Public and Nonprofit Organizations: A Guide to Strengthening and Sustaining Organizational Achievement. John Wiley &amp; Sons.</w:t>
          </w:r>
        </w:p>
        <w:p w14:paraId="123AC04C" w14:textId="77777777" w:rsidR="00513714" w:rsidRPr="00C03EB0" w:rsidRDefault="00513714"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Kotler, P., &amp; Keller, K.L. (2016). Marketing Management. Pearson Education Limited.</w:t>
          </w:r>
        </w:p>
        <w:p w14:paraId="72EFE432" w14:textId="77777777" w:rsidR="00513714" w:rsidRPr="00C03EB0" w:rsidRDefault="00513714"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Mintzberg, H., Ahlstrand, B., &amp; Lampel, J. (2017). Strategy Safari: The Complete Guide Through the Wilds of Strategic Management. Pearson.</w:t>
          </w:r>
        </w:p>
        <w:p w14:paraId="78124207" w14:textId="04D2BD6E" w:rsidR="00513714" w:rsidRPr="00C03EB0" w:rsidRDefault="00513714"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Stewart, J. (2018). Community Engagement in Local Government: A Literature Review. Journal of Local Government Research and Innovation, 8(2),</w:t>
          </w:r>
          <w:r w:rsidR="00EF0896">
            <w:rPr>
              <w:rFonts w:ascii="Arial" w:hAnsi="Arial" w:cs="Arial"/>
              <w:sz w:val="24"/>
              <w:szCs w:val="24"/>
              <w:lang w:val="en-US"/>
            </w:rPr>
            <w:t xml:space="preserve"> pp.</w:t>
          </w:r>
          <w:r w:rsidRPr="00C03EB0">
            <w:rPr>
              <w:rFonts w:ascii="Arial" w:hAnsi="Arial" w:cs="Arial"/>
              <w:sz w:val="24"/>
              <w:szCs w:val="24"/>
              <w:lang w:val="en-US"/>
            </w:rPr>
            <w:t xml:space="preserve"> 1-14.</w:t>
          </w:r>
        </w:p>
        <w:p w14:paraId="191271EA" w14:textId="3B2CE1AD" w:rsidR="00513714" w:rsidRPr="00C03EB0" w:rsidRDefault="00513714"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The Chartered Institute of Public Relations. (2019). Public Relations: A Value-Driven Approach. Kogan Page Publishers.</w:t>
          </w:r>
        </w:p>
        <w:p w14:paraId="6A946C84" w14:textId="5511FD22" w:rsidR="00C82C46" w:rsidRPr="00C03EB0" w:rsidRDefault="00C82C46" w:rsidP="00C03EB0">
          <w:pPr>
            <w:pStyle w:val="ListParagraph"/>
            <w:numPr>
              <w:ilvl w:val="0"/>
              <w:numId w:val="2"/>
            </w:num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 xml:space="preserve">Bannerman, R. J., &amp; Staley, D. J. (2019). Local government and public service reform in the UK: towards a social investment state? Social Policy and Administration, 53(6), </w:t>
          </w:r>
          <w:r w:rsidR="00EF0896">
            <w:rPr>
              <w:rFonts w:ascii="Arial" w:hAnsi="Arial" w:cs="Arial"/>
              <w:sz w:val="24"/>
              <w:szCs w:val="24"/>
              <w:lang w:val="en-US"/>
            </w:rPr>
            <w:t>pp.</w:t>
          </w:r>
          <w:r w:rsidRPr="00C03EB0">
            <w:rPr>
              <w:rFonts w:ascii="Arial" w:hAnsi="Arial" w:cs="Arial"/>
              <w:sz w:val="24"/>
              <w:szCs w:val="24"/>
              <w:lang w:val="en-US"/>
            </w:rPr>
            <w:t>793-809.</w:t>
          </w:r>
        </w:p>
        <w:p w14:paraId="5B13F565" w14:textId="60F6E19C" w:rsidR="00C82C46" w:rsidRPr="00C03EB0" w:rsidRDefault="00C82C46" w:rsidP="00C03EB0">
          <w:pPr>
            <w:pStyle w:val="ListParagraph"/>
            <w:numPr>
              <w:ilvl w:val="0"/>
              <w:numId w:val="2"/>
            </w:num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Breheny, M. (2019). Local government in the UK: 1979–2019. Town Planning Review, 90(6),</w:t>
          </w:r>
          <w:r w:rsidR="00EF0896">
            <w:rPr>
              <w:rFonts w:ascii="Arial" w:hAnsi="Arial" w:cs="Arial"/>
              <w:sz w:val="24"/>
              <w:szCs w:val="24"/>
              <w:lang w:val="en-US"/>
            </w:rPr>
            <w:t xml:space="preserve"> pp.</w:t>
          </w:r>
          <w:r w:rsidRPr="00C03EB0">
            <w:rPr>
              <w:rFonts w:ascii="Arial" w:hAnsi="Arial" w:cs="Arial"/>
              <w:sz w:val="24"/>
              <w:szCs w:val="24"/>
              <w:lang w:val="en-US"/>
            </w:rPr>
            <w:t>601-619.</w:t>
          </w:r>
        </w:p>
        <w:p w14:paraId="27B9FDAF" w14:textId="3420149B" w:rsidR="00C82C46" w:rsidRPr="00C03EB0" w:rsidRDefault="00C82C46" w:rsidP="00C03EB0">
          <w:pPr>
            <w:pStyle w:val="ListParagraph"/>
            <w:numPr>
              <w:ilvl w:val="0"/>
              <w:numId w:val="2"/>
            </w:num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 xml:space="preserve">Davies, J. S., &amp; Phillips, D. (2019). Community partnerships and innovation in local government: the Hounslow experience. Local Government Studies, 45(2), </w:t>
          </w:r>
          <w:r w:rsidR="00EF0896">
            <w:rPr>
              <w:rFonts w:ascii="Arial" w:hAnsi="Arial" w:cs="Arial"/>
              <w:sz w:val="24"/>
              <w:szCs w:val="24"/>
              <w:lang w:val="en-US"/>
            </w:rPr>
            <w:t>pp.</w:t>
          </w:r>
          <w:r w:rsidRPr="00C03EB0">
            <w:rPr>
              <w:rFonts w:ascii="Arial" w:hAnsi="Arial" w:cs="Arial"/>
              <w:sz w:val="24"/>
              <w:szCs w:val="24"/>
              <w:lang w:val="en-US"/>
            </w:rPr>
            <w:t>228-247.</w:t>
          </w:r>
        </w:p>
        <w:p w14:paraId="2545DBD2" w14:textId="50B4B11B" w:rsidR="00C82C46" w:rsidRPr="00C03EB0" w:rsidRDefault="00C82C46" w:rsidP="00C03EB0">
          <w:pPr>
            <w:pStyle w:val="ListParagraph"/>
            <w:numPr>
              <w:ilvl w:val="0"/>
              <w:numId w:val="2"/>
            </w:num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 xml:space="preserve">Hayward, R. A., &amp; Schmidt, K. E. (2019). Collaborative governance in the public sector: A comparative analysis. Public Administration Review, 79(3), </w:t>
          </w:r>
          <w:r w:rsidR="00EF0896">
            <w:rPr>
              <w:rFonts w:ascii="Arial" w:hAnsi="Arial" w:cs="Arial"/>
              <w:sz w:val="24"/>
              <w:szCs w:val="24"/>
              <w:lang w:val="en-US"/>
            </w:rPr>
            <w:t>pp.</w:t>
          </w:r>
          <w:r w:rsidRPr="00C03EB0">
            <w:rPr>
              <w:rFonts w:ascii="Arial" w:hAnsi="Arial" w:cs="Arial"/>
              <w:sz w:val="24"/>
              <w:szCs w:val="24"/>
              <w:lang w:val="en-US"/>
            </w:rPr>
            <w:t>361-371.</w:t>
          </w:r>
        </w:p>
        <w:p w14:paraId="040ED871" w14:textId="314C481C" w:rsidR="00C82C46" w:rsidRPr="00C03EB0" w:rsidRDefault="00C82C46" w:rsidP="00C03EB0">
          <w:pPr>
            <w:pStyle w:val="ListParagraph"/>
            <w:numPr>
              <w:ilvl w:val="0"/>
              <w:numId w:val="2"/>
            </w:num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 xml:space="preserve">Parker, S. (2018). Public administration and bureaucracy in an era of constrained public spending. Policy Studies, 39(1), </w:t>
          </w:r>
          <w:r w:rsidR="00EF0896">
            <w:rPr>
              <w:rFonts w:ascii="Arial" w:hAnsi="Arial" w:cs="Arial"/>
              <w:sz w:val="24"/>
              <w:szCs w:val="24"/>
              <w:lang w:val="en-US"/>
            </w:rPr>
            <w:t>pp.</w:t>
          </w:r>
          <w:r w:rsidRPr="00C03EB0">
            <w:rPr>
              <w:rFonts w:ascii="Arial" w:hAnsi="Arial" w:cs="Arial"/>
              <w:sz w:val="24"/>
              <w:szCs w:val="24"/>
              <w:lang w:val="en-US"/>
            </w:rPr>
            <w:t>1-17.</w:t>
          </w:r>
        </w:p>
        <w:p w14:paraId="48920FA9" w14:textId="413B0726" w:rsidR="00C82C46" w:rsidRPr="00C03EB0" w:rsidRDefault="00C82C46" w:rsidP="00C03EB0">
          <w:pPr>
            <w:pStyle w:val="ListParagraph"/>
            <w:numPr>
              <w:ilvl w:val="0"/>
              <w:numId w:val="2"/>
            </w:numPr>
            <w:autoSpaceDE w:val="0"/>
            <w:autoSpaceDN w:val="0"/>
            <w:adjustRightInd w:val="0"/>
            <w:spacing w:line="360" w:lineRule="auto"/>
            <w:jc w:val="both"/>
            <w:rPr>
              <w:rFonts w:ascii="Arial" w:hAnsi="Arial" w:cs="Arial"/>
              <w:sz w:val="24"/>
              <w:szCs w:val="24"/>
              <w:lang w:val="en-US"/>
            </w:rPr>
          </w:pPr>
          <w:r w:rsidRPr="00C03EB0">
            <w:rPr>
              <w:rFonts w:ascii="Arial" w:hAnsi="Arial" w:cs="Arial"/>
              <w:sz w:val="24"/>
              <w:szCs w:val="24"/>
              <w:lang w:val="en-US"/>
            </w:rPr>
            <w:t xml:space="preserve">Ward, T. (2017). Local councils as economic actors. Local Economy, 32(8), </w:t>
          </w:r>
          <w:r w:rsidR="00EF0896">
            <w:rPr>
              <w:rFonts w:ascii="Arial" w:hAnsi="Arial" w:cs="Arial"/>
              <w:sz w:val="24"/>
              <w:szCs w:val="24"/>
              <w:lang w:val="en-US"/>
            </w:rPr>
            <w:t>pp.</w:t>
          </w:r>
          <w:r w:rsidRPr="00C03EB0">
            <w:rPr>
              <w:rFonts w:ascii="Arial" w:hAnsi="Arial" w:cs="Arial"/>
              <w:sz w:val="24"/>
              <w:szCs w:val="24"/>
              <w:lang w:val="en-US"/>
            </w:rPr>
            <w:t>771-785.</w:t>
          </w:r>
        </w:p>
        <w:p w14:paraId="2B98E6E6" w14:textId="492502A9" w:rsidR="00930E51" w:rsidRPr="00C03EB0" w:rsidRDefault="00930E51"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Bovaird, T. (2007). Beyond engagement and participation: user and community coproduction of public services. Public Administration Review, 67(5), </w:t>
          </w:r>
          <w:r w:rsidR="00EF0896">
            <w:rPr>
              <w:rFonts w:ascii="Arial" w:hAnsi="Arial" w:cs="Arial"/>
              <w:sz w:val="24"/>
              <w:szCs w:val="24"/>
              <w:lang w:val="en-US"/>
            </w:rPr>
            <w:t>pp.</w:t>
          </w:r>
          <w:r w:rsidRPr="00C03EB0">
            <w:rPr>
              <w:rFonts w:ascii="Arial" w:hAnsi="Arial" w:cs="Arial"/>
              <w:sz w:val="24"/>
              <w:szCs w:val="24"/>
              <w:lang w:val="en-US"/>
            </w:rPr>
            <w:t>846-860.</w:t>
          </w:r>
        </w:p>
        <w:p w14:paraId="23DEC0E6" w14:textId="45E918F5" w:rsidR="00930E51" w:rsidRPr="00C03EB0" w:rsidRDefault="00930E51"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Leung, M. (2014). Public participation in local government decision-making: A literature review. Australian Journal of Public Administration, 73(4), </w:t>
          </w:r>
          <w:r w:rsidR="00EF0896">
            <w:rPr>
              <w:rFonts w:ascii="Arial" w:hAnsi="Arial" w:cs="Arial"/>
              <w:sz w:val="24"/>
              <w:szCs w:val="24"/>
              <w:lang w:val="en-US"/>
            </w:rPr>
            <w:t>pp.</w:t>
          </w:r>
          <w:r w:rsidRPr="00C03EB0">
            <w:rPr>
              <w:rFonts w:ascii="Arial" w:hAnsi="Arial" w:cs="Arial"/>
              <w:sz w:val="24"/>
              <w:szCs w:val="24"/>
              <w:lang w:val="en-US"/>
            </w:rPr>
            <w:t>518-532.</w:t>
          </w:r>
        </w:p>
        <w:p w14:paraId="339B0C00" w14:textId="77777777" w:rsidR="00930E51" w:rsidRPr="00C03EB0" w:rsidRDefault="00930E51"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lastRenderedPageBreak/>
            <w:t>Sullivan, H., &amp; Skelcher, C. (2002). Working across boundaries: Collaboration in public services. Palgrave Macmillan.</w:t>
          </w:r>
        </w:p>
        <w:p w14:paraId="5E282AAC" w14:textId="78420BC6" w:rsidR="00930E51" w:rsidRPr="00C03EB0" w:rsidRDefault="00930E51"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Bassett, E., Dair, C., &amp; Dair, L. (2016). From Consultation to Collaboration: A Model for Community Engagement. Journal of Community Engagement and Scholarship, 9(1), </w:t>
          </w:r>
          <w:r w:rsidR="00EF0896">
            <w:rPr>
              <w:rFonts w:ascii="Arial" w:hAnsi="Arial" w:cs="Arial"/>
              <w:sz w:val="24"/>
              <w:szCs w:val="24"/>
              <w:lang w:val="en-US"/>
            </w:rPr>
            <w:t>pp.</w:t>
          </w:r>
          <w:r w:rsidRPr="00C03EB0">
            <w:rPr>
              <w:rFonts w:ascii="Arial" w:hAnsi="Arial" w:cs="Arial"/>
              <w:sz w:val="24"/>
              <w:szCs w:val="24"/>
              <w:lang w:val="en-US"/>
            </w:rPr>
            <w:t>58-69.</w:t>
          </w:r>
        </w:p>
        <w:p w14:paraId="45F9FE0C" w14:textId="1E808D55" w:rsidR="00930E51" w:rsidRPr="00C03EB0" w:rsidRDefault="00930E51"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Fung, A. (2015). Putting the Public Back into Governance: The Challenges of Citizen Participation and Its Future. Public Administration Review, 75(4), </w:t>
          </w:r>
          <w:r w:rsidR="00EF0896">
            <w:rPr>
              <w:rFonts w:ascii="Arial" w:hAnsi="Arial" w:cs="Arial"/>
              <w:sz w:val="24"/>
              <w:szCs w:val="24"/>
              <w:lang w:val="en-US"/>
            </w:rPr>
            <w:t>pp.</w:t>
          </w:r>
          <w:r w:rsidRPr="00C03EB0">
            <w:rPr>
              <w:rFonts w:ascii="Arial" w:hAnsi="Arial" w:cs="Arial"/>
              <w:sz w:val="24"/>
              <w:szCs w:val="24"/>
              <w:lang w:val="en-US"/>
            </w:rPr>
            <w:t xml:space="preserve">513-522. </w:t>
          </w:r>
        </w:p>
        <w:p w14:paraId="2293EBFA" w14:textId="152C4090" w:rsidR="00930E51" w:rsidRPr="00C03EB0" w:rsidRDefault="00930E51" w:rsidP="00C03EB0">
          <w:pPr>
            <w:pStyle w:val="ListParagraph"/>
            <w:numPr>
              <w:ilvl w:val="0"/>
              <w:numId w:val="2"/>
            </w:numPr>
            <w:autoSpaceDE w:val="0"/>
            <w:autoSpaceDN w:val="0"/>
            <w:adjustRightInd w:val="0"/>
            <w:spacing w:line="360" w:lineRule="auto"/>
            <w:rPr>
              <w:rFonts w:ascii="Arial" w:hAnsi="Arial" w:cs="Arial"/>
              <w:sz w:val="24"/>
              <w:szCs w:val="24"/>
              <w:lang w:val="en-US"/>
            </w:rPr>
          </w:pPr>
          <w:r w:rsidRPr="00C03EB0">
            <w:rPr>
              <w:rFonts w:ascii="Arial" w:hAnsi="Arial" w:cs="Arial"/>
              <w:sz w:val="24"/>
              <w:szCs w:val="24"/>
              <w:lang w:val="en-US"/>
            </w:rPr>
            <w:t xml:space="preserve">Shier, H., &amp; Handy, F. (2018). Collaboration, Inclusion, and Engagement: Addressing the Needs of Diverse Youth Through Innovative Partnerships. Child Welfare, 96(3), </w:t>
          </w:r>
          <w:r w:rsidR="00EF0896">
            <w:rPr>
              <w:rFonts w:ascii="Arial" w:hAnsi="Arial" w:cs="Arial"/>
              <w:sz w:val="24"/>
              <w:szCs w:val="24"/>
              <w:lang w:val="en-US"/>
            </w:rPr>
            <w:t>pp.</w:t>
          </w:r>
          <w:r w:rsidRPr="00C03EB0">
            <w:rPr>
              <w:rFonts w:ascii="Arial" w:hAnsi="Arial" w:cs="Arial"/>
              <w:sz w:val="24"/>
              <w:szCs w:val="24"/>
              <w:lang w:val="en-US"/>
            </w:rPr>
            <w:t>121-142.</w:t>
          </w:r>
        </w:p>
        <w:p w14:paraId="4923792A" w14:textId="77777777" w:rsidR="00930E51" w:rsidRPr="00C03EB0" w:rsidRDefault="00930E51" w:rsidP="00C03EB0">
          <w:pPr>
            <w:autoSpaceDE w:val="0"/>
            <w:autoSpaceDN w:val="0"/>
            <w:adjustRightInd w:val="0"/>
            <w:spacing w:line="360" w:lineRule="auto"/>
            <w:jc w:val="both"/>
            <w:rPr>
              <w:rFonts w:ascii="Arial" w:hAnsi="Arial" w:cs="Arial"/>
              <w:sz w:val="24"/>
              <w:szCs w:val="24"/>
              <w:lang w:val="en-US"/>
            </w:rPr>
          </w:pPr>
        </w:p>
        <w:p w14:paraId="678FC217" w14:textId="2E89F2AF" w:rsidR="00C82C46" w:rsidRPr="00C03EB0" w:rsidRDefault="00000000" w:rsidP="00C03EB0">
          <w:pPr>
            <w:spacing w:line="360" w:lineRule="auto"/>
            <w:rPr>
              <w:rFonts w:ascii="Arial" w:hAnsi="Arial" w:cs="Arial"/>
              <w:sz w:val="24"/>
              <w:szCs w:val="24"/>
            </w:rPr>
          </w:pPr>
        </w:p>
      </w:sdtContent>
    </w:sdt>
    <w:bookmarkEnd w:id="11"/>
    <w:p w14:paraId="1115D99B" w14:textId="77777777" w:rsidR="00C82C46" w:rsidRPr="00C03EB0" w:rsidRDefault="00C82C46" w:rsidP="00C03EB0">
      <w:pPr>
        <w:spacing w:line="360" w:lineRule="auto"/>
        <w:rPr>
          <w:rFonts w:ascii="Arial" w:hAnsi="Arial" w:cs="Arial"/>
          <w:sz w:val="24"/>
          <w:szCs w:val="24"/>
        </w:rPr>
      </w:pPr>
    </w:p>
    <w:p w14:paraId="269F1FA6" w14:textId="77777777" w:rsidR="00C82C46" w:rsidRPr="00C03EB0" w:rsidRDefault="00C82C46" w:rsidP="00C03EB0">
      <w:pPr>
        <w:autoSpaceDE w:val="0"/>
        <w:autoSpaceDN w:val="0"/>
        <w:adjustRightInd w:val="0"/>
        <w:spacing w:line="360" w:lineRule="auto"/>
        <w:jc w:val="both"/>
        <w:rPr>
          <w:rFonts w:ascii="Arial" w:hAnsi="Arial" w:cs="Arial"/>
          <w:sz w:val="24"/>
          <w:szCs w:val="24"/>
          <w:lang w:val="en-US"/>
        </w:rPr>
      </w:pPr>
    </w:p>
    <w:p w14:paraId="58BAB612" w14:textId="77777777" w:rsidR="003D3973" w:rsidRPr="00C03EB0" w:rsidRDefault="003D3973" w:rsidP="00C03EB0">
      <w:pPr>
        <w:spacing w:line="360" w:lineRule="auto"/>
        <w:jc w:val="both"/>
        <w:rPr>
          <w:rFonts w:ascii="Arial" w:hAnsi="Arial" w:cs="Arial"/>
          <w:sz w:val="24"/>
          <w:szCs w:val="24"/>
          <w:lang w:val="en-US"/>
        </w:rPr>
      </w:pPr>
    </w:p>
    <w:sectPr w:rsidR="003D3973" w:rsidRPr="00C03EB0" w:rsidSect="00497378">
      <w:headerReference w:type="default" r:id="rId2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B5D61" w14:textId="77777777" w:rsidR="00F11577" w:rsidRDefault="00F11577" w:rsidP="00C03EB0">
      <w:pPr>
        <w:spacing w:after="0" w:line="240" w:lineRule="auto"/>
      </w:pPr>
      <w:r>
        <w:separator/>
      </w:r>
    </w:p>
  </w:endnote>
  <w:endnote w:type="continuationSeparator" w:id="0">
    <w:p w14:paraId="7B76ACC0" w14:textId="77777777" w:rsidR="00F11577" w:rsidRDefault="00F11577" w:rsidP="00C03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9F822" w14:textId="77777777" w:rsidR="00F11577" w:rsidRDefault="00F11577" w:rsidP="00C03EB0">
      <w:pPr>
        <w:spacing w:after="0" w:line="240" w:lineRule="auto"/>
      </w:pPr>
      <w:r>
        <w:separator/>
      </w:r>
    </w:p>
  </w:footnote>
  <w:footnote w:type="continuationSeparator" w:id="0">
    <w:p w14:paraId="3BC62FF1" w14:textId="77777777" w:rsidR="00F11577" w:rsidRDefault="00F11577" w:rsidP="00C03E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169993"/>
      <w:docPartObj>
        <w:docPartGallery w:val="Page Numbers (Top of Page)"/>
        <w:docPartUnique/>
      </w:docPartObj>
    </w:sdtPr>
    <w:sdtEndPr>
      <w:rPr>
        <w:noProof/>
      </w:rPr>
    </w:sdtEndPr>
    <w:sdtContent>
      <w:p w14:paraId="602284E7" w14:textId="46B153BC" w:rsidR="00C03EB0" w:rsidRDefault="00C03EB0">
        <w:pPr>
          <w:pStyle w:val="Header"/>
        </w:pPr>
        <w:r>
          <w:fldChar w:fldCharType="begin"/>
        </w:r>
        <w:r>
          <w:instrText xml:space="preserve"> PAGE   \* MERGEFORMAT </w:instrText>
        </w:r>
        <w:r>
          <w:fldChar w:fldCharType="separate"/>
        </w:r>
        <w:r>
          <w:rPr>
            <w:noProof/>
          </w:rPr>
          <w:t>2</w:t>
        </w:r>
        <w:r>
          <w:rPr>
            <w:noProof/>
          </w:rPr>
          <w:fldChar w:fldCharType="end"/>
        </w:r>
      </w:p>
    </w:sdtContent>
  </w:sdt>
  <w:p w14:paraId="6890DBF8" w14:textId="77777777" w:rsidR="00C03EB0" w:rsidRDefault="00C03E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535A1"/>
    <w:multiLevelType w:val="hybridMultilevel"/>
    <w:tmpl w:val="620A7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016D8B"/>
    <w:multiLevelType w:val="hybridMultilevel"/>
    <w:tmpl w:val="8CC0202A"/>
    <w:lvl w:ilvl="0" w:tplc="68E6AAA6">
      <w:start w:val="1"/>
      <w:numFmt w:val="bullet"/>
      <w:lvlText w:val=""/>
      <w:lvlJc w:val="left"/>
      <w:pPr>
        <w:tabs>
          <w:tab w:val="num" w:pos="720"/>
        </w:tabs>
        <w:ind w:left="720" w:hanging="360"/>
      </w:pPr>
      <w:rPr>
        <w:rFonts w:ascii="Wingdings 3" w:hAnsi="Wingdings 3" w:hint="default"/>
      </w:rPr>
    </w:lvl>
    <w:lvl w:ilvl="1" w:tplc="53A8BD12" w:tentative="1">
      <w:start w:val="1"/>
      <w:numFmt w:val="bullet"/>
      <w:lvlText w:val=""/>
      <w:lvlJc w:val="left"/>
      <w:pPr>
        <w:tabs>
          <w:tab w:val="num" w:pos="1440"/>
        </w:tabs>
        <w:ind w:left="1440" w:hanging="360"/>
      </w:pPr>
      <w:rPr>
        <w:rFonts w:ascii="Wingdings 3" w:hAnsi="Wingdings 3" w:hint="default"/>
      </w:rPr>
    </w:lvl>
    <w:lvl w:ilvl="2" w:tplc="E168EED4" w:tentative="1">
      <w:start w:val="1"/>
      <w:numFmt w:val="bullet"/>
      <w:lvlText w:val=""/>
      <w:lvlJc w:val="left"/>
      <w:pPr>
        <w:tabs>
          <w:tab w:val="num" w:pos="2160"/>
        </w:tabs>
        <w:ind w:left="2160" w:hanging="360"/>
      </w:pPr>
      <w:rPr>
        <w:rFonts w:ascii="Wingdings 3" w:hAnsi="Wingdings 3" w:hint="default"/>
      </w:rPr>
    </w:lvl>
    <w:lvl w:ilvl="3" w:tplc="E6AA9A5E" w:tentative="1">
      <w:start w:val="1"/>
      <w:numFmt w:val="bullet"/>
      <w:lvlText w:val=""/>
      <w:lvlJc w:val="left"/>
      <w:pPr>
        <w:tabs>
          <w:tab w:val="num" w:pos="2880"/>
        </w:tabs>
        <w:ind w:left="2880" w:hanging="360"/>
      </w:pPr>
      <w:rPr>
        <w:rFonts w:ascii="Wingdings 3" w:hAnsi="Wingdings 3" w:hint="default"/>
      </w:rPr>
    </w:lvl>
    <w:lvl w:ilvl="4" w:tplc="ADFC3960" w:tentative="1">
      <w:start w:val="1"/>
      <w:numFmt w:val="bullet"/>
      <w:lvlText w:val=""/>
      <w:lvlJc w:val="left"/>
      <w:pPr>
        <w:tabs>
          <w:tab w:val="num" w:pos="3600"/>
        </w:tabs>
        <w:ind w:left="3600" w:hanging="360"/>
      </w:pPr>
      <w:rPr>
        <w:rFonts w:ascii="Wingdings 3" w:hAnsi="Wingdings 3" w:hint="default"/>
      </w:rPr>
    </w:lvl>
    <w:lvl w:ilvl="5" w:tplc="6A20BCA8" w:tentative="1">
      <w:start w:val="1"/>
      <w:numFmt w:val="bullet"/>
      <w:lvlText w:val=""/>
      <w:lvlJc w:val="left"/>
      <w:pPr>
        <w:tabs>
          <w:tab w:val="num" w:pos="4320"/>
        </w:tabs>
        <w:ind w:left="4320" w:hanging="360"/>
      </w:pPr>
      <w:rPr>
        <w:rFonts w:ascii="Wingdings 3" w:hAnsi="Wingdings 3" w:hint="default"/>
      </w:rPr>
    </w:lvl>
    <w:lvl w:ilvl="6" w:tplc="27A89D60" w:tentative="1">
      <w:start w:val="1"/>
      <w:numFmt w:val="bullet"/>
      <w:lvlText w:val=""/>
      <w:lvlJc w:val="left"/>
      <w:pPr>
        <w:tabs>
          <w:tab w:val="num" w:pos="5040"/>
        </w:tabs>
        <w:ind w:left="5040" w:hanging="360"/>
      </w:pPr>
      <w:rPr>
        <w:rFonts w:ascii="Wingdings 3" w:hAnsi="Wingdings 3" w:hint="default"/>
      </w:rPr>
    </w:lvl>
    <w:lvl w:ilvl="7" w:tplc="F59ACCAC" w:tentative="1">
      <w:start w:val="1"/>
      <w:numFmt w:val="bullet"/>
      <w:lvlText w:val=""/>
      <w:lvlJc w:val="left"/>
      <w:pPr>
        <w:tabs>
          <w:tab w:val="num" w:pos="5760"/>
        </w:tabs>
        <w:ind w:left="5760" w:hanging="360"/>
      </w:pPr>
      <w:rPr>
        <w:rFonts w:ascii="Wingdings 3" w:hAnsi="Wingdings 3" w:hint="default"/>
      </w:rPr>
    </w:lvl>
    <w:lvl w:ilvl="8" w:tplc="7044677C" w:tentative="1">
      <w:start w:val="1"/>
      <w:numFmt w:val="bullet"/>
      <w:lvlText w:val=""/>
      <w:lvlJc w:val="left"/>
      <w:pPr>
        <w:tabs>
          <w:tab w:val="num" w:pos="6480"/>
        </w:tabs>
        <w:ind w:left="6480" w:hanging="360"/>
      </w:pPr>
      <w:rPr>
        <w:rFonts w:ascii="Wingdings 3" w:hAnsi="Wingdings 3" w:hint="default"/>
      </w:rPr>
    </w:lvl>
  </w:abstractNum>
  <w:num w:numId="1" w16cid:durableId="239680970">
    <w:abstractNumId w:val="1"/>
  </w:num>
  <w:num w:numId="2" w16cid:durableId="156189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624"/>
    <w:rsid w:val="000C01E6"/>
    <w:rsid w:val="0011267D"/>
    <w:rsid w:val="001B3453"/>
    <w:rsid w:val="002E0E51"/>
    <w:rsid w:val="003D3973"/>
    <w:rsid w:val="00497378"/>
    <w:rsid w:val="00513714"/>
    <w:rsid w:val="00524455"/>
    <w:rsid w:val="005A06D2"/>
    <w:rsid w:val="0066731F"/>
    <w:rsid w:val="006E7E8D"/>
    <w:rsid w:val="007857BC"/>
    <w:rsid w:val="00790089"/>
    <w:rsid w:val="00823AE2"/>
    <w:rsid w:val="008E09BC"/>
    <w:rsid w:val="00930E51"/>
    <w:rsid w:val="0094594D"/>
    <w:rsid w:val="00996368"/>
    <w:rsid w:val="00AA5A59"/>
    <w:rsid w:val="00B27957"/>
    <w:rsid w:val="00C0141D"/>
    <w:rsid w:val="00C03EB0"/>
    <w:rsid w:val="00C64C27"/>
    <w:rsid w:val="00C82C46"/>
    <w:rsid w:val="00CA5474"/>
    <w:rsid w:val="00CB6624"/>
    <w:rsid w:val="00DA7874"/>
    <w:rsid w:val="00EF0896"/>
    <w:rsid w:val="00F11577"/>
    <w:rsid w:val="00F27994"/>
    <w:rsid w:val="00FC4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0E546"/>
  <w15:chartTrackingRefBased/>
  <w15:docId w15:val="{903E7978-EBCB-407C-9B3F-BBEE3DB00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C46"/>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49737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C46"/>
    <w:rPr>
      <w:rFonts w:asciiTheme="majorHAnsi" w:eastAsiaTheme="majorEastAsia" w:hAnsiTheme="majorHAnsi" w:cstheme="majorBidi"/>
      <w:color w:val="365F91" w:themeColor="accent1" w:themeShade="BF"/>
      <w:sz w:val="32"/>
      <w:szCs w:val="32"/>
      <w:lang w:val="en-US"/>
    </w:rPr>
  </w:style>
  <w:style w:type="paragraph" w:styleId="ListParagraph">
    <w:name w:val="List Paragraph"/>
    <w:basedOn w:val="Normal"/>
    <w:uiPriority w:val="34"/>
    <w:qFormat/>
    <w:rsid w:val="00930E51"/>
    <w:pPr>
      <w:ind w:left="720"/>
      <w:contextualSpacing/>
    </w:pPr>
  </w:style>
  <w:style w:type="paragraph" w:styleId="NoSpacing">
    <w:name w:val="No Spacing"/>
    <w:link w:val="NoSpacingChar"/>
    <w:uiPriority w:val="1"/>
    <w:qFormat/>
    <w:rsid w:val="004973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7378"/>
    <w:rPr>
      <w:rFonts w:eastAsiaTheme="minorEastAsia"/>
      <w:lang w:val="en-US"/>
    </w:rPr>
  </w:style>
  <w:style w:type="character" w:customStyle="1" w:styleId="Heading2Char">
    <w:name w:val="Heading 2 Char"/>
    <w:basedOn w:val="DefaultParagraphFont"/>
    <w:link w:val="Heading2"/>
    <w:uiPriority w:val="9"/>
    <w:rsid w:val="00497378"/>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C03EB0"/>
    <w:pPr>
      <w:outlineLvl w:val="9"/>
    </w:pPr>
  </w:style>
  <w:style w:type="paragraph" w:styleId="TOC1">
    <w:name w:val="toc 1"/>
    <w:basedOn w:val="Normal"/>
    <w:next w:val="Normal"/>
    <w:autoRedefine/>
    <w:uiPriority w:val="39"/>
    <w:unhideWhenUsed/>
    <w:rsid w:val="00C03EB0"/>
    <w:pPr>
      <w:spacing w:after="100"/>
    </w:pPr>
  </w:style>
  <w:style w:type="paragraph" w:styleId="TOC2">
    <w:name w:val="toc 2"/>
    <w:basedOn w:val="Normal"/>
    <w:next w:val="Normal"/>
    <w:autoRedefine/>
    <w:uiPriority w:val="39"/>
    <w:unhideWhenUsed/>
    <w:rsid w:val="00C03EB0"/>
    <w:pPr>
      <w:spacing w:after="100"/>
      <w:ind w:left="220"/>
    </w:pPr>
  </w:style>
  <w:style w:type="character" w:styleId="Hyperlink">
    <w:name w:val="Hyperlink"/>
    <w:basedOn w:val="DefaultParagraphFont"/>
    <w:uiPriority w:val="99"/>
    <w:unhideWhenUsed/>
    <w:rsid w:val="00C03EB0"/>
    <w:rPr>
      <w:color w:val="0000FF" w:themeColor="hyperlink"/>
      <w:u w:val="single"/>
    </w:rPr>
  </w:style>
  <w:style w:type="paragraph" w:styleId="Header">
    <w:name w:val="header"/>
    <w:basedOn w:val="Normal"/>
    <w:link w:val="HeaderChar"/>
    <w:uiPriority w:val="99"/>
    <w:unhideWhenUsed/>
    <w:rsid w:val="00C03EB0"/>
    <w:pPr>
      <w:tabs>
        <w:tab w:val="center" w:pos="4677"/>
        <w:tab w:val="right" w:pos="9355"/>
      </w:tabs>
      <w:spacing w:after="0" w:line="240" w:lineRule="auto"/>
    </w:pPr>
  </w:style>
  <w:style w:type="character" w:customStyle="1" w:styleId="HeaderChar">
    <w:name w:val="Header Char"/>
    <w:basedOn w:val="DefaultParagraphFont"/>
    <w:link w:val="Header"/>
    <w:uiPriority w:val="99"/>
    <w:rsid w:val="00C03EB0"/>
  </w:style>
  <w:style w:type="paragraph" w:styleId="Footer">
    <w:name w:val="footer"/>
    <w:basedOn w:val="Normal"/>
    <w:link w:val="FooterChar"/>
    <w:uiPriority w:val="99"/>
    <w:unhideWhenUsed/>
    <w:rsid w:val="00C03EB0"/>
    <w:pPr>
      <w:tabs>
        <w:tab w:val="center" w:pos="4677"/>
        <w:tab w:val="right" w:pos="9355"/>
      </w:tabs>
      <w:spacing w:after="0" w:line="240" w:lineRule="auto"/>
    </w:pPr>
  </w:style>
  <w:style w:type="character" w:customStyle="1" w:styleId="FooterChar">
    <w:name w:val="Footer Char"/>
    <w:basedOn w:val="DefaultParagraphFont"/>
    <w:link w:val="Footer"/>
    <w:uiPriority w:val="99"/>
    <w:rsid w:val="00C03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ounslow.gov.uk/info/20107/community_engagement/1057/our_approach_to_community_engagement" TargetMode="External"/><Relationship Id="rId18" Type="http://schemas.openxmlformats.org/officeDocument/2006/relationships/hyperlink" Target="https://www.hounslow.gov.uk/info/20002/council_information/516/our_commitment_to_the_environmen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hounslow.gov.uk/download/downloads/id/14052/community_engagement_strategy.pdf" TargetMode="External"/><Relationship Id="rId7" Type="http://schemas.openxmlformats.org/officeDocument/2006/relationships/endnotes" Target="endnotes.xml"/><Relationship Id="rId12" Type="http://schemas.openxmlformats.org/officeDocument/2006/relationships/hyperlink" Target="https://www.hounslow.gov.uk/info/20127/about_the_council/464/our_vision_and_priorities" TargetMode="External"/><Relationship Id="rId17" Type="http://schemas.openxmlformats.org/officeDocument/2006/relationships/hyperlink" Target="https://www.hounslow.gov.uk/info/20002/council_information/539/our_digital_future" TargetMode="External"/><Relationship Id="rId25" Type="http://schemas.openxmlformats.org/officeDocument/2006/relationships/hyperlink" Target="https://www.hounslow.gov.uk/download/downloads/id/9790/transport_strategy_2019-2032.pdf" TargetMode="External"/><Relationship Id="rId2" Type="http://schemas.openxmlformats.org/officeDocument/2006/relationships/numbering" Target="numbering.xml"/><Relationship Id="rId16" Type="http://schemas.openxmlformats.org/officeDocument/2006/relationships/hyperlink" Target="https://www.hounslow.gov.uk/info/20010/our_borough" TargetMode="External"/><Relationship Id="rId20" Type="http://schemas.openxmlformats.org/officeDocument/2006/relationships/hyperlink" Target="https://data.london.gov.uk/dataset/hounslow-borough-profil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unslow.gov.uk/info/20127/about_the_council" TargetMode="External"/><Relationship Id="rId24" Type="http://schemas.openxmlformats.org/officeDocument/2006/relationships/hyperlink" Target="https://www.hounslow.gov.uk/info/20005/our_borough/1393/sustainable_hounslow" TargetMode="External"/><Relationship Id="rId5" Type="http://schemas.openxmlformats.org/officeDocument/2006/relationships/webSettings" Target="webSettings.xml"/><Relationship Id="rId15" Type="http://schemas.openxmlformats.org/officeDocument/2006/relationships/hyperlink" Target="https://www.hounslow.gov.uk/info/20173/public_health/2307/covid-19_coronavirus_information/2" TargetMode="External"/><Relationship Id="rId23" Type="http://schemas.openxmlformats.org/officeDocument/2006/relationships/hyperlink" Target="https://www.hounslow.gov.uk/download/downloads/id/10885/housing_strategy_2018-2023.pdf" TargetMode="External"/><Relationship Id="rId28"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yperlink" Target="https://www.hounslow.gov.uk/downloads/file/1465/hounslow_council_plan_2018-20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ounslow.gov.uk/news/article/2083/government_funding_secured_for_new_schools_in_hounslow" TargetMode="External"/><Relationship Id="rId22" Type="http://schemas.openxmlformats.org/officeDocument/2006/relationships/hyperlink" Target="https://www.hounslow.gov.uk/download/downloads/id/12249/hounslow_council_strategy_2018-2022.pdf"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C14D6882314B2F8D2DD8D7F5B87701"/>
        <w:category>
          <w:name w:val="General"/>
          <w:gallery w:val="placeholder"/>
        </w:category>
        <w:types>
          <w:type w:val="bbPlcHdr"/>
        </w:types>
        <w:behaviors>
          <w:behavior w:val="content"/>
        </w:behaviors>
        <w:guid w:val="{B15E858D-BF07-4A28-A44B-055CBF828EAA}"/>
      </w:docPartPr>
      <w:docPartBody>
        <w:p w:rsidR="00C21D26" w:rsidRDefault="001D5D39" w:rsidP="001D5D39">
          <w:pPr>
            <w:pStyle w:val="D7C14D6882314B2F8D2DD8D7F5B8770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D39"/>
    <w:rsid w:val="000E2FD2"/>
    <w:rsid w:val="001D5D39"/>
    <w:rsid w:val="00575C2C"/>
    <w:rsid w:val="00C21D26"/>
    <w:rsid w:val="00CE0A66"/>
    <w:rsid w:val="00D83C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C14D6882314B2F8D2DD8D7F5B87701">
    <w:name w:val="D7C14D6882314B2F8D2DD8D7F5B87701"/>
    <w:rsid w:val="001D5D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2D4952-62C3-47B1-AA8E-3DF4D880D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17</Pages>
  <Words>15168</Words>
  <Characters>8646</Characters>
  <Application>Microsoft Office Word</Application>
  <DocSecurity>0</DocSecurity>
  <Lines>72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Student: Linda Roze (2219027)                                                                              Programme: BABM                                                                                                     Module: Community engagement (LCBB4002)                                                           Lecturer: Nadeem Mirza</dc:subject>
  <cp:keywords/>
  <dc:description/>
  <cp:lastModifiedBy>Valentin Borisov (2219028)</cp:lastModifiedBy>
  <cp:revision>8</cp:revision>
  <dcterms:created xsi:type="dcterms:W3CDTF">2023-03-31T14:57:00Z</dcterms:created>
  <dcterms:modified xsi:type="dcterms:W3CDTF">2023-04-08T21:40:00Z</dcterms:modified>
</cp:coreProperties>
</file>