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sz w:val="24"/>
          <w:szCs w:val="24"/>
          <w:lang w:val="en-TR" w:eastAsia="en-GB"/>
        </w:rPr>
        <w:id w:val="484742436"/>
        <w:docPartObj>
          <w:docPartGallery w:val="Cover Pages"/>
          <w:docPartUnique/>
        </w:docPartObj>
      </w:sdtPr>
      <w:sdtEndPr>
        <w:rPr>
          <w:b/>
          <w:bCs/>
          <w:color w:val="000000" w:themeColor="text1"/>
          <w:lang w:val="en-GB"/>
        </w:rPr>
      </w:sdtEndPr>
      <w:sdtContent>
        <w:p w14:paraId="65BF7B7E" w14:textId="0824FFB3" w:rsidR="001F21DC" w:rsidRDefault="001F21DC">
          <w:pPr>
            <w:pStyle w:val="NoSpacing"/>
            <w:spacing w:before="1540" w:after="240"/>
            <w:jc w:val="center"/>
            <w:rPr>
              <w:color w:val="4472C4" w:themeColor="accent1"/>
            </w:rPr>
          </w:pPr>
          <w:r>
            <w:rPr>
              <w:noProof/>
              <w:color w:val="4472C4" w:themeColor="accent1"/>
            </w:rPr>
            <w:drawing>
              <wp:inline distT="0" distB="0" distL="0" distR="0" wp14:anchorId="6A3113C3" wp14:editId="77D00BA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B0615A91210E14DAE2D68995BE37E0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DF18668" w14:textId="7ED61BD3" w:rsidR="001F21DC" w:rsidRDefault="001F21D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Financial Ratio Anlysis of Hilton</w:t>
              </w:r>
            </w:p>
          </w:sdtContent>
        </w:sdt>
        <w:sdt>
          <w:sdtPr>
            <w:rPr>
              <w:color w:val="4472C4" w:themeColor="accent1"/>
              <w:sz w:val="28"/>
              <w:szCs w:val="28"/>
            </w:rPr>
            <w:alias w:val="Subtitle"/>
            <w:tag w:val=""/>
            <w:id w:val="328029620"/>
            <w:placeholder>
              <w:docPart w:val="13DEE7237D71B64D92521BD6E5DE38FE"/>
            </w:placeholder>
            <w:dataBinding w:prefixMappings="xmlns:ns0='http://purl.org/dc/elements/1.1/' xmlns:ns1='http://schemas.openxmlformats.org/package/2006/metadata/core-properties' " w:xpath="/ns1:coreProperties[1]/ns0:subject[1]" w:storeItemID="{6C3C8BC8-F283-45AE-878A-BAB7291924A1}"/>
            <w:text/>
          </w:sdtPr>
          <w:sdtEndPr/>
          <w:sdtContent>
            <w:p w14:paraId="35BE4ABA" w14:textId="1F32E39E" w:rsidR="001F21DC" w:rsidRDefault="001F21DC">
              <w:pPr>
                <w:pStyle w:val="NoSpacing"/>
                <w:jc w:val="center"/>
                <w:rPr>
                  <w:color w:val="4472C4" w:themeColor="accent1"/>
                  <w:sz w:val="28"/>
                  <w:szCs w:val="28"/>
                </w:rPr>
              </w:pPr>
              <w:r>
                <w:rPr>
                  <w:color w:val="4472C4" w:themeColor="accent1"/>
                  <w:sz w:val="28"/>
                  <w:szCs w:val="28"/>
                </w:rPr>
                <w:t>Sofa Begum</w:t>
              </w:r>
            </w:p>
          </w:sdtContent>
        </w:sdt>
        <w:p w14:paraId="6045A0A7" w14:textId="77777777" w:rsidR="001F21DC" w:rsidRDefault="001F21D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35C3AD9" wp14:editId="044A526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01T00:00:00Z">
                                    <w:dateFormat w:val="MMMM d, yyyy"/>
                                    <w:lid w:val="en-US"/>
                                    <w:storeMappedDataAs w:val="dateTime"/>
                                    <w:calendar w:val="gregorian"/>
                                  </w:date>
                                </w:sdtPr>
                                <w:sdtEndPr/>
                                <w:sdtContent>
                                  <w:p w14:paraId="2F4E2642" w14:textId="4C0F58F5" w:rsidR="001F21DC" w:rsidRDefault="001F21DC">
                                    <w:pPr>
                                      <w:pStyle w:val="NoSpacing"/>
                                      <w:spacing w:after="40"/>
                                      <w:jc w:val="center"/>
                                      <w:rPr>
                                        <w:caps/>
                                        <w:color w:val="4472C4" w:themeColor="accent1"/>
                                        <w:sz w:val="28"/>
                                        <w:szCs w:val="28"/>
                                      </w:rPr>
                                    </w:pPr>
                                    <w:r>
                                      <w:rPr>
                                        <w:caps/>
                                        <w:color w:val="4472C4" w:themeColor="accent1"/>
                                        <w:sz w:val="28"/>
                                        <w:szCs w:val="28"/>
                                      </w:rPr>
                                      <w:t>June 1, 2022</w:t>
                                    </w:r>
                                  </w:p>
                                </w:sdtContent>
                              </w:sdt>
                              <w:p w14:paraId="641E6D05" w14:textId="77777777" w:rsidR="001F21DC" w:rsidRDefault="00581BC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F21DC">
                                      <w:rPr>
                                        <w:caps/>
                                        <w:color w:val="4472C4" w:themeColor="accent1"/>
                                      </w:rPr>
                                      <w:t>[Company name]</w:t>
                                    </w:r>
                                  </w:sdtContent>
                                </w:sdt>
                              </w:p>
                              <w:p w14:paraId="7E4937BF" w14:textId="77777777" w:rsidR="001F21DC" w:rsidRDefault="00581BC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F21DC">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35C3AD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01T00:00:00Z">
                              <w:dateFormat w:val="MMMM d, yyyy"/>
                              <w:lid w:val="en-US"/>
                              <w:storeMappedDataAs w:val="dateTime"/>
                              <w:calendar w:val="gregorian"/>
                            </w:date>
                          </w:sdtPr>
                          <w:sdtEndPr/>
                          <w:sdtContent>
                            <w:p w14:paraId="2F4E2642" w14:textId="4C0F58F5" w:rsidR="001F21DC" w:rsidRDefault="001F21DC">
                              <w:pPr>
                                <w:pStyle w:val="NoSpacing"/>
                                <w:spacing w:after="40"/>
                                <w:jc w:val="center"/>
                                <w:rPr>
                                  <w:caps/>
                                  <w:color w:val="4472C4" w:themeColor="accent1"/>
                                  <w:sz w:val="28"/>
                                  <w:szCs w:val="28"/>
                                </w:rPr>
                              </w:pPr>
                              <w:r>
                                <w:rPr>
                                  <w:caps/>
                                  <w:color w:val="4472C4" w:themeColor="accent1"/>
                                  <w:sz w:val="28"/>
                                  <w:szCs w:val="28"/>
                                </w:rPr>
                                <w:t>June 1, 2022</w:t>
                              </w:r>
                            </w:p>
                          </w:sdtContent>
                        </w:sdt>
                        <w:p w14:paraId="641E6D05" w14:textId="77777777" w:rsidR="001F21DC" w:rsidRDefault="00581BC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F21DC">
                                <w:rPr>
                                  <w:caps/>
                                  <w:color w:val="4472C4" w:themeColor="accent1"/>
                                </w:rPr>
                                <w:t>[Company name]</w:t>
                              </w:r>
                            </w:sdtContent>
                          </w:sdt>
                        </w:p>
                        <w:p w14:paraId="7E4937BF" w14:textId="77777777" w:rsidR="001F21DC" w:rsidRDefault="00581BC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F21DC">
                                <w:rPr>
                                  <w:color w:val="4472C4" w:themeColor="accent1"/>
                                </w:rPr>
                                <w:t>[Company address]</w:t>
                              </w:r>
                            </w:sdtContent>
                          </w:sdt>
                        </w:p>
                      </w:txbxContent>
                    </v:textbox>
                    <w10:wrap anchorx="margin" anchory="page"/>
                  </v:shape>
                </w:pict>
              </mc:Fallback>
            </mc:AlternateContent>
          </w:r>
          <w:r>
            <w:rPr>
              <w:noProof/>
              <w:color w:val="4472C4" w:themeColor="accent1"/>
            </w:rPr>
            <w:drawing>
              <wp:inline distT="0" distB="0" distL="0" distR="0" wp14:anchorId="3247FC68" wp14:editId="0EAAE41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466115" w14:textId="7C0D04C0" w:rsidR="001F21DC" w:rsidRDefault="001F21DC">
          <w:pPr>
            <w:spacing w:after="160" w:line="259" w:lineRule="auto"/>
            <w:rPr>
              <w:b/>
              <w:bCs/>
              <w:color w:val="000000" w:themeColor="text1"/>
            </w:rPr>
          </w:pPr>
          <w:r>
            <w:rPr>
              <w:b/>
              <w:bCs/>
              <w:color w:val="000000" w:themeColor="text1"/>
            </w:rPr>
            <w:br w:type="page"/>
          </w:r>
        </w:p>
      </w:sdtContent>
    </w:sdt>
    <w:sdt>
      <w:sdtPr>
        <w:rPr>
          <w:rFonts w:ascii="Times New Roman" w:eastAsia="Times New Roman" w:hAnsi="Times New Roman" w:cs="Times New Roman"/>
          <w:color w:val="auto"/>
          <w:sz w:val="24"/>
          <w:szCs w:val="24"/>
          <w:lang w:val="en-TR" w:eastAsia="en-GB"/>
        </w:rPr>
        <w:id w:val="1973088629"/>
        <w:docPartObj>
          <w:docPartGallery w:val="Table of Contents"/>
          <w:docPartUnique/>
        </w:docPartObj>
      </w:sdtPr>
      <w:sdtEndPr>
        <w:rPr>
          <w:b/>
          <w:bCs/>
          <w:noProof/>
          <w:lang w:val="en-GB"/>
        </w:rPr>
      </w:sdtEndPr>
      <w:sdtContent>
        <w:p w14:paraId="709927A3" w14:textId="64A576DA" w:rsidR="003E6C78" w:rsidRDefault="003E6C78">
          <w:pPr>
            <w:pStyle w:val="TOCHeading"/>
          </w:pPr>
          <w:r>
            <w:t>Table of Contents</w:t>
          </w:r>
        </w:p>
        <w:p w14:paraId="44295374" w14:textId="67F9B304" w:rsidR="003E6C78" w:rsidRDefault="003E6C78">
          <w:pPr>
            <w:pStyle w:val="TOC1"/>
            <w:tabs>
              <w:tab w:val="right" w:leader="dot" w:pos="9016"/>
            </w:tabs>
            <w:rPr>
              <w:rFonts w:eastAsiaTheme="minorEastAsia"/>
              <w:noProof/>
            </w:rPr>
          </w:pPr>
          <w:r>
            <w:rPr>
              <w:b w:val="0"/>
              <w:bCs w:val="0"/>
            </w:rPr>
            <w:fldChar w:fldCharType="begin"/>
          </w:r>
          <w:r>
            <w:instrText xml:space="preserve"> TOC \o "1-3" \h \z \u </w:instrText>
          </w:r>
          <w:r>
            <w:rPr>
              <w:b w:val="0"/>
              <w:bCs w:val="0"/>
            </w:rPr>
            <w:fldChar w:fldCharType="separate"/>
          </w:r>
          <w:hyperlink w:anchor="_Toc105014874" w:history="1">
            <w:r w:rsidRPr="007D1088">
              <w:rPr>
                <w:rStyle w:val="Hyperlink"/>
                <w:noProof/>
              </w:rPr>
              <w:t>Executive summary:</w:t>
            </w:r>
            <w:r>
              <w:rPr>
                <w:noProof/>
                <w:webHidden/>
              </w:rPr>
              <w:tab/>
            </w:r>
            <w:r>
              <w:rPr>
                <w:noProof/>
                <w:webHidden/>
              </w:rPr>
              <w:fldChar w:fldCharType="begin"/>
            </w:r>
            <w:r>
              <w:rPr>
                <w:noProof/>
                <w:webHidden/>
              </w:rPr>
              <w:instrText xml:space="preserve"> PAGEREF _Toc105014874 \h </w:instrText>
            </w:r>
            <w:r>
              <w:rPr>
                <w:noProof/>
                <w:webHidden/>
              </w:rPr>
            </w:r>
            <w:r>
              <w:rPr>
                <w:noProof/>
                <w:webHidden/>
              </w:rPr>
              <w:fldChar w:fldCharType="separate"/>
            </w:r>
            <w:r>
              <w:rPr>
                <w:noProof/>
                <w:webHidden/>
              </w:rPr>
              <w:t>1</w:t>
            </w:r>
            <w:r>
              <w:rPr>
                <w:noProof/>
                <w:webHidden/>
              </w:rPr>
              <w:fldChar w:fldCharType="end"/>
            </w:r>
          </w:hyperlink>
        </w:p>
        <w:p w14:paraId="00737484" w14:textId="3EA25D8F" w:rsidR="003E6C78" w:rsidRDefault="00581BC0">
          <w:pPr>
            <w:pStyle w:val="TOC1"/>
            <w:tabs>
              <w:tab w:val="right" w:leader="dot" w:pos="9016"/>
            </w:tabs>
            <w:rPr>
              <w:rFonts w:eastAsiaTheme="minorEastAsia"/>
              <w:noProof/>
            </w:rPr>
          </w:pPr>
          <w:hyperlink w:anchor="_Toc105014875" w:history="1">
            <w:r w:rsidR="003E6C78" w:rsidRPr="007D1088">
              <w:rPr>
                <w:rStyle w:val="Hyperlink"/>
                <w:noProof/>
              </w:rPr>
              <w:t>Question no: 1</w:t>
            </w:r>
            <w:r w:rsidR="003E6C78">
              <w:rPr>
                <w:noProof/>
                <w:webHidden/>
              </w:rPr>
              <w:tab/>
            </w:r>
            <w:r w:rsidR="003E6C78">
              <w:rPr>
                <w:noProof/>
                <w:webHidden/>
              </w:rPr>
              <w:fldChar w:fldCharType="begin"/>
            </w:r>
            <w:r w:rsidR="003E6C78">
              <w:rPr>
                <w:noProof/>
                <w:webHidden/>
              </w:rPr>
              <w:instrText xml:space="preserve"> PAGEREF _Toc105014875 \h </w:instrText>
            </w:r>
            <w:r w:rsidR="003E6C78">
              <w:rPr>
                <w:noProof/>
                <w:webHidden/>
              </w:rPr>
            </w:r>
            <w:r w:rsidR="003E6C78">
              <w:rPr>
                <w:noProof/>
                <w:webHidden/>
              </w:rPr>
              <w:fldChar w:fldCharType="separate"/>
            </w:r>
            <w:r w:rsidR="003E6C78">
              <w:rPr>
                <w:noProof/>
                <w:webHidden/>
              </w:rPr>
              <w:t>1</w:t>
            </w:r>
            <w:r w:rsidR="003E6C78">
              <w:rPr>
                <w:noProof/>
                <w:webHidden/>
              </w:rPr>
              <w:fldChar w:fldCharType="end"/>
            </w:r>
          </w:hyperlink>
        </w:p>
        <w:p w14:paraId="6849AA97" w14:textId="57C304EA" w:rsidR="003E6C78" w:rsidRDefault="00581BC0">
          <w:pPr>
            <w:pStyle w:val="TOC1"/>
            <w:tabs>
              <w:tab w:val="right" w:leader="dot" w:pos="9016"/>
            </w:tabs>
            <w:rPr>
              <w:rFonts w:eastAsiaTheme="minorEastAsia"/>
              <w:noProof/>
            </w:rPr>
          </w:pPr>
          <w:hyperlink w:anchor="_Toc105014876" w:history="1">
            <w:r w:rsidR="003E6C78" w:rsidRPr="007D1088">
              <w:rPr>
                <w:rStyle w:val="Hyperlink"/>
                <w:noProof/>
              </w:rPr>
              <w:t>Question no 02</w:t>
            </w:r>
            <w:r w:rsidR="003E6C78">
              <w:rPr>
                <w:noProof/>
                <w:webHidden/>
              </w:rPr>
              <w:tab/>
            </w:r>
            <w:r w:rsidR="003E6C78">
              <w:rPr>
                <w:noProof/>
                <w:webHidden/>
              </w:rPr>
              <w:fldChar w:fldCharType="begin"/>
            </w:r>
            <w:r w:rsidR="003E6C78">
              <w:rPr>
                <w:noProof/>
                <w:webHidden/>
              </w:rPr>
              <w:instrText xml:space="preserve"> PAGEREF _Toc105014876 \h </w:instrText>
            </w:r>
            <w:r w:rsidR="003E6C78">
              <w:rPr>
                <w:noProof/>
                <w:webHidden/>
              </w:rPr>
            </w:r>
            <w:r w:rsidR="003E6C78">
              <w:rPr>
                <w:noProof/>
                <w:webHidden/>
              </w:rPr>
              <w:fldChar w:fldCharType="separate"/>
            </w:r>
            <w:r w:rsidR="003E6C78">
              <w:rPr>
                <w:noProof/>
                <w:webHidden/>
              </w:rPr>
              <w:t>3</w:t>
            </w:r>
            <w:r w:rsidR="003E6C78">
              <w:rPr>
                <w:noProof/>
                <w:webHidden/>
              </w:rPr>
              <w:fldChar w:fldCharType="end"/>
            </w:r>
          </w:hyperlink>
        </w:p>
        <w:p w14:paraId="6D225D5D" w14:textId="62D86392" w:rsidR="003E6C78" w:rsidRDefault="00581BC0">
          <w:pPr>
            <w:pStyle w:val="TOC1"/>
            <w:tabs>
              <w:tab w:val="right" w:leader="dot" w:pos="9016"/>
            </w:tabs>
            <w:rPr>
              <w:rFonts w:eastAsiaTheme="minorEastAsia"/>
              <w:noProof/>
            </w:rPr>
          </w:pPr>
          <w:hyperlink w:anchor="_Toc105014877" w:history="1">
            <w:r w:rsidR="003E6C78" w:rsidRPr="007D1088">
              <w:rPr>
                <w:rStyle w:val="Hyperlink"/>
                <w:noProof/>
              </w:rPr>
              <w:t>Question no 3</w:t>
            </w:r>
            <w:r w:rsidR="003E6C78">
              <w:rPr>
                <w:noProof/>
                <w:webHidden/>
              </w:rPr>
              <w:tab/>
            </w:r>
            <w:r w:rsidR="003E6C78">
              <w:rPr>
                <w:noProof/>
                <w:webHidden/>
              </w:rPr>
              <w:fldChar w:fldCharType="begin"/>
            </w:r>
            <w:r w:rsidR="003E6C78">
              <w:rPr>
                <w:noProof/>
                <w:webHidden/>
              </w:rPr>
              <w:instrText xml:space="preserve"> PAGEREF _Toc105014877 \h </w:instrText>
            </w:r>
            <w:r w:rsidR="003E6C78">
              <w:rPr>
                <w:noProof/>
                <w:webHidden/>
              </w:rPr>
            </w:r>
            <w:r w:rsidR="003E6C78">
              <w:rPr>
                <w:noProof/>
                <w:webHidden/>
              </w:rPr>
              <w:fldChar w:fldCharType="separate"/>
            </w:r>
            <w:r w:rsidR="003E6C78">
              <w:rPr>
                <w:noProof/>
                <w:webHidden/>
              </w:rPr>
              <w:t>4</w:t>
            </w:r>
            <w:r w:rsidR="003E6C78">
              <w:rPr>
                <w:noProof/>
                <w:webHidden/>
              </w:rPr>
              <w:fldChar w:fldCharType="end"/>
            </w:r>
          </w:hyperlink>
        </w:p>
        <w:p w14:paraId="5A649D6A" w14:textId="0561AA6B" w:rsidR="003E6C78" w:rsidRDefault="00581BC0">
          <w:pPr>
            <w:pStyle w:val="TOC1"/>
            <w:tabs>
              <w:tab w:val="right" w:leader="dot" w:pos="9016"/>
            </w:tabs>
            <w:rPr>
              <w:rFonts w:eastAsiaTheme="minorEastAsia"/>
              <w:noProof/>
            </w:rPr>
          </w:pPr>
          <w:hyperlink w:anchor="_Toc105014878" w:history="1">
            <w:r w:rsidR="003E6C78" w:rsidRPr="007D1088">
              <w:rPr>
                <w:rStyle w:val="Hyperlink"/>
                <w:noProof/>
              </w:rPr>
              <w:t>References</w:t>
            </w:r>
            <w:r w:rsidR="003E6C78">
              <w:rPr>
                <w:noProof/>
                <w:webHidden/>
              </w:rPr>
              <w:tab/>
            </w:r>
            <w:r w:rsidR="003E6C78">
              <w:rPr>
                <w:noProof/>
                <w:webHidden/>
              </w:rPr>
              <w:fldChar w:fldCharType="begin"/>
            </w:r>
            <w:r w:rsidR="003E6C78">
              <w:rPr>
                <w:noProof/>
                <w:webHidden/>
              </w:rPr>
              <w:instrText xml:space="preserve"> PAGEREF _Toc105014878 \h </w:instrText>
            </w:r>
            <w:r w:rsidR="003E6C78">
              <w:rPr>
                <w:noProof/>
                <w:webHidden/>
              </w:rPr>
            </w:r>
            <w:r w:rsidR="003E6C78">
              <w:rPr>
                <w:noProof/>
                <w:webHidden/>
              </w:rPr>
              <w:fldChar w:fldCharType="separate"/>
            </w:r>
            <w:r w:rsidR="003E6C78">
              <w:rPr>
                <w:noProof/>
                <w:webHidden/>
              </w:rPr>
              <w:t>5</w:t>
            </w:r>
            <w:r w:rsidR="003E6C78">
              <w:rPr>
                <w:noProof/>
                <w:webHidden/>
              </w:rPr>
              <w:fldChar w:fldCharType="end"/>
            </w:r>
          </w:hyperlink>
        </w:p>
        <w:p w14:paraId="3E929CFD" w14:textId="0ED38BC3" w:rsidR="003E6C78" w:rsidRDefault="003E6C78">
          <w:r>
            <w:rPr>
              <w:b/>
              <w:bCs/>
              <w:noProof/>
            </w:rPr>
            <w:fldChar w:fldCharType="end"/>
          </w:r>
        </w:p>
      </w:sdtContent>
    </w:sdt>
    <w:p w14:paraId="24BC905F" w14:textId="44EADB69" w:rsidR="001F21DC" w:rsidRDefault="001F21DC" w:rsidP="002D5F93">
      <w:pPr>
        <w:jc w:val="both"/>
        <w:rPr>
          <w:b/>
          <w:bCs/>
          <w:color w:val="000000" w:themeColor="text1"/>
        </w:rPr>
      </w:pPr>
    </w:p>
    <w:p w14:paraId="00F011CE" w14:textId="14E7CA54" w:rsidR="003E6C78" w:rsidRDefault="003E6C78" w:rsidP="002D5F93">
      <w:pPr>
        <w:jc w:val="both"/>
        <w:rPr>
          <w:b/>
          <w:bCs/>
          <w:color w:val="000000" w:themeColor="text1"/>
        </w:rPr>
      </w:pPr>
    </w:p>
    <w:p w14:paraId="1B49BEBA" w14:textId="7726AC1D" w:rsidR="003E6C78" w:rsidRDefault="003E6C78" w:rsidP="002D5F93">
      <w:pPr>
        <w:jc w:val="both"/>
        <w:rPr>
          <w:b/>
          <w:bCs/>
          <w:color w:val="000000" w:themeColor="text1"/>
        </w:rPr>
      </w:pPr>
    </w:p>
    <w:p w14:paraId="21A5C21F" w14:textId="6F14D894" w:rsidR="003E6C78" w:rsidRDefault="003E6C78" w:rsidP="002D5F93">
      <w:pPr>
        <w:jc w:val="both"/>
        <w:rPr>
          <w:b/>
          <w:bCs/>
          <w:color w:val="000000" w:themeColor="text1"/>
        </w:rPr>
      </w:pPr>
    </w:p>
    <w:p w14:paraId="0DC5A43F" w14:textId="723ACFBD" w:rsidR="003E6C78" w:rsidRDefault="003E6C78" w:rsidP="002D5F93">
      <w:pPr>
        <w:jc w:val="both"/>
        <w:rPr>
          <w:b/>
          <w:bCs/>
          <w:color w:val="000000" w:themeColor="text1"/>
        </w:rPr>
      </w:pPr>
    </w:p>
    <w:p w14:paraId="5540711B" w14:textId="244004EF" w:rsidR="003E6C78" w:rsidRDefault="003E6C78" w:rsidP="002D5F93">
      <w:pPr>
        <w:jc w:val="both"/>
        <w:rPr>
          <w:b/>
          <w:bCs/>
          <w:color w:val="000000" w:themeColor="text1"/>
        </w:rPr>
      </w:pPr>
    </w:p>
    <w:p w14:paraId="4709FC6C" w14:textId="65258C88" w:rsidR="003E6C78" w:rsidRDefault="003E6C78" w:rsidP="002D5F93">
      <w:pPr>
        <w:jc w:val="both"/>
        <w:rPr>
          <w:b/>
          <w:bCs/>
          <w:color w:val="000000" w:themeColor="text1"/>
        </w:rPr>
      </w:pPr>
    </w:p>
    <w:p w14:paraId="6C8D1A51" w14:textId="7C377841" w:rsidR="003E6C78" w:rsidRDefault="003E6C78" w:rsidP="002D5F93">
      <w:pPr>
        <w:jc w:val="both"/>
        <w:rPr>
          <w:b/>
          <w:bCs/>
          <w:color w:val="000000" w:themeColor="text1"/>
        </w:rPr>
      </w:pPr>
    </w:p>
    <w:p w14:paraId="770D45EE" w14:textId="5340A017" w:rsidR="003E6C78" w:rsidRDefault="003E6C78" w:rsidP="002D5F93">
      <w:pPr>
        <w:jc w:val="both"/>
        <w:rPr>
          <w:b/>
          <w:bCs/>
          <w:color w:val="000000" w:themeColor="text1"/>
        </w:rPr>
      </w:pPr>
    </w:p>
    <w:p w14:paraId="714A6A18" w14:textId="4ED50F75" w:rsidR="003E6C78" w:rsidRDefault="003E6C78" w:rsidP="002D5F93">
      <w:pPr>
        <w:jc w:val="both"/>
        <w:rPr>
          <w:b/>
          <w:bCs/>
          <w:color w:val="000000" w:themeColor="text1"/>
        </w:rPr>
      </w:pPr>
    </w:p>
    <w:p w14:paraId="5EBED557" w14:textId="5A0B62A4" w:rsidR="003E6C78" w:rsidRDefault="003E6C78" w:rsidP="002D5F93">
      <w:pPr>
        <w:jc w:val="both"/>
        <w:rPr>
          <w:b/>
          <w:bCs/>
          <w:color w:val="000000" w:themeColor="text1"/>
        </w:rPr>
      </w:pPr>
    </w:p>
    <w:p w14:paraId="01D406F9" w14:textId="3E1C2652" w:rsidR="003E6C78" w:rsidRDefault="003E6C78" w:rsidP="002D5F93">
      <w:pPr>
        <w:jc w:val="both"/>
        <w:rPr>
          <w:b/>
          <w:bCs/>
          <w:color w:val="000000" w:themeColor="text1"/>
        </w:rPr>
      </w:pPr>
    </w:p>
    <w:p w14:paraId="58F6E38B" w14:textId="12842E7B" w:rsidR="003E6C78" w:rsidRDefault="003E6C78" w:rsidP="002D5F93">
      <w:pPr>
        <w:jc w:val="both"/>
        <w:rPr>
          <w:b/>
          <w:bCs/>
          <w:color w:val="000000" w:themeColor="text1"/>
        </w:rPr>
      </w:pPr>
    </w:p>
    <w:p w14:paraId="73F7D622" w14:textId="05DED210" w:rsidR="003E6C78" w:rsidRDefault="003E6C78" w:rsidP="002D5F93">
      <w:pPr>
        <w:jc w:val="both"/>
        <w:rPr>
          <w:b/>
          <w:bCs/>
          <w:color w:val="000000" w:themeColor="text1"/>
        </w:rPr>
      </w:pPr>
    </w:p>
    <w:p w14:paraId="502D5F17" w14:textId="77A5E6CB" w:rsidR="003E6C78" w:rsidRDefault="003E6C78" w:rsidP="002D5F93">
      <w:pPr>
        <w:jc w:val="both"/>
        <w:rPr>
          <w:b/>
          <w:bCs/>
          <w:color w:val="000000" w:themeColor="text1"/>
        </w:rPr>
      </w:pPr>
    </w:p>
    <w:p w14:paraId="3293FA19" w14:textId="71EE70C3" w:rsidR="003E6C78" w:rsidRDefault="003E6C78" w:rsidP="002D5F93">
      <w:pPr>
        <w:jc w:val="both"/>
        <w:rPr>
          <w:b/>
          <w:bCs/>
          <w:color w:val="000000" w:themeColor="text1"/>
        </w:rPr>
      </w:pPr>
    </w:p>
    <w:p w14:paraId="6368E751" w14:textId="4A7EFFA4" w:rsidR="003E6C78" w:rsidRDefault="003E6C78" w:rsidP="002D5F93">
      <w:pPr>
        <w:jc w:val="both"/>
        <w:rPr>
          <w:b/>
          <w:bCs/>
          <w:color w:val="000000" w:themeColor="text1"/>
        </w:rPr>
      </w:pPr>
    </w:p>
    <w:p w14:paraId="05222207" w14:textId="09802C28" w:rsidR="003E6C78" w:rsidRDefault="003E6C78" w:rsidP="002D5F93">
      <w:pPr>
        <w:jc w:val="both"/>
        <w:rPr>
          <w:b/>
          <w:bCs/>
          <w:color w:val="000000" w:themeColor="text1"/>
        </w:rPr>
      </w:pPr>
    </w:p>
    <w:p w14:paraId="152AA432" w14:textId="1FE9C558" w:rsidR="003E6C78" w:rsidRDefault="003E6C78" w:rsidP="002D5F93">
      <w:pPr>
        <w:jc w:val="both"/>
        <w:rPr>
          <w:b/>
          <w:bCs/>
          <w:color w:val="000000" w:themeColor="text1"/>
        </w:rPr>
      </w:pPr>
    </w:p>
    <w:p w14:paraId="664476C4" w14:textId="6B8D2713" w:rsidR="003E6C78" w:rsidRDefault="003E6C78" w:rsidP="002D5F93">
      <w:pPr>
        <w:jc w:val="both"/>
        <w:rPr>
          <w:b/>
          <w:bCs/>
          <w:color w:val="000000" w:themeColor="text1"/>
        </w:rPr>
      </w:pPr>
    </w:p>
    <w:p w14:paraId="2120F6FF" w14:textId="08B0481E" w:rsidR="003E6C78" w:rsidRDefault="003E6C78" w:rsidP="002D5F93">
      <w:pPr>
        <w:jc w:val="both"/>
        <w:rPr>
          <w:b/>
          <w:bCs/>
          <w:color w:val="000000" w:themeColor="text1"/>
        </w:rPr>
      </w:pPr>
    </w:p>
    <w:p w14:paraId="6DCB5234" w14:textId="2C1D94A5" w:rsidR="003E6C78" w:rsidRDefault="003E6C78" w:rsidP="002D5F93">
      <w:pPr>
        <w:jc w:val="both"/>
        <w:rPr>
          <w:b/>
          <w:bCs/>
          <w:color w:val="000000" w:themeColor="text1"/>
        </w:rPr>
      </w:pPr>
    </w:p>
    <w:p w14:paraId="05DC4C3F" w14:textId="6F65B93E" w:rsidR="003E6C78" w:rsidRDefault="003E6C78" w:rsidP="002D5F93">
      <w:pPr>
        <w:jc w:val="both"/>
        <w:rPr>
          <w:b/>
          <w:bCs/>
          <w:color w:val="000000" w:themeColor="text1"/>
        </w:rPr>
      </w:pPr>
    </w:p>
    <w:p w14:paraId="2C806DBF" w14:textId="55FEF35B" w:rsidR="003E6C78" w:rsidRDefault="003E6C78" w:rsidP="002D5F93">
      <w:pPr>
        <w:jc w:val="both"/>
        <w:rPr>
          <w:b/>
          <w:bCs/>
          <w:color w:val="000000" w:themeColor="text1"/>
        </w:rPr>
      </w:pPr>
    </w:p>
    <w:p w14:paraId="30CAC207" w14:textId="6D824375" w:rsidR="003E6C78" w:rsidRDefault="003E6C78" w:rsidP="002D5F93">
      <w:pPr>
        <w:jc w:val="both"/>
        <w:rPr>
          <w:b/>
          <w:bCs/>
          <w:color w:val="000000" w:themeColor="text1"/>
        </w:rPr>
      </w:pPr>
    </w:p>
    <w:p w14:paraId="3962D332" w14:textId="1F4CEA07" w:rsidR="003E6C78" w:rsidRDefault="003E6C78" w:rsidP="002D5F93">
      <w:pPr>
        <w:jc w:val="both"/>
        <w:rPr>
          <w:b/>
          <w:bCs/>
          <w:color w:val="000000" w:themeColor="text1"/>
        </w:rPr>
      </w:pPr>
    </w:p>
    <w:p w14:paraId="64BABF3F" w14:textId="6B47B045" w:rsidR="003E6C78" w:rsidRDefault="003E6C78" w:rsidP="002D5F93">
      <w:pPr>
        <w:jc w:val="both"/>
        <w:rPr>
          <w:b/>
          <w:bCs/>
          <w:color w:val="000000" w:themeColor="text1"/>
        </w:rPr>
      </w:pPr>
    </w:p>
    <w:p w14:paraId="384245D9" w14:textId="617E5632" w:rsidR="003E6C78" w:rsidRDefault="003E6C78" w:rsidP="002D5F93">
      <w:pPr>
        <w:jc w:val="both"/>
        <w:rPr>
          <w:b/>
          <w:bCs/>
          <w:color w:val="000000" w:themeColor="text1"/>
        </w:rPr>
      </w:pPr>
    </w:p>
    <w:p w14:paraId="46BD9720" w14:textId="725B9418" w:rsidR="003E6C78" w:rsidRDefault="003E6C78" w:rsidP="002D5F93">
      <w:pPr>
        <w:jc w:val="both"/>
        <w:rPr>
          <w:b/>
          <w:bCs/>
          <w:color w:val="000000" w:themeColor="text1"/>
        </w:rPr>
      </w:pPr>
    </w:p>
    <w:p w14:paraId="3E4D4505" w14:textId="355DA4AA" w:rsidR="003E6C78" w:rsidRDefault="003E6C78" w:rsidP="002D5F93">
      <w:pPr>
        <w:jc w:val="both"/>
        <w:rPr>
          <w:b/>
          <w:bCs/>
          <w:color w:val="000000" w:themeColor="text1"/>
        </w:rPr>
      </w:pPr>
    </w:p>
    <w:p w14:paraId="6482CB0C" w14:textId="08B47B88" w:rsidR="003E6C78" w:rsidRDefault="003E6C78" w:rsidP="002D5F93">
      <w:pPr>
        <w:jc w:val="both"/>
        <w:rPr>
          <w:b/>
          <w:bCs/>
          <w:color w:val="000000" w:themeColor="text1"/>
        </w:rPr>
      </w:pPr>
    </w:p>
    <w:p w14:paraId="0EF3C0AA" w14:textId="3832EC56" w:rsidR="003E6C78" w:rsidRDefault="003E6C78" w:rsidP="002D5F93">
      <w:pPr>
        <w:jc w:val="both"/>
        <w:rPr>
          <w:b/>
          <w:bCs/>
          <w:color w:val="000000" w:themeColor="text1"/>
        </w:rPr>
      </w:pPr>
    </w:p>
    <w:p w14:paraId="14A16A06" w14:textId="0F6D264C" w:rsidR="003E6C78" w:rsidRDefault="003E6C78" w:rsidP="002D5F93">
      <w:pPr>
        <w:jc w:val="both"/>
        <w:rPr>
          <w:b/>
          <w:bCs/>
          <w:color w:val="000000" w:themeColor="text1"/>
        </w:rPr>
      </w:pPr>
    </w:p>
    <w:p w14:paraId="6962FB56" w14:textId="15510842" w:rsidR="003E6C78" w:rsidRDefault="003E6C78" w:rsidP="002D5F93">
      <w:pPr>
        <w:jc w:val="both"/>
        <w:rPr>
          <w:b/>
          <w:bCs/>
          <w:color w:val="000000" w:themeColor="text1"/>
        </w:rPr>
      </w:pPr>
    </w:p>
    <w:p w14:paraId="60B682AC" w14:textId="54BFF140" w:rsidR="003E6C78" w:rsidRDefault="003E6C78" w:rsidP="002D5F93">
      <w:pPr>
        <w:jc w:val="both"/>
        <w:rPr>
          <w:b/>
          <w:bCs/>
          <w:color w:val="000000" w:themeColor="text1"/>
        </w:rPr>
      </w:pPr>
    </w:p>
    <w:p w14:paraId="62970C40" w14:textId="57BDD195" w:rsidR="003E6C78" w:rsidRDefault="003E6C78" w:rsidP="002D5F93">
      <w:pPr>
        <w:jc w:val="both"/>
        <w:rPr>
          <w:b/>
          <w:bCs/>
          <w:color w:val="000000" w:themeColor="text1"/>
        </w:rPr>
      </w:pPr>
    </w:p>
    <w:p w14:paraId="281E3545" w14:textId="77777777" w:rsidR="003E6C78" w:rsidRDefault="003E6C78" w:rsidP="002D5F93">
      <w:pPr>
        <w:jc w:val="both"/>
        <w:rPr>
          <w:b/>
          <w:bCs/>
          <w:color w:val="000000" w:themeColor="text1"/>
        </w:rPr>
      </w:pPr>
    </w:p>
    <w:p w14:paraId="76B50652" w14:textId="77777777" w:rsidR="001F21DC" w:rsidRDefault="001F21DC" w:rsidP="002D5F93">
      <w:pPr>
        <w:jc w:val="both"/>
        <w:rPr>
          <w:b/>
          <w:bCs/>
          <w:color w:val="000000" w:themeColor="text1"/>
        </w:rPr>
      </w:pPr>
    </w:p>
    <w:p w14:paraId="73B251C8" w14:textId="059E2A70" w:rsidR="009F6955" w:rsidRDefault="001F21DC" w:rsidP="001F21DC">
      <w:pPr>
        <w:pStyle w:val="Heading1"/>
      </w:pPr>
      <w:bookmarkStart w:id="0" w:name="_Toc105014874"/>
      <w:r>
        <w:lastRenderedPageBreak/>
        <w:t>Executive summary:</w:t>
      </w:r>
      <w:bookmarkEnd w:id="0"/>
    </w:p>
    <w:p w14:paraId="1FCEC0CA" w14:textId="77777777" w:rsidR="001F21DC" w:rsidRPr="002A30E0" w:rsidRDefault="001F21DC" w:rsidP="002D5F93">
      <w:pPr>
        <w:jc w:val="both"/>
        <w:rPr>
          <w:b/>
          <w:bCs/>
          <w:color w:val="000000" w:themeColor="text1"/>
        </w:rPr>
      </w:pPr>
    </w:p>
    <w:p w14:paraId="28912137" w14:textId="44F2CB61" w:rsidR="009F6955" w:rsidRPr="002A30E0" w:rsidRDefault="009F6955" w:rsidP="002D5F93">
      <w:pPr>
        <w:jc w:val="both"/>
        <w:rPr>
          <w:color w:val="000000" w:themeColor="text1"/>
        </w:rPr>
      </w:pPr>
      <w:r w:rsidRPr="002A30E0">
        <w:rPr>
          <w:color w:val="000000" w:themeColor="text1"/>
        </w:rPr>
        <w:t xml:space="preserve">In this report Horizontal analysis of Hilton worldwide will be analyzed and trend will be assess for the year 2019-2020. This report will be submit to the CEO from the manager to evaluate the year accounts an </w:t>
      </w:r>
      <w:r w:rsidR="003B1186" w:rsidRPr="002A30E0">
        <w:rPr>
          <w:color w:val="000000" w:themeColor="text1"/>
        </w:rPr>
        <w:t>do</w:t>
      </w:r>
      <w:r w:rsidRPr="002A30E0">
        <w:rPr>
          <w:color w:val="000000" w:themeColor="text1"/>
        </w:rPr>
        <w:t xml:space="preserve"> check the liability of Hilton Worldwide.</w:t>
      </w:r>
    </w:p>
    <w:p w14:paraId="485B6DDA" w14:textId="77777777" w:rsidR="009F6955" w:rsidRPr="002A30E0" w:rsidRDefault="009F6955" w:rsidP="002D5F93">
      <w:pPr>
        <w:jc w:val="both"/>
        <w:rPr>
          <w:color w:val="000000" w:themeColor="text1"/>
        </w:rPr>
      </w:pPr>
      <w:r w:rsidRPr="002A30E0">
        <w:rPr>
          <w:color w:val="000000" w:themeColor="text1"/>
        </w:rPr>
        <w:t xml:space="preserve">As Horizontal analysis (sometimes referred to as "trend analysis") examines how a metric evolves over time. It is critical for the validity of the results that the terms used be relevant. This means that there ought to be coherence between the intervals that will be studied. Relevant time lines include the new financial year over the prior fiscal year, the present month versus the prior month, and the present month with the same month last year. Inimitable categories, on the other hand, would be: the current month compared. the current fiscal year 2020, the current fiscal year vs. December last year 2019, and the current month vs. the prior quarter. </w:t>
      </w:r>
    </w:p>
    <w:p w14:paraId="45ADA326" w14:textId="090F9DC9" w:rsidR="009F6955" w:rsidRPr="002A30E0" w:rsidRDefault="00826FF2" w:rsidP="002D5F93">
      <w:pPr>
        <w:jc w:val="both"/>
        <w:rPr>
          <w:color w:val="000000" w:themeColor="text1"/>
        </w:rPr>
      </w:pPr>
      <w:r w:rsidRPr="002A30E0">
        <w:rPr>
          <w:color w:val="000000" w:themeColor="text1"/>
        </w:rPr>
        <w:t>Furthermore,</w:t>
      </w:r>
      <w:r w:rsidR="009F6955" w:rsidRPr="002A30E0">
        <w:rPr>
          <w:color w:val="000000" w:themeColor="text1"/>
        </w:rPr>
        <w:t xml:space="preserve"> horizontal analysis helps administrators to not only spot patterns in your own business, but also evaluate them to those of your rivals in order to better </w:t>
      </w:r>
      <w:r w:rsidR="003B1186" w:rsidRPr="002A30E0">
        <w:rPr>
          <w:color w:val="000000" w:themeColor="text1"/>
        </w:rPr>
        <w:t>analyse</w:t>
      </w:r>
      <w:r w:rsidR="009F6955" w:rsidRPr="002A30E0">
        <w:rPr>
          <w:color w:val="000000" w:themeColor="text1"/>
        </w:rPr>
        <w:t xml:space="preserve"> your firm's position in the marketplace. So, after </w:t>
      </w:r>
      <w:r w:rsidR="003B1186" w:rsidRPr="002A30E0">
        <w:rPr>
          <w:color w:val="000000" w:themeColor="text1"/>
        </w:rPr>
        <w:t>analysing</w:t>
      </w:r>
      <w:r w:rsidR="009F6955" w:rsidRPr="002A30E0">
        <w:rPr>
          <w:color w:val="000000" w:themeColor="text1"/>
        </w:rPr>
        <w:t xml:space="preserve"> the year-over-year percentage increases for the Illustration Hotel, you decide to evaluate the findings to the average of your competitor set. </w:t>
      </w:r>
    </w:p>
    <w:p w14:paraId="776334D1" w14:textId="77777777" w:rsidR="00826FF2" w:rsidRPr="002A30E0" w:rsidRDefault="00826FF2" w:rsidP="002D5F93">
      <w:pPr>
        <w:jc w:val="both"/>
        <w:rPr>
          <w:b/>
          <w:bCs/>
          <w:color w:val="000000" w:themeColor="text1"/>
        </w:rPr>
      </w:pPr>
    </w:p>
    <w:p w14:paraId="530BB3D4" w14:textId="1AF860FE" w:rsidR="0039169E" w:rsidRPr="002A30E0" w:rsidRDefault="0039169E" w:rsidP="001F21DC">
      <w:pPr>
        <w:pStyle w:val="Heading1"/>
      </w:pPr>
      <w:bookmarkStart w:id="1" w:name="_Toc105014875"/>
      <w:r w:rsidRPr="002A30E0">
        <w:t>Question no: 1</w:t>
      </w:r>
      <w:bookmarkEnd w:id="1"/>
    </w:p>
    <w:p w14:paraId="2020F9E4" w14:textId="2C1F5301" w:rsidR="006602F4" w:rsidRPr="002A30E0" w:rsidRDefault="006602F4" w:rsidP="002D5F93">
      <w:pPr>
        <w:jc w:val="both"/>
        <w:rPr>
          <w:b/>
          <w:bCs/>
          <w:color w:val="000000" w:themeColor="text1"/>
        </w:rPr>
      </w:pPr>
    </w:p>
    <w:p w14:paraId="66FB161B" w14:textId="3724E71C" w:rsidR="00CE6B92" w:rsidRPr="002A30E0" w:rsidRDefault="00CE6B92" w:rsidP="002D5F93">
      <w:pPr>
        <w:jc w:val="both"/>
        <w:rPr>
          <w:color w:val="000000" w:themeColor="text1"/>
        </w:rPr>
      </w:pPr>
      <w:r w:rsidRPr="002A30E0">
        <w:rPr>
          <w:color w:val="000000" w:themeColor="text1"/>
        </w:rPr>
        <w:t>The primary objectives of economic evaluation is to provide the critical data to the hotel's management, creditors, shareholders, and traders, which they employ in many spheres of concern and from which financial analysis draws its value. Financial leverage ratios provide stakeholders with information about an organization's ultimate viability in the hospitality business. These statistics assess a company's capacity to service its long-term liabilities</w:t>
      </w:r>
      <w:r w:rsidR="003B1186" w:rsidRPr="002A30E0">
        <w:rPr>
          <w:color w:val="000000" w:themeColor="text1"/>
        </w:rPr>
        <w:t xml:space="preserve"> </w:t>
      </w:r>
      <w:r w:rsidRPr="002A30E0">
        <w:rPr>
          <w:color w:val="000000" w:themeColor="text1"/>
        </w:rPr>
        <w:t>(Hayes, 2021).</w:t>
      </w:r>
    </w:p>
    <w:p w14:paraId="48C02986" w14:textId="5CACA9CD" w:rsidR="006602F4" w:rsidRPr="002A30E0" w:rsidRDefault="006602F4" w:rsidP="002D5F93">
      <w:pPr>
        <w:jc w:val="both"/>
        <w:rPr>
          <w:color w:val="000000" w:themeColor="text1"/>
        </w:rPr>
      </w:pPr>
      <w:r w:rsidRPr="002A30E0">
        <w:rPr>
          <w:color w:val="000000" w:themeColor="text1"/>
        </w:rPr>
        <w:t>Horizontal analysis, often known as trend analysis, is a method of evaluating financial statements across a set timeframe (Weygandt, Kimmel, &amp; Kieso, 2008). The horizontal technique can be used to calculate a growth or reduction in resources, receivables, or shareholders' equity (Weygandt, Kimmel, &amp; Kieso, 2008). This is generally used for inter - company comparisons and can be stated as a percentage or by total amounts (Weygandt, Kimmel, &amp; Kieso, 2008).</w:t>
      </w:r>
    </w:p>
    <w:p w14:paraId="02D245D8" w14:textId="3F63CD4E" w:rsidR="0039169E" w:rsidRPr="002A30E0" w:rsidRDefault="0039169E" w:rsidP="002D5F93">
      <w:pPr>
        <w:jc w:val="both"/>
        <w:rPr>
          <w:color w:val="000000" w:themeColor="text1"/>
        </w:rPr>
      </w:pPr>
      <w:r w:rsidRPr="002A30E0">
        <w:rPr>
          <w:color w:val="000000" w:themeColor="text1"/>
        </w:rPr>
        <w:t>Horizontal Analysis for Hilton worldwide</w:t>
      </w:r>
      <w:r w:rsidR="00826FF2" w:rsidRPr="002A30E0">
        <w:rPr>
          <w:color w:val="000000" w:themeColor="text1"/>
        </w:rPr>
        <w:t xml:space="preserve"> is done below:</w:t>
      </w:r>
    </w:p>
    <w:p w14:paraId="72C7ECB2" w14:textId="5026A8A0" w:rsidR="00826FF2" w:rsidRPr="002A30E0" w:rsidRDefault="00826FF2" w:rsidP="002D5F93">
      <w:pPr>
        <w:jc w:val="both"/>
        <w:rPr>
          <w:color w:val="000000" w:themeColor="text1"/>
        </w:rPr>
      </w:pPr>
      <w:r w:rsidRPr="002A30E0">
        <w:rPr>
          <w:color w:val="000000" w:themeColor="text1"/>
        </w:rPr>
        <w:t>As we look at the income statement it is sure that</w:t>
      </w:r>
      <w:r w:rsidR="00D96037" w:rsidRPr="002A30E0">
        <w:rPr>
          <w:color w:val="000000" w:themeColor="text1"/>
        </w:rPr>
        <w:t xml:space="preserve"> sales decreased in 2020 by -5 percent as compare to the year 2019. Which is basically due to the worldwide pandemic the earth face in 2020. While looking at the income statement it can also be seen that the cost of the good sold in this example the cost of the services like room occupancy and products in hotel sold were decreased by 47 percent which is quite good. That mean to gain profit the cost got low but sales also decreased. To get in depth about the reason it is needed to shed some light on Horizontal analysis where there is percentage change in dollars and total change.</w:t>
      </w:r>
    </w:p>
    <w:p w14:paraId="61BEF19D" w14:textId="68FCD9A3" w:rsidR="00D96037" w:rsidRPr="002A30E0" w:rsidRDefault="00D96037" w:rsidP="00D96037">
      <w:pPr>
        <w:jc w:val="both"/>
        <w:rPr>
          <w:color w:val="000000" w:themeColor="text1"/>
        </w:rPr>
      </w:pPr>
      <w:r w:rsidRPr="002A30E0">
        <w:rPr>
          <w:color w:val="000000" w:themeColor="text1"/>
        </w:rPr>
        <w:t xml:space="preserve">The key thing about doing a horizontal analysis concerns the distinction between a percentage change and a percentage point change. This crucial distinction is frequently overlooked, which leads to confusion when seeking to </w:t>
      </w:r>
      <w:r w:rsidR="003B1186" w:rsidRPr="002A30E0">
        <w:rPr>
          <w:color w:val="000000" w:themeColor="text1"/>
        </w:rPr>
        <w:t>analyse</w:t>
      </w:r>
      <w:r w:rsidRPr="002A30E0">
        <w:rPr>
          <w:color w:val="000000" w:themeColor="text1"/>
        </w:rPr>
        <w:t xml:space="preserve"> metrics reported in percentage units over time. Utilization is one of these indicators, therefore let's use it to illustrate the point</w:t>
      </w:r>
      <w:r w:rsidR="00C2248C" w:rsidRPr="002A30E0">
        <w:rPr>
          <w:color w:val="000000" w:themeColor="text1"/>
        </w:rPr>
        <w:t xml:space="preserve"> </w:t>
      </w:r>
      <w:r w:rsidRPr="002A30E0">
        <w:rPr>
          <w:color w:val="000000" w:themeColor="text1"/>
        </w:rPr>
        <w:t>(</w:t>
      </w:r>
      <w:bookmarkStart w:id="2" w:name="OLE_LINK1"/>
      <w:r w:rsidRPr="002A30E0">
        <w:rPr>
          <w:color w:val="000000" w:themeColor="text1"/>
        </w:rPr>
        <w:t>Schmidgall, 2022).</w:t>
      </w:r>
    </w:p>
    <w:bookmarkEnd w:id="2"/>
    <w:p w14:paraId="75480F71" w14:textId="77777777" w:rsidR="00D96037" w:rsidRPr="002A30E0" w:rsidRDefault="00D96037" w:rsidP="00D96037">
      <w:pPr>
        <w:jc w:val="both"/>
        <w:rPr>
          <w:color w:val="000000" w:themeColor="text1"/>
        </w:rPr>
      </w:pPr>
    </w:p>
    <w:p w14:paraId="32FD87FA" w14:textId="3E526EEE" w:rsidR="00C2248C" w:rsidRPr="002A30E0" w:rsidRDefault="00D96037" w:rsidP="00C2248C">
      <w:pPr>
        <w:jc w:val="both"/>
        <w:rPr>
          <w:color w:val="000000" w:themeColor="text1"/>
        </w:rPr>
      </w:pPr>
      <w:r w:rsidRPr="002A30E0">
        <w:rPr>
          <w:color w:val="000000" w:themeColor="text1"/>
        </w:rPr>
        <w:t xml:space="preserve">In 2019, the Hilton Hotel </w:t>
      </w:r>
      <w:r w:rsidR="00A521FE" w:rsidRPr="002A30E0">
        <w:rPr>
          <w:color w:val="000000" w:themeColor="text1"/>
        </w:rPr>
        <w:t>sales were</w:t>
      </w:r>
      <w:r w:rsidRPr="002A30E0">
        <w:rPr>
          <w:color w:val="000000" w:themeColor="text1"/>
        </w:rPr>
        <w:t xml:space="preserve"> </w:t>
      </w:r>
      <w:r w:rsidR="00A521FE" w:rsidRPr="002A30E0">
        <w:rPr>
          <w:color w:val="000000" w:themeColor="text1"/>
        </w:rPr>
        <w:t xml:space="preserve">9.452000 </w:t>
      </w:r>
      <w:r w:rsidR="003B1186" w:rsidRPr="002A30E0">
        <w:rPr>
          <w:color w:val="000000" w:themeColor="text1"/>
        </w:rPr>
        <w:t>whereas</w:t>
      </w:r>
      <w:r w:rsidR="00A521FE" w:rsidRPr="002A30E0">
        <w:rPr>
          <w:color w:val="000000" w:themeColor="text1"/>
        </w:rPr>
        <w:t xml:space="preserve"> in 2020 they decreased to 4307000 that means 54 </w:t>
      </w:r>
      <w:r w:rsidRPr="002A30E0">
        <w:rPr>
          <w:color w:val="000000" w:themeColor="text1"/>
        </w:rPr>
        <w:t xml:space="preserve">percent </w:t>
      </w:r>
      <w:r w:rsidR="00A521FE" w:rsidRPr="002A30E0">
        <w:rPr>
          <w:color w:val="000000" w:themeColor="text1"/>
        </w:rPr>
        <w:t>less</w:t>
      </w:r>
      <w:r w:rsidRPr="002A30E0">
        <w:rPr>
          <w:color w:val="000000" w:themeColor="text1"/>
        </w:rPr>
        <w:t xml:space="preserve">. If it was </w:t>
      </w:r>
      <w:r w:rsidR="00A521FE" w:rsidRPr="002A30E0">
        <w:rPr>
          <w:color w:val="000000" w:themeColor="text1"/>
        </w:rPr>
        <w:t xml:space="preserve">50 </w:t>
      </w:r>
      <w:r w:rsidRPr="002A30E0">
        <w:rPr>
          <w:color w:val="000000" w:themeColor="text1"/>
        </w:rPr>
        <w:t>percent in 2</w:t>
      </w:r>
      <w:r w:rsidR="00A521FE" w:rsidRPr="002A30E0">
        <w:rPr>
          <w:color w:val="000000" w:themeColor="text1"/>
        </w:rPr>
        <w:t>020 increase</w:t>
      </w:r>
      <w:r w:rsidRPr="002A30E0">
        <w:rPr>
          <w:color w:val="000000" w:themeColor="text1"/>
        </w:rPr>
        <w:t xml:space="preserve">, we know the hotel is performing better – but how much better? This question may be answered in two ways: by computing the </w:t>
      </w:r>
      <w:r w:rsidRPr="002A30E0">
        <w:rPr>
          <w:color w:val="000000" w:themeColor="text1"/>
        </w:rPr>
        <w:lastRenderedPageBreak/>
        <w:t>percentage point change or by calculating the percentage change.</w:t>
      </w:r>
      <w:r w:rsidR="00A521FE" w:rsidRPr="002A30E0">
        <w:rPr>
          <w:color w:val="000000" w:themeColor="text1"/>
        </w:rPr>
        <w:t xml:space="preserve"> That’s how we get horizontal analysis</w:t>
      </w:r>
      <w:r w:rsidR="00C2248C" w:rsidRPr="002A30E0">
        <w:rPr>
          <w:color w:val="000000" w:themeColor="text1"/>
        </w:rPr>
        <w:t xml:space="preserve"> (Schmidgall, 2022).</w:t>
      </w:r>
    </w:p>
    <w:p w14:paraId="58AEACDA" w14:textId="6050E7DE" w:rsidR="00EB06F6" w:rsidRPr="002A30E0" w:rsidRDefault="00EB06F6" w:rsidP="00C2248C">
      <w:pPr>
        <w:jc w:val="both"/>
        <w:rPr>
          <w:color w:val="000000" w:themeColor="text1"/>
        </w:rPr>
      </w:pPr>
      <w:r w:rsidRPr="002A30E0">
        <w:rPr>
          <w:noProof/>
        </w:rPr>
        <w:drawing>
          <wp:inline distT="0" distB="0" distL="0" distR="0" wp14:anchorId="02DB2C09" wp14:editId="2D3514A9">
            <wp:extent cx="4572000" cy="2743200"/>
            <wp:effectExtent l="0" t="0" r="12700" b="12700"/>
            <wp:docPr id="1" name="Chart 1">
              <a:extLst xmlns:a="http://schemas.openxmlformats.org/drawingml/2006/main">
                <a:ext uri="{FF2B5EF4-FFF2-40B4-BE49-F238E27FC236}">
                  <a16:creationId xmlns:a16="http://schemas.microsoft.com/office/drawing/2014/main" id="{70C2C8DD-D4ED-5B46-AD7D-4DF5728AC6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ADC0BBD" w14:textId="7208E30E" w:rsidR="00EB06F6" w:rsidRPr="002A30E0" w:rsidRDefault="00EB06F6" w:rsidP="00C2248C">
      <w:pPr>
        <w:jc w:val="both"/>
        <w:rPr>
          <w:color w:val="000000" w:themeColor="text1"/>
        </w:rPr>
      </w:pPr>
      <w:r w:rsidRPr="002A30E0">
        <w:rPr>
          <w:color w:val="000000" w:themeColor="text1"/>
        </w:rPr>
        <w:t>Where 1 is 2020 and 2 is 2019</w:t>
      </w:r>
      <w:r w:rsidR="001B3409" w:rsidRPr="002A30E0">
        <w:rPr>
          <w:color w:val="000000" w:themeColor="text1"/>
        </w:rPr>
        <w:t>.</w:t>
      </w:r>
    </w:p>
    <w:p w14:paraId="59FB8E6A" w14:textId="77777777" w:rsidR="001B3409" w:rsidRPr="002A30E0" w:rsidRDefault="001B3409" w:rsidP="00C2248C">
      <w:pPr>
        <w:jc w:val="both"/>
        <w:rPr>
          <w:color w:val="000000" w:themeColor="text1"/>
        </w:rPr>
      </w:pPr>
    </w:p>
    <w:p w14:paraId="049A8658" w14:textId="3A16BC6C" w:rsidR="005E3893" w:rsidRPr="002A30E0" w:rsidRDefault="005E3893" w:rsidP="00C2248C">
      <w:pPr>
        <w:jc w:val="both"/>
        <w:rPr>
          <w:color w:val="000000" w:themeColor="text1"/>
        </w:rPr>
      </w:pPr>
      <w:r w:rsidRPr="002A30E0">
        <w:rPr>
          <w:color w:val="000000" w:themeColor="text1"/>
        </w:rPr>
        <w:t>As a result, it is seen that the Hilton worldwide Hotel dramatically loss its occupancy by -18 percentage points in 2019, which results in gross profit to decline at 100 percent rate. And both of these assertions are accurate! The drawback is that, whereas the percentage point calculation focuses on the difference in percent orders of magnitude (sales), the percent change computation concentrates on the variance in the fundamental metric (gross profit) They are simply different methods of conveying the very same concept.</w:t>
      </w:r>
    </w:p>
    <w:p w14:paraId="761FEDF2" w14:textId="435655AA" w:rsidR="00D96037" w:rsidRPr="002A30E0" w:rsidRDefault="00D96037" w:rsidP="00D96037">
      <w:pPr>
        <w:jc w:val="both"/>
        <w:rPr>
          <w:color w:val="000000" w:themeColor="text1"/>
        </w:rPr>
      </w:pPr>
    </w:p>
    <w:p w14:paraId="74C2CD63" w14:textId="6CAB51C0" w:rsidR="0039169E" w:rsidRPr="002A30E0" w:rsidRDefault="00C754D7" w:rsidP="002D5F93">
      <w:pPr>
        <w:jc w:val="both"/>
        <w:rPr>
          <w:color w:val="000000" w:themeColor="text1"/>
        </w:rPr>
      </w:pPr>
      <w:r w:rsidRPr="002A30E0">
        <w:rPr>
          <w:noProof/>
        </w:rPr>
        <w:drawing>
          <wp:inline distT="0" distB="0" distL="0" distR="0" wp14:anchorId="688A59A2" wp14:editId="1E9D8DF8">
            <wp:extent cx="4572000" cy="2743200"/>
            <wp:effectExtent l="0" t="0" r="12700" b="12700"/>
            <wp:docPr id="2" name="Chart 2">
              <a:extLst xmlns:a="http://schemas.openxmlformats.org/drawingml/2006/main">
                <a:ext uri="{FF2B5EF4-FFF2-40B4-BE49-F238E27FC236}">
                  <a16:creationId xmlns:a16="http://schemas.microsoft.com/office/drawing/2014/main" id="{063BCAF9-7739-5E4D-A9C9-9F2B7BAD61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36C2EC3" w14:textId="77777777" w:rsidR="00C754D7" w:rsidRPr="002A30E0" w:rsidRDefault="00C754D7" w:rsidP="002D5F93">
      <w:pPr>
        <w:jc w:val="both"/>
        <w:rPr>
          <w:color w:val="000000" w:themeColor="text1"/>
        </w:rPr>
      </w:pPr>
    </w:p>
    <w:tbl>
      <w:tblPr>
        <w:tblW w:w="10081" w:type="dxa"/>
        <w:jc w:val="center"/>
        <w:tblLook w:val="04A0" w:firstRow="1" w:lastRow="0" w:firstColumn="1" w:lastColumn="0" w:noHBand="0" w:noVBand="1"/>
      </w:tblPr>
      <w:tblGrid>
        <w:gridCol w:w="4416"/>
        <w:gridCol w:w="1311"/>
        <w:gridCol w:w="1311"/>
        <w:gridCol w:w="1075"/>
        <w:gridCol w:w="1075"/>
        <w:gridCol w:w="1075"/>
      </w:tblGrid>
      <w:tr w:rsidR="00AD48E8" w:rsidRPr="00AD48E8" w14:paraId="0F61B670" w14:textId="77777777" w:rsidTr="00901870">
        <w:trPr>
          <w:trHeight w:val="320"/>
          <w:jc w:val="center"/>
        </w:trPr>
        <w:tc>
          <w:tcPr>
            <w:tcW w:w="4416" w:type="dxa"/>
            <w:tcBorders>
              <w:top w:val="nil"/>
              <w:left w:val="nil"/>
              <w:bottom w:val="nil"/>
              <w:right w:val="nil"/>
            </w:tcBorders>
            <w:shd w:val="clear" w:color="auto" w:fill="auto"/>
            <w:noWrap/>
            <w:vAlign w:val="center"/>
            <w:hideMark/>
          </w:tcPr>
          <w:p w14:paraId="53CA4E61" w14:textId="77777777" w:rsidR="00AD48E8" w:rsidRPr="00AD48E8" w:rsidRDefault="00AD48E8" w:rsidP="00AD48E8">
            <w:pPr>
              <w:jc w:val="center"/>
              <w:rPr>
                <w:rFonts w:ascii="Arial" w:hAnsi="Arial" w:cs="Arial"/>
                <w:b/>
                <w:bCs/>
                <w:color w:val="000000"/>
                <w:sz w:val="28"/>
                <w:szCs w:val="28"/>
                <w:u w:val="single"/>
              </w:rPr>
            </w:pPr>
            <w:r w:rsidRPr="00AD48E8">
              <w:rPr>
                <w:rFonts w:ascii="Arial" w:hAnsi="Arial" w:cs="Arial"/>
                <w:b/>
                <w:bCs/>
                <w:color w:val="000000"/>
                <w:sz w:val="28"/>
                <w:szCs w:val="28"/>
                <w:u w:val="single"/>
              </w:rPr>
              <w:t>Income statement 2019 &amp; 2020</w:t>
            </w:r>
          </w:p>
        </w:tc>
        <w:tc>
          <w:tcPr>
            <w:tcW w:w="1220" w:type="dxa"/>
            <w:tcBorders>
              <w:top w:val="nil"/>
              <w:left w:val="nil"/>
              <w:bottom w:val="nil"/>
              <w:right w:val="nil"/>
            </w:tcBorders>
            <w:shd w:val="clear" w:color="auto" w:fill="auto"/>
            <w:noWrap/>
            <w:vAlign w:val="center"/>
            <w:hideMark/>
          </w:tcPr>
          <w:p w14:paraId="132DBD0D" w14:textId="77777777" w:rsidR="00AD48E8" w:rsidRPr="00AD48E8" w:rsidRDefault="00AD48E8" w:rsidP="00AD48E8">
            <w:pPr>
              <w:jc w:val="center"/>
              <w:rPr>
                <w:rFonts w:ascii="Arial" w:hAnsi="Arial" w:cs="Arial"/>
                <w:b/>
                <w:bCs/>
                <w:color w:val="000000"/>
                <w:sz w:val="28"/>
                <w:szCs w:val="28"/>
                <w:u w:val="single"/>
              </w:rPr>
            </w:pPr>
          </w:p>
        </w:tc>
        <w:tc>
          <w:tcPr>
            <w:tcW w:w="1220" w:type="dxa"/>
            <w:tcBorders>
              <w:top w:val="nil"/>
              <w:left w:val="nil"/>
              <w:bottom w:val="nil"/>
              <w:right w:val="nil"/>
            </w:tcBorders>
            <w:shd w:val="clear" w:color="auto" w:fill="auto"/>
            <w:noWrap/>
            <w:vAlign w:val="center"/>
            <w:hideMark/>
          </w:tcPr>
          <w:p w14:paraId="5CBA5F15"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74DE8DC7"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18F213BD"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19EC0AA9" w14:textId="77777777" w:rsidR="00AD48E8" w:rsidRPr="00AD48E8" w:rsidRDefault="00AD48E8" w:rsidP="00AD48E8">
            <w:pPr>
              <w:jc w:val="center"/>
              <w:rPr>
                <w:sz w:val="20"/>
                <w:szCs w:val="20"/>
              </w:rPr>
            </w:pPr>
          </w:p>
        </w:tc>
      </w:tr>
      <w:tr w:rsidR="00AD48E8" w:rsidRPr="00AD48E8" w14:paraId="78A51BC7" w14:textId="77777777" w:rsidTr="00901870">
        <w:trPr>
          <w:trHeight w:val="320"/>
          <w:jc w:val="center"/>
        </w:trPr>
        <w:tc>
          <w:tcPr>
            <w:tcW w:w="4416" w:type="dxa"/>
            <w:tcBorders>
              <w:top w:val="nil"/>
              <w:left w:val="nil"/>
              <w:bottom w:val="nil"/>
              <w:right w:val="nil"/>
            </w:tcBorders>
            <w:shd w:val="clear" w:color="auto" w:fill="auto"/>
            <w:noWrap/>
            <w:vAlign w:val="center"/>
            <w:hideMark/>
          </w:tcPr>
          <w:p w14:paraId="32A08D47" w14:textId="77777777" w:rsidR="00AD48E8" w:rsidRPr="00AD48E8" w:rsidRDefault="00AD48E8" w:rsidP="00AD48E8">
            <w:pPr>
              <w:jc w:val="center"/>
              <w:rPr>
                <w:sz w:val="20"/>
                <w:szCs w:val="20"/>
              </w:rPr>
            </w:pPr>
          </w:p>
        </w:tc>
        <w:tc>
          <w:tcPr>
            <w:tcW w:w="1220" w:type="dxa"/>
            <w:tcBorders>
              <w:top w:val="nil"/>
              <w:left w:val="nil"/>
              <w:bottom w:val="nil"/>
              <w:right w:val="nil"/>
            </w:tcBorders>
            <w:shd w:val="clear" w:color="auto" w:fill="auto"/>
            <w:noWrap/>
            <w:vAlign w:val="center"/>
            <w:hideMark/>
          </w:tcPr>
          <w:p w14:paraId="5458A52C" w14:textId="77777777" w:rsidR="00AD48E8" w:rsidRPr="00AD48E8" w:rsidRDefault="00AD48E8" w:rsidP="00AD48E8">
            <w:pPr>
              <w:jc w:val="center"/>
              <w:rPr>
                <w:sz w:val="20"/>
                <w:szCs w:val="20"/>
              </w:rPr>
            </w:pPr>
          </w:p>
        </w:tc>
        <w:tc>
          <w:tcPr>
            <w:tcW w:w="1220" w:type="dxa"/>
            <w:tcBorders>
              <w:top w:val="nil"/>
              <w:left w:val="nil"/>
              <w:bottom w:val="nil"/>
              <w:right w:val="nil"/>
            </w:tcBorders>
            <w:shd w:val="clear" w:color="auto" w:fill="auto"/>
            <w:noWrap/>
            <w:vAlign w:val="center"/>
            <w:hideMark/>
          </w:tcPr>
          <w:p w14:paraId="67C574A7"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1D192B8C"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69A85D84"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7B1891FA" w14:textId="77777777" w:rsidR="00AD48E8" w:rsidRPr="00AD48E8" w:rsidRDefault="00AD48E8" w:rsidP="00AD48E8">
            <w:pPr>
              <w:jc w:val="center"/>
              <w:rPr>
                <w:sz w:val="20"/>
                <w:szCs w:val="20"/>
              </w:rPr>
            </w:pPr>
          </w:p>
        </w:tc>
      </w:tr>
      <w:tr w:rsidR="00AD48E8" w:rsidRPr="00AD48E8" w14:paraId="37F988CA"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71279A26" w14:textId="77777777" w:rsidR="00AD48E8" w:rsidRPr="00AD48E8" w:rsidRDefault="00AD48E8" w:rsidP="00AD48E8">
            <w:pPr>
              <w:jc w:val="center"/>
              <w:rPr>
                <w:rFonts w:ascii="Arial" w:hAnsi="Arial" w:cs="Arial"/>
                <w:b/>
                <w:bCs/>
                <w:color w:val="232A31"/>
              </w:rPr>
            </w:pPr>
            <w:r w:rsidRPr="00AD48E8">
              <w:rPr>
                <w:rFonts w:ascii="Arial" w:hAnsi="Arial" w:cs="Arial"/>
                <w:b/>
                <w:bCs/>
                <w:color w:val="232A31"/>
              </w:rPr>
              <w:t>Hilton Worldwide Holdings Inc. (HLT)</w:t>
            </w:r>
          </w:p>
        </w:tc>
        <w:tc>
          <w:tcPr>
            <w:tcW w:w="1220" w:type="dxa"/>
            <w:tcBorders>
              <w:top w:val="nil"/>
              <w:left w:val="nil"/>
              <w:bottom w:val="nil"/>
              <w:right w:val="nil"/>
            </w:tcBorders>
            <w:shd w:val="clear" w:color="auto" w:fill="auto"/>
            <w:noWrap/>
            <w:vAlign w:val="center"/>
            <w:hideMark/>
          </w:tcPr>
          <w:p w14:paraId="1751A38F" w14:textId="77777777" w:rsidR="00AD48E8" w:rsidRPr="00AD48E8" w:rsidRDefault="00AD48E8" w:rsidP="00AD48E8">
            <w:pPr>
              <w:jc w:val="center"/>
              <w:rPr>
                <w:rFonts w:ascii="Arial" w:hAnsi="Arial" w:cs="Arial"/>
                <w:b/>
                <w:bCs/>
                <w:color w:val="232A31"/>
              </w:rPr>
            </w:pPr>
          </w:p>
        </w:tc>
        <w:tc>
          <w:tcPr>
            <w:tcW w:w="1220" w:type="dxa"/>
            <w:tcBorders>
              <w:top w:val="nil"/>
              <w:left w:val="nil"/>
              <w:bottom w:val="nil"/>
              <w:right w:val="nil"/>
            </w:tcBorders>
            <w:shd w:val="clear" w:color="auto" w:fill="auto"/>
            <w:noWrap/>
            <w:vAlign w:val="center"/>
            <w:hideMark/>
          </w:tcPr>
          <w:p w14:paraId="31FC7340"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3CDE30F9"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33098850"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0FBF4653" w14:textId="77777777" w:rsidR="00AD48E8" w:rsidRPr="00AD48E8" w:rsidRDefault="00AD48E8" w:rsidP="00AD48E8">
            <w:pPr>
              <w:jc w:val="center"/>
              <w:rPr>
                <w:sz w:val="20"/>
                <w:szCs w:val="20"/>
              </w:rPr>
            </w:pPr>
          </w:p>
        </w:tc>
      </w:tr>
      <w:tr w:rsidR="00AD48E8" w:rsidRPr="00AD48E8" w14:paraId="529CA438"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7B016E6B" w14:textId="77777777" w:rsidR="00AD48E8" w:rsidRPr="00AD48E8" w:rsidRDefault="00AD48E8" w:rsidP="00AD48E8">
            <w:pPr>
              <w:jc w:val="center"/>
              <w:rPr>
                <w:sz w:val="20"/>
                <w:szCs w:val="20"/>
              </w:rPr>
            </w:pPr>
          </w:p>
        </w:tc>
        <w:tc>
          <w:tcPr>
            <w:tcW w:w="1220" w:type="dxa"/>
            <w:tcBorders>
              <w:top w:val="nil"/>
              <w:left w:val="nil"/>
              <w:bottom w:val="nil"/>
              <w:right w:val="nil"/>
            </w:tcBorders>
            <w:shd w:val="clear" w:color="auto" w:fill="auto"/>
            <w:noWrap/>
            <w:vAlign w:val="center"/>
            <w:hideMark/>
          </w:tcPr>
          <w:p w14:paraId="00F5F231" w14:textId="77777777" w:rsidR="00AD48E8" w:rsidRPr="00AD48E8" w:rsidRDefault="00AD48E8" w:rsidP="00AD48E8">
            <w:pPr>
              <w:jc w:val="center"/>
              <w:rPr>
                <w:sz w:val="20"/>
                <w:szCs w:val="20"/>
              </w:rPr>
            </w:pPr>
          </w:p>
        </w:tc>
        <w:tc>
          <w:tcPr>
            <w:tcW w:w="1220" w:type="dxa"/>
            <w:tcBorders>
              <w:top w:val="nil"/>
              <w:left w:val="nil"/>
              <w:bottom w:val="nil"/>
              <w:right w:val="nil"/>
            </w:tcBorders>
            <w:shd w:val="clear" w:color="auto" w:fill="auto"/>
            <w:noWrap/>
            <w:vAlign w:val="center"/>
            <w:hideMark/>
          </w:tcPr>
          <w:p w14:paraId="7658E3E4"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4B2B9478"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61EBA186"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27A07B08" w14:textId="77777777" w:rsidR="00AD48E8" w:rsidRPr="00AD48E8" w:rsidRDefault="00AD48E8" w:rsidP="00AD48E8">
            <w:pPr>
              <w:jc w:val="center"/>
              <w:rPr>
                <w:sz w:val="20"/>
                <w:szCs w:val="20"/>
              </w:rPr>
            </w:pPr>
          </w:p>
        </w:tc>
      </w:tr>
      <w:tr w:rsidR="00AD48E8" w:rsidRPr="00AD48E8" w14:paraId="6A9A0B9F"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5E54C8AA" w14:textId="77777777" w:rsidR="00AD48E8" w:rsidRPr="00AD48E8" w:rsidRDefault="00AD48E8" w:rsidP="00AD48E8">
            <w:pPr>
              <w:jc w:val="center"/>
              <w:rPr>
                <w:sz w:val="20"/>
                <w:szCs w:val="20"/>
              </w:rPr>
            </w:pPr>
          </w:p>
        </w:tc>
        <w:tc>
          <w:tcPr>
            <w:tcW w:w="1220" w:type="dxa"/>
            <w:tcBorders>
              <w:top w:val="nil"/>
              <w:left w:val="nil"/>
              <w:bottom w:val="nil"/>
              <w:right w:val="nil"/>
            </w:tcBorders>
            <w:shd w:val="clear" w:color="auto" w:fill="auto"/>
            <w:noWrap/>
            <w:vAlign w:val="center"/>
            <w:hideMark/>
          </w:tcPr>
          <w:p w14:paraId="75A3172B"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2020</w:t>
            </w:r>
          </w:p>
        </w:tc>
        <w:tc>
          <w:tcPr>
            <w:tcW w:w="1220" w:type="dxa"/>
            <w:tcBorders>
              <w:top w:val="nil"/>
              <w:left w:val="nil"/>
              <w:bottom w:val="nil"/>
              <w:right w:val="nil"/>
            </w:tcBorders>
            <w:shd w:val="clear" w:color="auto" w:fill="auto"/>
            <w:noWrap/>
            <w:vAlign w:val="center"/>
            <w:hideMark/>
          </w:tcPr>
          <w:p w14:paraId="0CBCBEAA"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2019</w:t>
            </w:r>
          </w:p>
        </w:tc>
        <w:tc>
          <w:tcPr>
            <w:tcW w:w="1075" w:type="dxa"/>
            <w:tcBorders>
              <w:top w:val="nil"/>
              <w:left w:val="nil"/>
              <w:bottom w:val="nil"/>
              <w:right w:val="nil"/>
            </w:tcBorders>
            <w:shd w:val="clear" w:color="auto" w:fill="auto"/>
            <w:noWrap/>
            <w:vAlign w:val="center"/>
            <w:hideMark/>
          </w:tcPr>
          <w:p w14:paraId="3FEB44EB"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Change</w:t>
            </w:r>
          </w:p>
        </w:tc>
        <w:tc>
          <w:tcPr>
            <w:tcW w:w="1075" w:type="dxa"/>
            <w:tcBorders>
              <w:top w:val="nil"/>
              <w:left w:val="nil"/>
              <w:bottom w:val="nil"/>
              <w:right w:val="nil"/>
            </w:tcBorders>
            <w:shd w:val="clear" w:color="auto" w:fill="auto"/>
            <w:noWrap/>
            <w:vAlign w:val="center"/>
            <w:hideMark/>
          </w:tcPr>
          <w:p w14:paraId="3FBFB7F3"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 Change</w:t>
            </w:r>
          </w:p>
        </w:tc>
        <w:tc>
          <w:tcPr>
            <w:tcW w:w="1075" w:type="dxa"/>
            <w:tcBorders>
              <w:top w:val="nil"/>
              <w:left w:val="nil"/>
              <w:bottom w:val="nil"/>
              <w:right w:val="nil"/>
            </w:tcBorders>
            <w:shd w:val="clear" w:color="auto" w:fill="auto"/>
            <w:noWrap/>
            <w:vAlign w:val="center"/>
            <w:hideMark/>
          </w:tcPr>
          <w:p w14:paraId="3900B12E" w14:textId="77777777" w:rsidR="00AD48E8" w:rsidRPr="00AD48E8" w:rsidRDefault="00AD48E8" w:rsidP="00AD48E8">
            <w:pPr>
              <w:jc w:val="center"/>
              <w:rPr>
                <w:rFonts w:ascii="Calibri" w:hAnsi="Calibri" w:cs="Calibri"/>
                <w:color w:val="000000"/>
              </w:rPr>
            </w:pPr>
          </w:p>
        </w:tc>
      </w:tr>
      <w:tr w:rsidR="00AD48E8" w:rsidRPr="00AD48E8" w14:paraId="48B34FE5"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32BCD1C4"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Fiscal Year Ends</w:t>
            </w:r>
          </w:p>
        </w:tc>
        <w:tc>
          <w:tcPr>
            <w:tcW w:w="1220" w:type="dxa"/>
            <w:tcBorders>
              <w:top w:val="nil"/>
              <w:left w:val="nil"/>
              <w:bottom w:val="nil"/>
              <w:right w:val="nil"/>
            </w:tcBorders>
            <w:shd w:val="clear" w:color="auto" w:fill="auto"/>
            <w:noWrap/>
            <w:vAlign w:val="center"/>
            <w:hideMark/>
          </w:tcPr>
          <w:p w14:paraId="10C8217A"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31.12.2021</w:t>
            </w:r>
          </w:p>
        </w:tc>
        <w:tc>
          <w:tcPr>
            <w:tcW w:w="1220" w:type="dxa"/>
            <w:tcBorders>
              <w:top w:val="nil"/>
              <w:left w:val="nil"/>
              <w:bottom w:val="nil"/>
              <w:right w:val="nil"/>
            </w:tcBorders>
            <w:shd w:val="clear" w:color="auto" w:fill="auto"/>
            <w:noWrap/>
            <w:vAlign w:val="center"/>
            <w:hideMark/>
          </w:tcPr>
          <w:p w14:paraId="68B8ED8E"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31.12.2020</w:t>
            </w:r>
          </w:p>
        </w:tc>
        <w:tc>
          <w:tcPr>
            <w:tcW w:w="1075" w:type="dxa"/>
            <w:tcBorders>
              <w:top w:val="nil"/>
              <w:left w:val="nil"/>
              <w:bottom w:val="nil"/>
              <w:right w:val="nil"/>
            </w:tcBorders>
            <w:shd w:val="clear" w:color="auto" w:fill="auto"/>
            <w:noWrap/>
            <w:vAlign w:val="center"/>
            <w:hideMark/>
          </w:tcPr>
          <w:p w14:paraId="197E4F2F" w14:textId="77777777" w:rsidR="00AD48E8" w:rsidRPr="00AD48E8" w:rsidRDefault="00AD48E8" w:rsidP="00AD48E8">
            <w:pPr>
              <w:jc w:val="center"/>
              <w:rPr>
                <w:rFonts w:ascii="Calibri" w:hAnsi="Calibri" w:cs="Calibri"/>
                <w:color w:val="000000"/>
              </w:rPr>
            </w:pPr>
          </w:p>
        </w:tc>
        <w:tc>
          <w:tcPr>
            <w:tcW w:w="1075" w:type="dxa"/>
            <w:tcBorders>
              <w:top w:val="nil"/>
              <w:left w:val="nil"/>
              <w:bottom w:val="nil"/>
              <w:right w:val="nil"/>
            </w:tcBorders>
            <w:shd w:val="clear" w:color="auto" w:fill="auto"/>
            <w:noWrap/>
            <w:vAlign w:val="center"/>
            <w:hideMark/>
          </w:tcPr>
          <w:p w14:paraId="1DB07573"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1596792C" w14:textId="77777777" w:rsidR="00AD48E8" w:rsidRPr="00AD48E8" w:rsidRDefault="00AD48E8" w:rsidP="00AD48E8">
            <w:pPr>
              <w:jc w:val="center"/>
              <w:rPr>
                <w:sz w:val="20"/>
                <w:szCs w:val="20"/>
              </w:rPr>
            </w:pPr>
          </w:p>
        </w:tc>
      </w:tr>
      <w:tr w:rsidR="00AD48E8" w:rsidRPr="00AD48E8" w14:paraId="2926073F"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220CE5E6"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Sales</w:t>
            </w:r>
          </w:p>
        </w:tc>
        <w:tc>
          <w:tcPr>
            <w:tcW w:w="1220" w:type="dxa"/>
            <w:tcBorders>
              <w:top w:val="nil"/>
              <w:left w:val="nil"/>
              <w:bottom w:val="nil"/>
              <w:right w:val="nil"/>
            </w:tcBorders>
            <w:shd w:val="clear" w:color="auto" w:fill="auto"/>
            <w:noWrap/>
            <w:vAlign w:val="center"/>
            <w:hideMark/>
          </w:tcPr>
          <w:p w14:paraId="63DC7CFF"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4.307.000</w:t>
            </w:r>
          </w:p>
        </w:tc>
        <w:tc>
          <w:tcPr>
            <w:tcW w:w="1220" w:type="dxa"/>
            <w:tcBorders>
              <w:top w:val="nil"/>
              <w:left w:val="nil"/>
              <w:bottom w:val="nil"/>
              <w:right w:val="nil"/>
            </w:tcBorders>
            <w:shd w:val="clear" w:color="auto" w:fill="auto"/>
            <w:noWrap/>
            <w:vAlign w:val="center"/>
            <w:hideMark/>
          </w:tcPr>
          <w:p w14:paraId="1CB437AD"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9.452.000</w:t>
            </w:r>
          </w:p>
        </w:tc>
        <w:tc>
          <w:tcPr>
            <w:tcW w:w="1075" w:type="dxa"/>
            <w:tcBorders>
              <w:top w:val="nil"/>
              <w:left w:val="nil"/>
              <w:bottom w:val="nil"/>
              <w:right w:val="nil"/>
            </w:tcBorders>
            <w:shd w:val="clear" w:color="auto" w:fill="auto"/>
            <w:noWrap/>
            <w:vAlign w:val="center"/>
            <w:hideMark/>
          </w:tcPr>
          <w:p w14:paraId="48C8B70C" w14:textId="77777777" w:rsidR="00AD48E8" w:rsidRPr="00AD48E8" w:rsidRDefault="00AD48E8" w:rsidP="00AD48E8">
            <w:pPr>
              <w:jc w:val="center"/>
              <w:rPr>
                <w:color w:val="000000"/>
                <w:sz w:val="20"/>
                <w:szCs w:val="20"/>
              </w:rPr>
            </w:pPr>
            <w:r w:rsidRPr="00AD48E8">
              <w:rPr>
                <w:color w:val="000000"/>
                <w:sz w:val="20"/>
                <w:szCs w:val="20"/>
              </w:rPr>
              <w:t>-5.145.000</w:t>
            </w:r>
          </w:p>
        </w:tc>
        <w:tc>
          <w:tcPr>
            <w:tcW w:w="1075" w:type="dxa"/>
            <w:tcBorders>
              <w:top w:val="nil"/>
              <w:left w:val="nil"/>
              <w:bottom w:val="nil"/>
              <w:right w:val="nil"/>
            </w:tcBorders>
            <w:shd w:val="clear" w:color="auto" w:fill="auto"/>
            <w:noWrap/>
            <w:vAlign w:val="center"/>
            <w:hideMark/>
          </w:tcPr>
          <w:p w14:paraId="572320F9" w14:textId="77777777" w:rsidR="00AD48E8" w:rsidRPr="00AD48E8" w:rsidRDefault="00AD48E8" w:rsidP="00AD48E8">
            <w:pPr>
              <w:jc w:val="center"/>
              <w:rPr>
                <w:color w:val="000000"/>
                <w:sz w:val="20"/>
                <w:szCs w:val="20"/>
              </w:rPr>
            </w:pPr>
            <w:r w:rsidRPr="00AD48E8">
              <w:rPr>
                <w:color w:val="000000"/>
                <w:sz w:val="20"/>
                <w:szCs w:val="20"/>
              </w:rPr>
              <w:t>-54%</w:t>
            </w:r>
          </w:p>
        </w:tc>
        <w:tc>
          <w:tcPr>
            <w:tcW w:w="1075" w:type="dxa"/>
            <w:tcBorders>
              <w:top w:val="nil"/>
              <w:left w:val="nil"/>
              <w:bottom w:val="nil"/>
              <w:right w:val="nil"/>
            </w:tcBorders>
            <w:shd w:val="clear" w:color="auto" w:fill="auto"/>
            <w:noWrap/>
            <w:vAlign w:val="center"/>
            <w:hideMark/>
          </w:tcPr>
          <w:p w14:paraId="79B4D395" w14:textId="77777777" w:rsidR="00AD48E8" w:rsidRPr="00AD48E8" w:rsidRDefault="00AD48E8" w:rsidP="00AD48E8">
            <w:pPr>
              <w:jc w:val="center"/>
              <w:rPr>
                <w:color w:val="000000"/>
                <w:sz w:val="20"/>
                <w:szCs w:val="20"/>
              </w:rPr>
            </w:pPr>
          </w:p>
        </w:tc>
      </w:tr>
      <w:tr w:rsidR="00AD48E8" w:rsidRPr="00AD48E8" w14:paraId="4F02ED76"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32F0C924"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Cost of goods sold</w:t>
            </w:r>
          </w:p>
        </w:tc>
        <w:tc>
          <w:tcPr>
            <w:tcW w:w="1220" w:type="dxa"/>
            <w:tcBorders>
              <w:top w:val="nil"/>
              <w:left w:val="nil"/>
              <w:bottom w:val="nil"/>
              <w:right w:val="nil"/>
            </w:tcBorders>
            <w:shd w:val="clear" w:color="auto" w:fill="auto"/>
            <w:noWrap/>
            <w:vAlign w:val="center"/>
            <w:hideMark/>
          </w:tcPr>
          <w:p w14:paraId="5A6127F8"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3.724.000</w:t>
            </w:r>
          </w:p>
        </w:tc>
        <w:tc>
          <w:tcPr>
            <w:tcW w:w="1220" w:type="dxa"/>
            <w:tcBorders>
              <w:top w:val="nil"/>
              <w:left w:val="nil"/>
              <w:bottom w:val="nil"/>
              <w:right w:val="nil"/>
            </w:tcBorders>
            <w:shd w:val="clear" w:color="auto" w:fill="auto"/>
            <w:noWrap/>
            <w:vAlign w:val="center"/>
            <w:hideMark/>
          </w:tcPr>
          <w:p w14:paraId="5C473048"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7.017.000</w:t>
            </w:r>
          </w:p>
        </w:tc>
        <w:tc>
          <w:tcPr>
            <w:tcW w:w="1075" w:type="dxa"/>
            <w:tcBorders>
              <w:top w:val="nil"/>
              <w:left w:val="nil"/>
              <w:bottom w:val="nil"/>
              <w:right w:val="nil"/>
            </w:tcBorders>
            <w:shd w:val="clear" w:color="auto" w:fill="auto"/>
            <w:noWrap/>
            <w:vAlign w:val="center"/>
            <w:hideMark/>
          </w:tcPr>
          <w:p w14:paraId="3214162B" w14:textId="77777777" w:rsidR="00AD48E8" w:rsidRPr="00AD48E8" w:rsidRDefault="00AD48E8" w:rsidP="00AD48E8">
            <w:pPr>
              <w:jc w:val="center"/>
              <w:rPr>
                <w:color w:val="000000"/>
                <w:sz w:val="20"/>
                <w:szCs w:val="20"/>
              </w:rPr>
            </w:pPr>
            <w:r w:rsidRPr="00AD48E8">
              <w:rPr>
                <w:color w:val="000000"/>
                <w:sz w:val="20"/>
                <w:szCs w:val="20"/>
              </w:rPr>
              <w:t>-3.293.000</w:t>
            </w:r>
          </w:p>
        </w:tc>
        <w:tc>
          <w:tcPr>
            <w:tcW w:w="1075" w:type="dxa"/>
            <w:tcBorders>
              <w:top w:val="nil"/>
              <w:left w:val="nil"/>
              <w:bottom w:val="nil"/>
              <w:right w:val="nil"/>
            </w:tcBorders>
            <w:shd w:val="clear" w:color="auto" w:fill="auto"/>
            <w:noWrap/>
            <w:vAlign w:val="center"/>
            <w:hideMark/>
          </w:tcPr>
          <w:p w14:paraId="47A34B8F" w14:textId="77777777" w:rsidR="00AD48E8" w:rsidRPr="00AD48E8" w:rsidRDefault="00AD48E8" w:rsidP="00AD48E8">
            <w:pPr>
              <w:jc w:val="center"/>
              <w:rPr>
                <w:color w:val="000000"/>
                <w:sz w:val="20"/>
                <w:szCs w:val="20"/>
              </w:rPr>
            </w:pPr>
            <w:r w:rsidRPr="00AD48E8">
              <w:rPr>
                <w:color w:val="000000"/>
                <w:sz w:val="20"/>
                <w:szCs w:val="20"/>
              </w:rPr>
              <w:t>-47%</w:t>
            </w:r>
          </w:p>
        </w:tc>
        <w:tc>
          <w:tcPr>
            <w:tcW w:w="1075" w:type="dxa"/>
            <w:tcBorders>
              <w:top w:val="nil"/>
              <w:left w:val="nil"/>
              <w:bottom w:val="nil"/>
              <w:right w:val="nil"/>
            </w:tcBorders>
            <w:shd w:val="clear" w:color="auto" w:fill="auto"/>
            <w:noWrap/>
            <w:vAlign w:val="center"/>
            <w:hideMark/>
          </w:tcPr>
          <w:p w14:paraId="5E9681EB" w14:textId="77777777" w:rsidR="00AD48E8" w:rsidRPr="00AD48E8" w:rsidRDefault="00AD48E8" w:rsidP="00AD48E8">
            <w:pPr>
              <w:jc w:val="center"/>
              <w:rPr>
                <w:color w:val="000000"/>
                <w:sz w:val="20"/>
                <w:szCs w:val="20"/>
              </w:rPr>
            </w:pPr>
          </w:p>
        </w:tc>
      </w:tr>
      <w:tr w:rsidR="00AD48E8" w:rsidRPr="00AD48E8" w14:paraId="4D877CFC"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3E5CA095"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Gross profit</w:t>
            </w:r>
          </w:p>
        </w:tc>
        <w:tc>
          <w:tcPr>
            <w:tcW w:w="1220" w:type="dxa"/>
            <w:tcBorders>
              <w:top w:val="nil"/>
              <w:left w:val="nil"/>
              <w:bottom w:val="nil"/>
              <w:right w:val="nil"/>
            </w:tcBorders>
            <w:shd w:val="clear" w:color="auto" w:fill="auto"/>
            <w:noWrap/>
            <w:vAlign w:val="center"/>
            <w:hideMark/>
          </w:tcPr>
          <w:p w14:paraId="0289505F"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583</w:t>
            </w:r>
          </w:p>
        </w:tc>
        <w:tc>
          <w:tcPr>
            <w:tcW w:w="1220" w:type="dxa"/>
            <w:tcBorders>
              <w:top w:val="nil"/>
              <w:left w:val="nil"/>
              <w:bottom w:val="nil"/>
              <w:right w:val="nil"/>
            </w:tcBorders>
            <w:shd w:val="clear" w:color="auto" w:fill="auto"/>
            <w:noWrap/>
            <w:vAlign w:val="center"/>
            <w:hideMark/>
          </w:tcPr>
          <w:p w14:paraId="68DCF0A0"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2.435.000</w:t>
            </w:r>
          </w:p>
        </w:tc>
        <w:tc>
          <w:tcPr>
            <w:tcW w:w="1075" w:type="dxa"/>
            <w:tcBorders>
              <w:top w:val="nil"/>
              <w:left w:val="nil"/>
              <w:bottom w:val="nil"/>
              <w:right w:val="nil"/>
            </w:tcBorders>
            <w:shd w:val="clear" w:color="auto" w:fill="auto"/>
            <w:noWrap/>
            <w:vAlign w:val="center"/>
            <w:hideMark/>
          </w:tcPr>
          <w:p w14:paraId="7F081918" w14:textId="77777777" w:rsidR="00AD48E8" w:rsidRPr="00AD48E8" w:rsidRDefault="00AD48E8" w:rsidP="00AD48E8">
            <w:pPr>
              <w:jc w:val="center"/>
              <w:rPr>
                <w:color w:val="000000"/>
                <w:sz w:val="20"/>
                <w:szCs w:val="20"/>
              </w:rPr>
            </w:pPr>
            <w:r w:rsidRPr="00AD48E8">
              <w:rPr>
                <w:color w:val="000000"/>
                <w:sz w:val="20"/>
                <w:szCs w:val="20"/>
              </w:rPr>
              <w:t>-2.434.417</w:t>
            </w:r>
          </w:p>
        </w:tc>
        <w:tc>
          <w:tcPr>
            <w:tcW w:w="1075" w:type="dxa"/>
            <w:tcBorders>
              <w:top w:val="nil"/>
              <w:left w:val="nil"/>
              <w:bottom w:val="nil"/>
              <w:right w:val="nil"/>
            </w:tcBorders>
            <w:shd w:val="clear" w:color="auto" w:fill="auto"/>
            <w:noWrap/>
            <w:vAlign w:val="center"/>
            <w:hideMark/>
          </w:tcPr>
          <w:p w14:paraId="74B79EEF" w14:textId="77777777" w:rsidR="00AD48E8" w:rsidRPr="00AD48E8" w:rsidRDefault="00AD48E8" w:rsidP="00AD48E8">
            <w:pPr>
              <w:jc w:val="center"/>
              <w:rPr>
                <w:color w:val="000000"/>
                <w:sz w:val="20"/>
                <w:szCs w:val="20"/>
              </w:rPr>
            </w:pPr>
            <w:r w:rsidRPr="00AD48E8">
              <w:rPr>
                <w:color w:val="000000"/>
                <w:sz w:val="20"/>
                <w:szCs w:val="20"/>
              </w:rPr>
              <w:t>-100%</w:t>
            </w:r>
          </w:p>
        </w:tc>
        <w:tc>
          <w:tcPr>
            <w:tcW w:w="1075" w:type="dxa"/>
            <w:tcBorders>
              <w:top w:val="nil"/>
              <w:left w:val="nil"/>
              <w:bottom w:val="nil"/>
              <w:right w:val="nil"/>
            </w:tcBorders>
            <w:shd w:val="clear" w:color="auto" w:fill="auto"/>
            <w:noWrap/>
            <w:vAlign w:val="center"/>
            <w:hideMark/>
          </w:tcPr>
          <w:p w14:paraId="43592259" w14:textId="77777777" w:rsidR="00AD48E8" w:rsidRPr="00AD48E8" w:rsidRDefault="00AD48E8" w:rsidP="00AD48E8">
            <w:pPr>
              <w:jc w:val="center"/>
              <w:rPr>
                <w:color w:val="000000"/>
                <w:sz w:val="20"/>
                <w:szCs w:val="20"/>
              </w:rPr>
            </w:pPr>
          </w:p>
        </w:tc>
      </w:tr>
      <w:tr w:rsidR="00AD48E8" w:rsidRPr="00AD48E8" w14:paraId="7F319E96"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61D2A26A"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Operating Expenses</w:t>
            </w:r>
          </w:p>
        </w:tc>
        <w:tc>
          <w:tcPr>
            <w:tcW w:w="1220" w:type="dxa"/>
            <w:tcBorders>
              <w:top w:val="nil"/>
              <w:left w:val="nil"/>
              <w:bottom w:val="nil"/>
              <w:right w:val="nil"/>
            </w:tcBorders>
            <w:shd w:val="clear" w:color="auto" w:fill="auto"/>
            <w:noWrap/>
            <w:vAlign w:val="center"/>
            <w:hideMark/>
          </w:tcPr>
          <w:p w14:paraId="68ADB8A9"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702</w:t>
            </w:r>
          </w:p>
        </w:tc>
        <w:tc>
          <w:tcPr>
            <w:tcW w:w="1220" w:type="dxa"/>
            <w:tcBorders>
              <w:top w:val="nil"/>
              <w:left w:val="nil"/>
              <w:bottom w:val="nil"/>
              <w:right w:val="nil"/>
            </w:tcBorders>
            <w:shd w:val="clear" w:color="auto" w:fill="auto"/>
            <w:noWrap/>
            <w:vAlign w:val="center"/>
            <w:hideMark/>
          </w:tcPr>
          <w:p w14:paraId="6B922AC5"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859</w:t>
            </w:r>
          </w:p>
        </w:tc>
        <w:tc>
          <w:tcPr>
            <w:tcW w:w="1075" w:type="dxa"/>
            <w:tcBorders>
              <w:top w:val="nil"/>
              <w:left w:val="nil"/>
              <w:bottom w:val="nil"/>
              <w:right w:val="nil"/>
            </w:tcBorders>
            <w:shd w:val="clear" w:color="auto" w:fill="auto"/>
            <w:noWrap/>
            <w:vAlign w:val="center"/>
            <w:hideMark/>
          </w:tcPr>
          <w:p w14:paraId="617FBFAD" w14:textId="77777777" w:rsidR="00AD48E8" w:rsidRPr="00AD48E8" w:rsidRDefault="00AD48E8" w:rsidP="00AD48E8">
            <w:pPr>
              <w:jc w:val="center"/>
              <w:rPr>
                <w:color w:val="000000"/>
                <w:sz w:val="20"/>
                <w:szCs w:val="20"/>
              </w:rPr>
            </w:pPr>
            <w:r w:rsidRPr="00AD48E8">
              <w:rPr>
                <w:color w:val="000000"/>
                <w:sz w:val="20"/>
                <w:szCs w:val="20"/>
              </w:rPr>
              <w:t>-157</w:t>
            </w:r>
          </w:p>
        </w:tc>
        <w:tc>
          <w:tcPr>
            <w:tcW w:w="1075" w:type="dxa"/>
            <w:tcBorders>
              <w:top w:val="nil"/>
              <w:left w:val="nil"/>
              <w:bottom w:val="nil"/>
              <w:right w:val="nil"/>
            </w:tcBorders>
            <w:shd w:val="clear" w:color="auto" w:fill="auto"/>
            <w:noWrap/>
            <w:vAlign w:val="center"/>
            <w:hideMark/>
          </w:tcPr>
          <w:p w14:paraId="7CE93047" w14:textId="77777777" w:rsidR="00AD48E8" w:rsidRPr="00AD48E8" w:rsidRDefault="00AD48E8" w:rsidP="00AD48E8">
            <w:pPr>
              <w:jc w:val="center"/>
              <w:rPr>
                <w:color w:val="000000"/>
                <w:sz w:val="20"/>
                <w:szCs w:val="20"/>
              </w:rPr>
            </w:pPr>
            <w:r w:rsidRPr="00AD48E8">
              <w:rPr>
                <w:color w:val="000000"/>
                <w:sz w:val="20"/>
                <w:szCs w:val="20"/>
              </w:rPr>
              <w:t>-18%</w:t>
            </w:r>
          </w:p>
        </w:tc>
        <w:tc>
          <w:tcPr>
            <w:tcW w:w="1075" w:type="dxa"/>
            <w:tcBorders>
              <w:top w:val="nil"/>
              <w:left w:val="nil"/>
              <w:bottom w:val="nil"/>
              <w:right w:val="nil"/>
            </w:tcBorders>
            <w:shd w:val="clear" w:color="auto" w:fill="auto"/>
            <w:noWrap/>
            <w:vAlign w:val="center"/>
            <w:hideMark/>
          </w:tcPr>
          <w:p w14:paraId="18EE0B3B" w14:textId="77777777" w:rsidR="00AD48E8" w:rsidRPr="00AD48E8" w:rsidRDefault="00AD48E8" w:rsidP="00AD48E8">
            <w:pPr>
              <w:jc w:val="center"/>
              <w:rPr>
                <w:color w:val="000000"/>
                <w:sz w:val="20"/>
                <w:szCs w:val="20"/>
              </w:rPr>
            </w:pPr>
          </w:p>
        </w:tc>
      </w:tr>
      <w:tr w:rsidR="00AD48E8" w:rsidRPr="00AD48E8" w14:paraId="55C2592F"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2D9DDDA0"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Operating income</w:t>
            </w:r>
          </w:p>
        </w:tc>
        <w:tc>
          <w:tcPr>
            <w:tcW w:w="1220" w:type="dxa"/>
            <w:tcBorders>
              <w:top w:val="nil"/>
              <w:left w:val="nil"/>
              <w:bottom w:val="nil"/>
              <w:right w:val="nil"/>
            </w:tcBorders>
            <w:shd w:val="clear" w:color="auto" w:fill="auto"/>
            <w:noWrap/>
            <w:vAlign w:val="center"/>
            <w:hideMark/>
          </w:tcPr>
          <w:p w14:paraId="1C4C03CA"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-119</w:t>
            </w:r>
          </w:p>
        </w:tc>
        <w:tc>
          <w:tcPr>
            <w:tcW w:w="1220" w:type="dxa"/>
            <w:tcBorders>
              <w:top w:val="nil"/>
              <w:left w:val="nil"/>
              <w:bottom w:val="nil"/>
              <w:right w:val="nil"/>
            </w:tcBorders>
            <w:shd w:val="clear" w:color="auto" w:fill="auto"/>
            <w:noWrap/>
            <w:vAlign w:val="center"/>
            <w:hideMark/>
          </w:tcPr>
          <w:p w14:paraId="2B3A2CDB"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1.576.000</w:t>
            </w:r>
          </w:p>
        </w:tc>
        <w:tc>
          <w:tcPr>
            <w:tcW w:w="1075" w:type="dxa"/>
            <w:tcBorders>
              <w:top w:val="nil"/>
              <w:left w:val="nil"/>
              <w:bottom w:val="nil"/>
              <w:right w:val="nil"/>
            </w:tcBorders>
            <w:shd w:val="clear" w:color="auto" w:fill="auto"/>
            <w:noWrap/>
            <w:vAlign w:val="center"/>
            <w:hideMark/>
          </w:tcPr>
          <w:p w14:paraId="71D7AA8B" w14:textId="77777777" w:rsidR="00AD48E8" w:rsidRPr="00AD48E8" w:rsidRDefault="00AD48E8" w:rsidP="00AD48E8">
            <w:pPr>
              <w:jc w:val="center"/>
              <w:rPr>
                <w:color w:val="000000"/>
                <w:sz w:val="20"/>
                <w:szCs w:val="20"/>
              </w:rPr>
            </w:pPr>
            <w:r w:rsidRPr="00AD48E8">
              <w:rPr>
                <w:color w:val="000000"/>
                <w:sz w:val="20"/>
                <w:szCs w:val="20"/>
              </w:rPr>
              <w:t>-1.576.119</w:t>
            </w:r>
          </w:p>
        </w:tc>
        <w:tc>
          <w:tcPr>
            <w:tcW w:w="1075" w:type="dxa"/>
            <w:tcBorders>
              <w:top w:val="nil"/>
              <w:left w:val="nil"/>
              <w:bottom w:val="nil"/>
              <w:right w:val="nil"/>
            </w:tcBorders>
            <w:shd w:val="clear" w:color="auto" w:fill="auto"/>
            <w:noWrap/>
            <w:vAlign w:val="center"/>
            <w:hideMark/>
          </w:tcPr>
          <w:p w14:paraId="79B6804B" w14:textId="77777777" w:rsidR="00AD48E8" w:rsidRPr="00AD48E8" w:rsidRDefault="00AD48E8" w:rsidP="00AD48E8">
            <w:pPr>
              <w:jc w:val="center"/>
              <w:rPr>
                <w:color w:val="000000"/>
                <w:sz w:val="20"/>
                <w:szCs w:val="20"/>
              </w:rPr>
            </w:pPr>
            <w:r w:rsidRPr="00AD48E8">
              <w:rPr>
                <w:color w:val="000000"/>
                <w:sz w:val="20"/>
                <w:szCs w:val="20"/>
              </w:rPr>
              <w:t>-100%</w:t>
            </w:r>
          </w:p>
        </w:tc>
        <w:tc>
          <w:tcPr>
            <w:tcW w:w="1075" w:type="dxa"/>
            <w:tcBorders>
              <w:top w:val="nil"/>
              <w:left w:val="nil"/>
              <w:bottom w:val="nil"/>
              <w:right w:val="nil"/>
            </w:tcBorders>
            <w:shd w:val="clear" w:color="auto" w:fill="auto"/>
            <w:noWrap/>
            <w:vAlign w:val="center"/>
            <w:hideMark/>
          </w:tcPr>
          <w:p w14:paraId="6964A95E" w14:textId="77777777" w:rsidR="00AD48E8" w:rsidRPr="00AD48E8" w:rsidRDefault="00AD48E8" w:rsidP="00AD48E8">
            <w:pPr>
              <w:jc w:val="center"/>
              <w:rPr>
                <w:color w:val="000000"/>
                <w:sz w:val="20"/>
                <w:szCs w:val="20"/>
              </w:rPr>
            </w:pPr>
          </w:p>
        </w:tc>
      </w:tr>
      <w:tr w:rsidR="00AD48E8" w:rsidRPr="00AD48E8" w14:paraId="384F76BF"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1BE43858"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Interest Expense</w:t>
            </w:r>
          </w:p>
        </w:tc>
        <w:tc>
          <w:tcPr>
            <w:tcW w:w="1220" w:type="dxa"/>
            <w:tcBorders>
              <w:top w:val="nil"/>
              <w:left w:val="nil"/>
              <w:bottom w:val="nil"/>
              <w:right w:val="nil"/>
            </w:tcBorders>
            <w:shd w:val="clear" w:color="auto" w:fill="auto"/>
            <w:noWrap/>
            <w:vAlign w:val="center"/>
            <w:hideMark/>
          </w:tcPr>
          <w:p w14:paraId="1D523A66"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429</w:t>
            </w:r>
          </w:p>
        </w:tc>
        <w:tc>
          <w:tcPr>
            <w:tcW w:w="1220" w:type="dxa"/>
            <w:tcBorders>
              <w:top w:val="nil"/>
              <w:left w:val="nil"/>
              <w:bottom w:val="nil"/>
              <w:right w:val="nil"/>
            </w:tcBorders>
            <w:shd w:val="clear" w:color="auto" w:fill="auto"/>
            <w:noWrap/>
            <w:vAlign w:val="center"/>
            <w:hideMark/>
          </w:tcPr>
          <w:p w14:paraId="769717E5"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414</w:t>
            </w:r>
          </w:p>
        </w:tc>
        <w:tc>
          <w:tcPr>
            <w:tcW w:w="1075" w:type="dxa"/>
            <w:tcBorders>
              <w:top w:val="nil"/>
              <w:left w:val="nil"/>
              <w:bottom w:val="nil"/>
              <w:right w:val="nil"/>
            </w:tcBorders>
            <w:shd w:val="clear" w:color="auto" w:fill="auto"/>
            <w:noWrap/>
            <w:vAlign w:val="center"/>
            <w:hideMark/>
          </w:tcPr>
          <w:p w14:paraId="1D7C98EA" w14:textId="77777777" w:rsidR="00AD48E8" w:rsidRPr="00AD48E8" w:rsidRDefault="00AD48E8" w:rsidP="00AD48E8">
            <w:pPr>
              <w:jc w:val="center"/>
              <w:rPr>
                <w:color w:val="000000"/>
                <w:sz w:val="20"/>
                <w:szCs w:val="20"/>
              </w:rPr>
            </w:pPr>
            <w:r w:rsidRPr="00AD48E8">
              <w:rPr>
                <w:color w:val="000000"/>
                <w:sz w:val="20"/>
                <w:szCs w:val="20"/>
              </w:rPr>
              <w:t>15</w:t>
            </w:r>
          </w:p>
        </w:tc>
        <w:tc>
          <w:tcPr>
            <w:tcW w:w="1075" w:type="dxa"/>
            <w:tcBorders>
              <w:top w:val="nil"/>
              <w:left w:val="nil"/>
              <w:bottom w:val="nil"/>
              <w:right w:val="nil"/>
            </w:tcBorders>
            <w:shd w:val="clear" w:color="auto" w:fill="auto"/>
            <w:noWrap/>
            <w:vAlign w:val="center"/>
            <w:hideMark/>
          </w:tcPr>
          <w:p w14:paraId="50031210" w14:textId="77777777" w:rsidR="00AD48E8" w:rsidRPr="00AD48E8" w:rsidRDefault="00AD48E8" w:rsidP="00AD48E8">
            <w:pPr>
              <w:jc w:val="center"/>
              <w:rPr>
                <w:color w:val="000000"/>
                <w:sz w:val="20"/>
                <w:szCs w:val="20"/>
              </w:rPr>
            </w:pPr>
            <w:r w:rsidRPr="00AD48E8">
              <w:rPr>
                <w:color w:val="000000"/>
                <w:sz w:val="20"/>
                <w:szCs w:val="20"/>
              </w:rPr>
              <w:t>4%</w:t>
            </w:r>
          </w:p>
        </w:tc>
        <w:tc>
          <w:tcPr>
            <w:tcW w:w="1075" w:type="dxa"/>
            <w:tcBorders>
              <w:top w:val="nil"/>
              <w:left w:val="nil"/>
              <w:bottom w:val="nil"/>
              <w:right w:val="nil"/>
            </w:tcBorders>
            <w:shd w:val="clear" w:color="auto" w:fill="auto"/>
            <w:noWrap/>
            <w:vAlign w:val="center"/>
            <w:hideMark/>
          </w:tcPr>
          <w:p w14:paraId="20D8CD7A" w14:textId="77777777" w:rsidR="00AD48E8" w:rsidRPr="00AD48E8" w:rsidRDefault="00AD48E8" w:rsidP="00AD48E8">
            <w:pPr>
              <w:jc w:val="center"/>
              <w:rPr>
                <w:color w:val="000000"/>
                <w:sz w:val="20"/>
                <w:szCs w:val="20"/>
              </w:rPr>
            </w:pPr>
          </w:p>
        </w:tc>
      </w:tr>
      <w:tr w:rsidR="00AD48E8" w:rsidRPr="00AD48E8" w14:paraId="2F174624"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5B8B446B" w14:textId="5D8936EE" w:rsidR="00AD48E8" w:rsidRPr="00AD48E8" w:rsidRDefault="00AD48E8" w:rsidP="00AD48E8">
            <w:pPr>
              <w:jc w:val="center"/>
              <w:rPr>
                <w:rFonts w:ascii="Calibri" w:hAnsi="Calibri" w:cs="Calibri"/>
                <w:color w:val="000000"/>
              </w:rPr>
            </w:pPr>
            <w:r w:rsidRPr="00AD48E8">
              <w:rPr>
                <w:rFonts w:ascii="Calibri" w:hAnsi="Calibri" w:cs="Calibri"/>
                <w:color w:val="000000"/>
              </w:rPr>
              <w:t>Total Other income/ expenses net</w:t>
            </w:r>
          </w:p>
        </w:tc>
        <w:tc>
          <w:tcPr>
            <w:tcW w:w="1220" w:type="dxa"/>
            <w:tcBorders>
              <w:top w:val="nil"/>
              <w:left w:val="nil"/>
              <w:bottom w:val="nil"/>
              <w:right w:val="nil"/>
            </w:tcBorders>
            <w:shd w:val="clear" w:color="auto" w:fill="auto"/>
            <w:noWrap/>
            <w:vAlign w:val="center"/>
            <w:hideMark/>
          </w:tcPr>
          <w:p w14:paraId="08CC9E35"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-376</w:t>
            </w:r>
          </w:p>
        </w:tc>
        <w:tc>
          <w:tcPr>
            <w:tcW w:w="1220" w:type="dxa"/>
            <w:tcBorders>
              <w:top w:val="nil"/>
              <w:left w:val="nil"/>
              <w:bottom w:val="nil"/>
              <w:right w:val="nil"/>
            </w:tcBorders>
            <w:shd w:val="clear" w:color="auto" w:fill="auto"/>
            <w:noWrap/>
            <w:vAlign w:val="center"/>
            <w:hideMark/>
          </w:tcPr>
          <w:p w14:paraId="2CDE08DC"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82</w:t>
            </w:r>
          </w:p>
        </w:tc>
        <w:tc>
          <w:tcPr>
            <w:tcW w:w="1075" w:type="dxa"/>
            <w:tcBorders>
              <w:top w:val="nil"/>
              <w:left w:val="nil"/>
              <w:bottom w:val="nil"/>
              <w:right w:val="nil"/>
            </w:tcBorders>
            <w:shd w:val="clear" w:color="auto" w:fill="auto"/>
            <w:noWrap/>
            <w:vAlign w:val="center"/>
            <w:hideMark/>
          </w:tcPr>
          <w:p w14:paraId="5D069CD6" w14:textId="77777777" w:rsidR="00AD48E8" w:rsidRPr="00AD48E8" w:rsidRDefault="00AD48E8" w:rsidP="00AD48E8">
            <w:pPr>
              <w:jc w:val="center"/>
              <w:rPr>
                <w:color w:val="000000"/>
                <w:sz w:val="20"/>
                <w:szCs w:val="20"/>
              </w:rPr>
            </w:pPr>
            <w:r w:rsidRPr="00AD48E8">
              <w:rPr>
                <w:color w:val="000000"/>
                <w:sz w:val="20"/>
                <w:szCs w:val="20"/>
              </w:rPr>
              <w:t>-458</w:t>
            </w:r>
          </w:p>
        </w:tc>
        <w:tc>
          <w:tcPr>
            <w:tcW w:w="1075" w:type="dxa"/>
            <w:tcBorders>
              <w:top w:val="nil"/>
              <w:left w:val="nil"/>
              <w:bottom w:val="nil"/>
              <w:right w:val="nil"/>
            </w:tcBorders>
            <w:shd w:val="clear" w:color="auto" w:fill="auto"/>
            <w:noWrap/>
            <w:vAlign w:val="center"/>
            <w:hideMark/>
          </w:tcPr>
          <w:p w14:paraId="61BBB16E" w14:textId="77777777" w:rsidR="00AD48E8" w:rsidRPr="00AD48E8" w:rsidRDefault="00AD48E8" w:rsidP="00AD48E8">
            <w:pPr>
              <w:jc w:val="center"/>
              <w:rPr>
                <w:color w:val="000000"/>
                <w:sz w:val="20"/>
                <w:szCs w:val="20"/>
              </w:rPr>
            </w:pPr>
            <w:r w:rsidRPr="00AD48E8">
              <w:rPr>
                <w:color w:val="000000"/>
                <w:sz w:val="20"/>
                <w:szCs w:val="20"/>
              </w:rPr>
              <w:t>-559%</w:t>
            </w:r>
          </w:p>
        </w:tc>
        <w:tc>
          <w:tcPr>
            <w:tcW w:w="1075" w:type="dxa"/>
            <w:tcBorders>
              <w:top w:val="nil"/>
              <w:left w:val="nil"/>
              <w:bottom w:val="nil"/>
              <w:right w:val="nil"/>
            </w:tcBorders>
            <w:shd w:val="clear" w:color="auto" w:fill="auto"/>
            <w:noWrap/>
            <w:vAlign w:val="center"/>
            <w:hideMark/>
          </w:tcPr>
          <w:p w14:paraId="7892B42E" w14:textId="77777777" w:rsidR="00AD48E8" w:rsidRPr="00AD48E8" w:rsidRDefault="00AD48E8" w:rsidP="00AD48E8">
            <w:pPr>
              <w:jc w:val="center"/>
              <w:rPr>
                <w:color w:val="000000"/>
                <w:sz w:val="20"/>
                <w:szCs w:val="20"/>
              </w:rPr>
            </w:pPr>
          </w:p>
        </w:tc>
      </w:tr>
      <w:tr w:rsidR="00AD48E8" w:rsidRPr="00AD48E8" w14:paraId="723EE0C1"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2AEAAF9E"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Income before taxes</w:t>
            </w:r>
          </w:p>
        </w:tc>
        <w:tc>
          <w:tcPr>
            <w:tcW w:w="1220" w:type="dxa"/>
            <w:tcBorders>
              <w:top w:val="nil"/>
              <w:left w:val="nil"/>
              <w:bottom w:val="nil"/>
              <w:right w:val="nil"/>
            </w:tcBorders>
            <w:shd w:val="clear" w:color="auto" w:fill="auto"/>
            <w:noWrap/>
            <w:vAlign w:val="center"/>
            <w:hideMark/>
          </w:tcPr>
          <w:p w14:paraId="08600064"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-924</w:t>
            </w:r>
          </w:p>
        </w:tc>
        <w:tc>
          <w:tcPr>
            <w:tcW w:w="1220" w:type="dxa"/>
            <w:tcBorders>
              <w:top w:val="nil"/>
              <w:left w:val="nil"/>
              <w:bottom w:val="nil"/>
              <w:right w:val="nil"/>
            </w:tcBorders>
            <w:shd w:val="clear" w:color="auto" w:fill="auto"/>
            <w:noWrap/>
            <w:vAlign w:val="center"/>
            <w:hideMark/>
          </w:tcPr>
          <w:p w14:paraId="65FBB473"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1.244.000</w:t>
            </w:r>
          </w:p>
        </w:tc>
        <w:tc>
          <w:tcPr>
            <w:tcW w:w="1075" w:type="dxa"/>
            <w:tcBorders>
              <w:top w:val="nil"/>
              <w:left w:val="nil"/>
              <w:bottom w:val="nil"/>
              <w:right w:val="nil"/>
            </w:tcBorders>
            <w:shd w:val="clear" w:color="auto" w:fill="auto"/>
            <w:noWrap/>
            <w:vAlign w:val="center"/>
            <w:hideMark/>
          </w:tcPr>
          <w:p w14:paraId="04467B7E" w14:textId="77777777" w:rsidR="00AD48E8" w:rsidRPr="00AD48E8" w:rsidRDefault="00AD48E8" w:rsidP="00AD48E8">
            <w:pPr>
              <w:jc w:val="center"/>
              <w:rPr>
                <w:color w:val="000000"/>
                <w:sz w:val="20"/>
                <w:szCs w:val="20"/>
              </w:rPr>
            </w:pPr>
            <w:r w:rsidRPr="00AD48E8">
              <w:rPr>
                <w:color w:val="000000"/>
                <w:sz w:val="20"/>
                <w:szCs w:val="20"/>
              </w:rPr>
              <w:t>-1.244.924</w:t>
            </w:r>
          </w:p>
        </w:tc>
        <w:tc>
          <w:tcPr>
            <w:tcW w:w="1075" w:type="dxa"/>
            <w:tcBorders>
              <w:top w:val="nil"/>
              <w:left w:val="nil"/>
              <w:bottom w:val="nil"/>
              <w:right w:val="nil"/>
            </w:tcBorders>
            <w:shd w:val="clear" w:color="auto" w:fill="auto"/>
            <w:noWrap/>
            <w:vAlign w:val="center"/>
            <w:hideMark/>
          </w:tcPr>
          <w:p w14:paraId="1EFC50D7" w14:textId="77777777" w:rsidR="00AD48E8" w:rsidRPr="00AD48E8" w:rsidRDefault="00AD48E8" w:rsidP="00AD48E8">
            <w:pPr>
              <w:jc w:val="center"/>
              <w:rPr>
                <w:color w:val="000000"/>
                <w:sz w:val="20"/>
                <w:szCs w:val="20"/>
              </w:rPr>
            </w:pPr>
            <w:r w:rsidRPr="00AD48E8">
              <w:rPr>
                <w:color w:val="000000"/>
                <w:sz w:val="20"/>
                <w:szCs w:val="20"/>
              </w:rPr>
              <w:t>-100%</w:t>
            </w:r>
          </w:p>
        </w:tc>
        <w:tc>
          <w:tcPr>
            <w:tcW w:w="1075" w:type="dxa"/>
            <w:tcBorders>
              <w:top w:val="nil"/>
              <w:left w:val="nil"/>
              <w:bottom w:val="nil"/>
              <w:right w:val="nil"/>
            </w:tcBorders>
            <w:shd w:val="clear" w:color="auto" w:fill="auto"/>
            <w:noWrap/>
            <w:vAlign w:val="center"/>
            <w:hideMark/>
          </w:tcPr>
          <w:p w14:paraId="50B60732" w14:textId="77777777" w:rsidR="00AD48E8" w:rsidRPr="00AD48E8" w:rsidRDefault="00AD48E8" w:rsidP="00AD48E8">
            <w:pPr>
              <w:jc w:val="center"/>
              <w:rPr>
                <w:color w:val="000000"/>
                <w:sz w:val="20"/>
                <w:szCs w:val="20"/>
              </w:rPr>
            </w:pPr>
          </w:p>
        </w:tc>
      </w:tr>
      <w:tr w:rsidR="00AD48E8" w:rsidRPr="00AD48E8" w14:paraId="77036941"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714132EA"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Net income</w:t>
            </w:r>
          </w:p>
        </w:tc>
        <w:tc>
          <w:tcPr>
            <w:tcW w:w="1220" w:type="dxa"/>
            <w:tcBorders>
              <w:top w:val="nil"/>
              <w:left w:val="nil"/>
              <w:bottom w:val="nil"/>
              <w:right w:val="nil"/>
            </w:tcBorders>
            <w:shd w:val="clear" w:color="auto" w:fill="auto"/>
            <w:noWrap/>
            <w:vAlign w:val="center"/>
            <w:hideMark/>
          </w:tcPr>
          <w:p w14:paraId="6D4B1CF0"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-715</w:t>
            </w:r>
          </w:p>
        </w:tc>
        <w:tc>
          <w:tcPr>
            <w:tcW w:w="1220" w:type="dxa"/>
            <w:tcBorders>
              <w:top w:val="nil"/>
              <w:left w:val="nil"/>
              <w:bottom w:val="nil"/>
              <w:right w:val="nil"/>
            </w:tcBorders>
            <w:shd w:val="clear" w:color="auto" w:fill="auto"/>
            <w:noWrap/>
            <w:vAlign w:val="center"/>
            <w:hideMark/>
          </w:tcPr>
          <w:p w14:paraId="75A20C9C"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881</w:t>
            </w:r>
          </w:p>
        </w:tc>
        <w:tc>
          <w:tcPr>
            <w:tcW w:w="1075" w:type="dxa"/>
            <w:tcBorders>
              <w:top w:val="nil"/>
              <w:left w:val="nil"/>
              <w:bottom w:val="nil"/>
              <w:right w:val="nil"/>
            </w:tcBorders>
            <w:shd w:val="clear" w:color="auto" w:fill="auto"/>
            <w:noWrap/>
            <w:vAlign w:val="center"/>
            <w:hideMark/>
          </w:tcPr>
          <w:p w14:paraId="64CAAC63" w14:textId="77777777" w:rsidR="00AD48E8" w:rsidRPr="00AD48E8" w:rsidRDefault="00AD48E8" w:rsidP="00AD48E8">
            <w:pPr>
              <w:jc w:val="center"/>
              <w:rPr>
                <w:color w:val="000000"/>
                <w:sz w:val="20"/>
                <w:szCs w:val="20"/>
              </w:rPr>
            </w:pPr>
            <w:r w:rsidRPr="00AD48E8">
              <w:rPr>
                <w:color w:val="000000"/>
                <w:sz w:val="20"/>
                <w:szCs w:val="20"/>
              </w:rPr>
              <w:t>-1596</w:t>
            </w:r>
          </w:p>
        </w:tc>
        <w:tc>
          <w:tcPr>
            <w:tcW w:w="1075" w:type="dxa"/>
            <w:tcBorders>
              <w:top w:val="nil"/>
              <w:left w:val="nil"/>
              <w:bottom w:val="nil"/>
              <w:right w:val="nil"/>
            </w:tcBorders>
            <w:shd w:val="clear" w:color="auto" w:fill="auto"/>
            <w:noWrap/>
            <w:vAlign w:val="center"/>
            <w:hideMark/>
          </w:tcPr>
          <w:p w14:paraId="4E444B93" w14:textId="77777777" w:rsidR="00AD48E8" w:rsidRPr="00AD48E8" w:rsidRDefault="00AD48E8" w:rsidP="00AD48E8">
            <w:pPr>
              <w:jc w:val="center"/>
              <w:rPr>
                <w:color w:val="000000"/>
                <w:sz w:val="20"/>
                <w:szCs w:val="20"/>
              </w:rPr>
            </w:pPr>
            <w:r w:rsidRPr="00AD48E8">
              <w:rPr>
                <w:color w:val="000000"/>
                <w:sz w:val="20"/>
                <w:szCs w:val="20"/>
              </w:rPr>
              <w:t>-181%</w:t>
            </w:r>
          </w:p>
        </w:tc>
        <w:tc>
          <w:tcPr>
            <w:tcW w:w="1075" w:type="dxa"/>
            <w:tcBorders>
              <w:top w:val="nil"/>
              <w:left w:val="nil"/>
              <w:bottom w:val="nil"/>
              <w:right w:val="nil"/>
            </w:tcBorders>
            <w:shd w:val="clear" w:color="auto" w:fill="auto"/>
            <w:noWrap/>
            <w:vAlign w:val="center"/>
            <w:hideMark/>
          </w:tcPr>
          <w:p w14:paraId="2D1418AD" w14:textId="77777777" w:rsidR="00AD48E8" w:rsidRPr="00AD48E8" w:rsidRDefault="00AD48E8" w:rsidP="00AD48E8">
            <w:pPr>
              <w:jc w:val="center"/>
              <w:rPr>
                <w:color w:val="000000"/>
                <w:sz w:val="20"/>
                <w:szCs w:val="20"/>
              </w:rPr>
            </w:pPr>
          </w:p>
        </w:tc>
      </w:tr>
      <w:tr w:rsidR="00AD48E8" w:rsidRPr="00AD48E8" w14:paraId="5DCEB1D6" w14:textId="77777777" w:rsidTr="00901870">
        <w:trPr>
          <w:trHeight w:val="266"/>
          <w:jc w:val="center"/>
        </w:trPr>
        <w:tc>
          <w:tcPr>
            <w:tcW w:w="4416" w:type="dxa"/>
            <w:tcBorders>
              <w:top w:val="nil"/>
              <w:left w:val="nil"/>
              <w:bottom w:val="nil"/>
              <w:right w:val="nil"/>
            </w:tcBorders>
            <w:shd w:val="clear" w:color="auto" w:fill="auto"/>
            <w:noWrap/>
            <w:vAlign w:val="center"/>
            <w:hideMark/>
          </w:tcPr>
          <w:p w14:paraId="58E9DC98" w14:textId="77777777" w:rsidR="00AD48E8" w:rsidRPr="00AD48E8" w:rsidRDefault="00AD48E8" w:rsidP="00AD48E8">
            <w:pPr>
              <w:jc w:val="center"/>
              <w:rPr>
                <w:sz w:val="20"/>
                <w:szCs w:val="20"/>
              </w:rPr>
            </w:pPr>
          </w:p>
        </w:tc>
        <w:tc>
          <w:tcPr>
            <w:tcW w:w="1220" w:type="dxa"/>
            <w:tcBorders>
              <w:top w:val="nil"/>
              <w:left w:val="nil"/>
              <w:bottom w:val="nil"/>
              <w:right w:val="nil"/>
            </w:tcBorders>
            <w:shd w:val="clear" w:color="auto" w:fill="auto"/>
            <w:noWrap/>
            <w:vAlign w:val="center"/>
            <w:hideMark/>
          </w:tcPr>
          <w:p w14:paraId="1EC0A856" w14:textId="77777777" w:rsidR="00AD48E8" w:rsidRPr="00AD48E8" w:rsidRDefault="00AD48E8" w:rsidP="00AD48E8">
            <w:pPr>
              <w:jc w:val="center"/>
              <w:rPr>
                <w:sz w:val="20"/>
                <w:szCs w:val="20"/>
              </w:rPr>
            </w:pPr>
          </w:p>
        </w:tc>
        <w:tc>
          <w:tcPr>
            <w:tcW w:w="1220" w:type="dxa"/>
            <w:tcBorders>
              <w:top w:val="nil"/>
              <w:left w:val="nil"/>
              <w:bottom w:val="nil"/>
              <w:right w:val="nil"/>
            </w:tcBorders>
            <w:shd w:val="clear" w:color="auto" w:fill="auto"/>
            <w:noWrap/>
            <w:vAlign w:val="center"/>
            <w:hideMark/>
          </w:tcPr>
          <w:p w14:paraId="60069B0B"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7876F0D9"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0602BEB4" w14:textId="77777777" w:rsidR="00AD48E8" w:rsidRPr="00AD48E8" w:rsidRDefault="00AD48E8" w:rsidP="00AD48E8">
            <w:pPr>
              <w:jc w:val="center"/>
              <w:rPr>
                <w:sz w:val="20"/>
                <w:szCs w:val="20"/>
              </w:rPr>
            </w:pPr>
          </w:p>
        </w:tc>
        <w:tc>
          <w:tcPr>
            <w:tcW w:w="1075" w:type="dxa"/>
            <w:tcBorders>
              <w:top w:val="nil"/>
              <w:left w:val="nil"/>
              <w:bottom w:val="nil"/>
              <w:right w:val="nil"/>
            </w:tcBorders>
            <w:shd w:val="clear" w:color="auto" w:fill="auto"/>
            <w:noWrap/>
            <w:vAlign w:val="center"/>
            <w:hideMark/>
          </w:tcPr>
          <w:p w14:paraId="325ABB42" w14:textId="77777777" w:rsidR="00AD48E8" w:rsidRPr="00AD48E8" w:rsidRDefault="00AD48E8" w:rsidP="00AD48E8">
            <w:pPr>
              <w:jc w:val="center"/>
              <w:rPr>
                <w:sz w:val="20"/>
                <w:szCs w:val="20"/>
              </w:rPr>
            </w:pPr>
          </w:p>
        </w:tc>
      </w:tr>
    </w:tbl>
    <w:p w14:paraId="1C1AE1EE" w14:textId="3B75E145" w:rsidR="00AD48E8" w:rsidRPr="002A30E0" w:rsidRDefault="00AD48E8" w:rsidP="00AD48E8">
      <w:pPr>
        <w:tabs>
          <w:tab w:val="left" w:pos="6365"/>
        </w:tabs>
        <w:jc w:val="both"/>
        <w:rPr>
          <w:color w:val="000000" w:themeColor="text1"/>
        </w:rPr>
      </w:pPr>
      <w:r w:rsidRPr="002A30E0">
        <w:rPr>
          <w:color w:val="000000" w:themeColor="text1"/>
        </w:rPr>
        <w:tab/>
      </w:r>
    </w:p>
    <w:p w14:paraId="344FDA20" w14:textId="766FD118" w:rsidR="00AD48E8" w:rsidRPr="002A30E0" w:rsidRDefault="00AD48E8" w:rsidP="00AD48E8">
      <w:pPr>
        <w:tabs>
          <w:tab w:val="left" w:pos="6365"/>
        </w:tabs>
        <w:jc w:val="both"/>
        <w:rPr>
          <w:color w:val="000000" w:themeColor="text1"/>
        </w:rPr>
      </w:pPr>
    </w:p>
    <w:p w14:paraId="3AB56CE5" w14:textId="5D1F6BAD" w:rsidR="00AD48E8" w:rsidRPr="002A30E0" w:rsidRDefault="00AD48E8" w:rsidP="00AD48E8">
      <w:pPr>
        <w:tabs>
          <w:tab w:val="left" w:pos="6365"/>
        </w:tabs>
        <w:jc w:val="both"/>
        <w:rPr>
          <w:color w:val="000000" w:themeColor="text1"/>
        </w:rPr>
      </w:pPr>
    </w:p>
    <w:p w14:paraId="1972A790" w14:textId="5E92FF60" w:rsidR="00AD48E8" w:rsidRPr="002A30E0" w:rsidRDefault="00AD48E8" w:rsidP="00AD48E8">
      <w:pPr>
        <w:tabs>
          <w:tab w:val="left" w:pos="6365"/>
        </w:tabs>
        <w:jc w:val="both"/>
        <w:rPr>
          <w:color w:val="000000" w:themeColor="text1"/>
        </w:rPr>
      </w:pPr>
    </w:p>
    <w:tbl>
      <w:tblPr>
        <w:tblpPr w:leftFromText="180" w:rightFromText="180" w:vertAnchor="text" w:horzAnchor="margin" w:tblpXSpec="center" w:tblpY="10"/>
        <w:tblW w:w="9401" w:type="dxa"/>
        <w:tblLook w:val="04A0" w:firstRow="1" w:lastRow="0" w:firstColumn="1" w:lastColumn="0" w:noHBand="0" w:noVBand="1"/>
      </w:tblPr>
      <w:tblGrid>
        <w:gridCol w:w="5253"/>
        <w:gridCol w:w="1311"/>
        <w:gridCol w:w="1311"/>
        <w:gridCol w:w="1037"/>
        <w:gridCol w:w="1183"/>
      </w:tblGrid>
      <w:tr w:rsidR="00AD48E8" w:rsidRPr="00AD48E8" w14:paraId="48FFD4FF" w14:textId="77777777" w:rsidTr="00AD48E8">
        <w:trPr>
          <w:trHeight w:val="269"/>
        </w:trPr>
        <w:tc>
          <w:tcPr>
            <w:tcW w:w="5253" w:type="dxa"/>
            <w:tcBorders>
              <w:top w:val="nil"/>
              <w:left w:val="nil"/>
              <w:bottom w:val="nil"/>
              <w:right w:val="nil"/>
            </w:tcBorders>
            <w:shd w:val="clear" w:color="auto" w:fill="auto"/>
            <w:noWrap/>
            <w:vAlign w:val="center"/>
            <w:hideMark/>
          </w:tcPr>
          <w:p w14:paraId="37915E09" w14:textId="77777777" w:rsidR="00AD48E8" w:rsidRPr="00AD48E8" w:rsidRDefault="00AD48E8" w:rsidP="00AD48E8">
            <w:pPr>
              <w:jc w:val="center"/>
            </w:pPr>
          </w:p>
        </w:tc>
        <w:tc>
          <w:tcPr>
            <w:tcW w:w="1037" w:type="dxa"/>
            <w:tcBorders>
              <w:top w:val="nil"/>
              <w:left w:val="nil"/>
              <w:bottom w:val="nil"/>
              <w:right w:val="nil"/>
            </w:tcBorders>
            <w:shd w:val="clear" w:color="auto" w:fill="auto"/>
            <w:noWrap/>
            <w:vAlign w:val="center"/>
            <w:hideMark/>
          </w:tcPr>
          <w:p w14:paraId="5ED15F7A"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2148ADDA"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7C425890"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184C7A63" w14:textId="77777777" w:rsidR="00AD48E8" w:rsidRPr="00AD48E8" w:rsidRDefault="00AD48E8" w:rsidP="00AD48E8">
            <w:pPr>
              <w:jc w:val="center"/>
              <w:rPr>
                <w:sz w:val="20"/>
                <w:szCs w:val="20"/>
              </w:rPr>
            </w:pPr>
          </w:p>
        </w:tc>
      </w:tr>
      <w:tr w:rsidR="00AD48E8" w:rsidRPr="00AD48E8" w14:paraId="40648CC7" w14:textId="77777777" w:rsidTr="00AD48E8">
        <w:trPr>
          <w:trHeight w:val="323"/>
        </w:trPr>
        <w:tc>
          <w:tcPr>
            <w:tcW w:w="5253" w:type="dxa"/>
            <w:tcBorders>
              <w:top w:val="nil"/>
              <w:left w:val="nil"/>
              <w:bottom w:val="nil"/>
              <w:right w:val="nil"/>
            </w:tcBorders>
            <w:shd w:val="clear" w:color="auto" w:fill="auto"/>
            <w:noWrap/>
            <w:vAlign w:val="center"/>
            <w:hideMark/>
          </w:tcPr>
          <w:p w14:paraId="199B1AD9" w14:textId="77777777" w:rsidR="00AD48E8" w:rsidRPr="00AD48E8" w:rsidRDefault="00AD48E8" w:rsidP="00AD48E8">
            <w:pPr>
              <w:jc w:val="center"/>
              <w:rPr>
                <w:rFonts w:ascii="Arial" w:hAnsi="Arial" w:cs="Arial"/>
                <w:b/>
                <w:bCs/>
                <w:color w:val="000000"/>
                <w:sz w:val="28"/>
                <w:szCs w:val="28"/>
                <w:u w:val="single"/>
              </w:rPr>
            </w:pPr>
            <w:r w:rsidRPr="00AD48E8">
              <w:rPr>
                <w:rFonts w:ascii="Arial" w:hAnsi="Arial" w:cs="Arial"/>
                <w:b/>
                <w:bCs/>
                <w:color w:val="000000"/>
                <w:sz w:val="28"/>
                <w:szCs w:val="28"/>
                <w:u w:val="single"/>
              </w:rPr>
              <w:t>Balance Sheet 2019 &amp; 2020</w:t>
            </w:r>
          </w:p>
        </w:tc>
        <w:tc>
          <w:tcPr>
            <w:tcW w:w="1037" w:type="dxa"/>
            <w:tcBorders>
              <w:top w:val="nil"/>
              <w:left w:val="nil"/>
              <w:bottom w:val="nil"/>
              <w:right w:val="nil"/>
            </w:tcBorders>
            <w:shd w:val="clear" w:color="auto" w:fill="auto"/>
            <w:noWrap/>
            <w:vAlign w:val="center"/>
            <w:hideMark/>
          </w:tcPr>
          <w:p w14:paraId="6E61B2FF" w14:textId="77777777" w:rsidR="00AD48E8" w:rsidRPr="00AD48E8" w:rsidRDefault="00AD48E8" w:rsidP="00AD48E8">
            <w:pPr>
              <w:jc w:val="center"/>
              <w:rPr>
                <w:rFonts w:ascii="Arial" w:hAnsi="Arial" w:cs="Arial"/>
                <w:b/>
                <w:bCs/>
                <w:color w:val="000000"/>
                <w:sz w:val="28"/>
                <w:szCs w:val="28"/>
                <w:u w:val="single"/>
              </w:rPr>
            </w:pPr>
          </w:p>
        </w:tc>
        <w:tc>
          <w:tcPr>
            <w:tcW w:w="1037" w:type="dxa"/>
            <w:tcBorders>
              <w:top w:val="nil"/>
              <w:left w:val="nil"/>
              <w:bottom w:val="nil"/>
              <w:right w:val="nil"/>
            </w:tcBorders>
            <w:shd w:val="clear" w:color="auto" w:fill="auto"/>
            <w:noWrap/>
            <w:vAlign w:val="center"/>
            <w:hideMark/>
          </w:tcPr>
          <w:p w14:paraId="351CDB5F"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2F18935F"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5CDA5E67" w14:textId="77777777" w:rsidR="00AD48E8" w:rsidRPr="00AD48E8" w:rsidRDefault="00AD48E8" w:rsidP="00AD48E8">
            <w:pPr>
              <w:jc w:val="center"/>
              <w:rPr>
                <w:sz w:val="20"/>
                <w:szCs w:val="20"/>
              </w:rPr>
            </w:pPr>
          </w:p>
        </w:tc>
      </w:tr>
      <w:tr w:rsidR="00AD48E8" w:rsidRPr="00AD48E8" w14:paraId="6693527D" w14:textId="77777777" w:rsidTr="00AD48E8">
        <w:trPr>
          <w:trHeight w:val="269"/>
        </w:trPr>
        <w:tc>
          <w:tcPr>
            <w:tcW w:w="5253" w:type="dxa"/>
            <w:tcBorders>
              <w:top w:val="nil"/>
              <w:left w:val="nil"/>
              <w:bottom w:val="nil"/>
              <w:right w:val="nil"/>
            </w:tcBorders>
            <w:shd w:val="clear" w:color="auto" w:fill="auto"/>
            <w:noWrap/>
            <w:vAlign w:val="center"/>
            <w:hideMark/>
          </w:tcPr>
          <w:p w14:paraId="6C7995B1" w14:textId="77777777" w:rsidR="00AD48E8" w:rsidRPr="00AD48E8" w:rsidRDefault="00AD48E8" w:rsidP="00AD48E8">
            <w:pPr>
              <w:jc w:val="center"/>
              <w:rPr>
                <w:rFonts w:ascii="Arial" w:hAnsi="Arial" w:cs="Arial"/>
                <w:b/>
                <w:bCs/>
                <w:color w:val="232A31"/>
              </w:rPr>
            </w:pPr>
            <w:r w:rsidRPr="00AD48E8">
              <w:rPr>
                <w:rFonts w:ascii="Arial" w:hAnsi="Arial" w:cs="Arial"/>
                <w:b/>
                <w:bCs/>
                <w:color w:val="232A31"/>
              </w:rPr>
              <w:t>Hilton Worldwide Holdings Inc. (HLT)</w:t>
            </w:r>
          </w:p>
        </w:tc>
        <w:tc>
          <w:tcPr>
            <w:tcW w:w="1037" w:type="dxa"/>
            <w:tcBorders>
              <w:top w:val="nil"/>
              <w:left w:val="nil"/>
              <w:bottom w:val="nil"/>
              <w:right w:val="nil"/>
            </w:tcBorders>
            <w:shd w:val="clear" w:color="auto" w:fill="auto"/>
            <w:noWrap/>
            <w:vAlign w:val="center"/>
            <w:hideMark/>
          </w:tcPr>
          <w:p w14:paraId="0F709A9E" w14:textId="77777777" w:rsidR="00AD48E8" w:rsidRPr="00AD48E8" w:rsidRDefault="00AD48E8" w:rsidP="00AD48E8">
            <w:pPr>
              <w:jc w:val="center"/>
              <w:rPr>
                <w:rFonts w:ascii="Arial" w:hAnsi="Arial" w:cs="Arial"/>
                <w:b/>
                <w:bCs/>
                <w:color w:val="232A31"/>
              </w:rPr>
            </w:pPr>
          </w:p>
        </w:tc>
        <w:tc>
          <w:tcPr>
            <w:tcW w:w="1037" w:type="dxa"/>
            <w:tcBorders>
              <w:top w:val="nil"/>
              <w:left w:val="nil"/>
              <w:bottom w:val="nil"/>
              <w:right w:val="nil"/>
            </w:tcBorders>
            <w:shd w:val="clear" w:color="auto" w:fill="auto"/>
            <w:noWrap/>
            <w:vAlign w:val="center"/>
            <w:hideMark/>
          </w:tcPr>
          <w:p w14:paraId="6DE867DA"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07E508D7"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7890D048" w14:textId="77777777" w:rsidR="00AD48E8" w:rsidRPr="00AD48E8" w:rsidRDefault="00AD48E8" w:rsidP="00AD48E8">
            <w:pPr>
              <w:jc w:val="center"/>
              <w:rPr>
                <w:sz w:val="20"/>
                <w:szCs w:val="20"/>
              </w:rPr>
            </w:pPr>
          </w:p>
        </w:tc>
      </w:tr>
      <w:tr w:rsidR="00AD48E8" w:rsidRPr="00AD48E8" w14:paraId="40B750D3" w14:textId="77777777" w:rsidTr="00AD48E8">
        <w:trPr>
          <w:trHeight w:val="269"/>
        </w:trPr>
        <w:tc>
          <w:tcPr>
            <w:tcW w:w="5253" w:type="dxa"/>
            <w:tcBorders>
              <w:top w:val="nil"/>
              <w:left w:val="nil"/>
              <w:bottom w:val="nil"/>
              <w:right w:val="nil"/>
            </w:tcBorders>
            <w:shd w:val="clear" w:color="auto" w:fill="auto"/>
            <w:noWrap/>
            <w:vAlign w:val="center"/>
            <w:hideMark/>
          </w:tcPr>
          <w:p w14:paraId="3CD07AD3"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2504BC55"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41B9CDE3"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101C6279"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2BFA69BD" w14:textId="77777777" w:rsidR="00AD48E8" w:rsidRPr="00AD48E8" w:rsidRDefault="00AD48E8" w:rsidP="00AD48E8">
            <w:pPr>
              <w:jc w:val="center"/>
              <w:rPr>
                <w:sz w:val="20"/>
                <w:szCs w:val="20"/>
              </w:rPr>
            </w:pPr>
          </w:p>
        </w:tc>
      </w:tr>
      <w:tr w:rsidR="00AD48E8" w:rsidRPr="00AD48E8" w14:paraId="61FDA665" w14:textId="77777777" w:rsidTr="00AD48E8">
        <w:trPr>
          <w:trHeight w:val="287"/>
        </w:trPr>
        <w:tc>
          <w:tcPr>
            <w:tcW w:w="5253" w:type="dxa"/>
            <w:tcBorders>
              <w:top w:val="nil"/>
              <w:left w:val="nil"/>
              <w:bottom w:val="nil"/>
              <w:right w:val="nil"/>
            </w:tcBorders>
            <w:shd w:val="clear" w:color="auto" w:fill="auto"/>
            <w:noWrap/>
            <w:vAlign w:val="center"/>
            <w:hideMark/>
          </w:tcPr>
          <w:p w14:paraId="53A48E56"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6AF5515B" w14:textId="77777777" w:rsidR="00AD48E8" w:rsidRPr="00AD48E8" w:rsidRDefault="00AD48E8" w:rsidP="00AD48E8">
            <w:pPr>
              <w:ind w:firstLineChars="600" w:firstLine="1200"/>
              <w:jc w:val="center"/>
              <w:rPr>
                <w:sz w:val="20"/>
                <w:szCs w:val="20"/>
              </w:rPr>
            </w:pPr>
          </w:p>
        </w:tc>
        <w:tc>
          <w:tcPr>
            <w:tcW w:w="1037" w:type="dxa"/>
            <w:tcBorders>
              <w:top w:val="nil"/>
              <w:left w:val="nil"/>
              <w:bottom w:val="nil"/>
              <w:right w:val="nil"/>
            </w:tcBorders>
            <w:shd w:val="clear" w:color="auto" w:fill="auto"/>
            <w:noWrap/>
            <w:vAlign w:val="center"/>
            <w:hideMark/>
          </w:tcPr>
          <w:p w14:paraId="603F0146"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6C20C5F3"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4056EE38" w14:textId="77777777" w:rsidR="00AD48E8" w:rsidRPr="00AD48E8" w:rsidRDefault="00AD48E8" w:rsidP="00AD48E8">
            <w:pPr>
              <w:jc w:val="center"/>
              <w:rPr>
                <w:sz w:val="20"/>
                <w:szCs w:val="20"/>
              </w:rPr>
            </w:pPr>
          </w:p>
        </w:tc>
      </w:tr>
      <w:tr w:rsidR="00AD48E8" w:rsidRPr="00AD48E8" w14:paraId="7980B490" w14:textId="77777777" w:rsidTr="00AD48E8">
        <w:trPr>
          <w:trHeight w:val="269"/>
        </w:trPr>
        <w:tc>
          <w:tcPr>
            <w:tcW w:w="5253" w:type="dxa"/>
            <w:tcBorders>
              <w:top w:val="nil"/>
              <w:left w:val="nil"/>
              <w:bottom w:val="nil"/>
              <w:right w:val="nil"/>
            </w:tcBorders>
            <w:shd w:val="clear" w:color="auto" w:fill="auto"/>
            <w:noWrap/>
            <w:vAlign w:val="center"/>
            <w:hideMark/>
          </w:tcPr>
          <w:p w14:paraId="5AE5588A"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2B829CE5"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2020</w:t>
            </w:r>
          </w:p>
        </w:tc>
        <w:tc>
          <w:tcPr>
            <w:tcW w:w="1037" w:type="dxa"/>
            <w:tcBorders>
              <w:top w:val="nil"/>
              <w:left w:val="nil"/>
              <w:bottom w:val="nil"/>
              <w:right w:val="nil"/>
            </w:tcBorders>
            <w:shd w:val="clear" w:color="auto" w:fill="auto"/>
            <w:noWrap/>
            <w:vAlign w:val="center"/>
            <w:hideMark/>
          </w:tcPr>
          <w:p w14:paraId="4CC9D335"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2019</w:t>
            </w:r>
          </w:p>
        </w:tc>
        <w:tc>
          <w:tcPr>
            <w:tcW w:w="1037" w:type="dxa"/>
            <w:tcBorders>
              <w:top w:val="nil"/>
              <w:left w:val="nil"/>
              <w:bottom w:val="nil"/>
              <w:right w:val="nil"/>
            </w:tcBorders>
            <w:shd w:val="clear" w:color="auto" w:fill="auto"/>
            <w:noWrap/>
            <w:vAlign w:val="center"/>
            <w:hideMark/>
          </w:tcPr>
          <w:p w14:paraId="75B8862C"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Change</w:t>
            </w:r>
          </w:p>
        </w:tc>
        <w:tc>
          <w:tcPr>
            <w:tcW w:w="1037" w:type="dxa"/>
            <w:tcBorders>
              <w:top w:val="nil"/>
              <w:left w:val="nil"/>
              <w:bottom w:val="nil"/>
              <w:right w:val="nil"/>
            </w:tcBorders>
            <w:shd w:val="clear" w:color="auto" w:fill="auto"/>
            <w:noWrap/>
            <w:vAlign w:val="center"/>
            <w:hideMark/>
          </w:tcPr>
          <w:p w14:paraId="430031BB"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    Change</w:t>
            </w:r>
          </w:p>
        </w:tc>
      </w:tr>
      <w:tr w:rsidR="00AD48E8" w:rsidRPr="00AD48E8" w14:paraId="2E528662" w14:textId="77777777" w:rsidTr="00AD48E8">
        <w:trPr>
          <w:trHeight w:val="269"/>
        </w:trPr>
        <w:tc>
          <w:tcPr>
            <w:tcW w:w="5253" w:type="dxa"/>
            <w:tcBorders>
              <w:top w:val="nil"/>
              <w:left w:val="nil"/>
              <w:bottom w:val="nil"/>
              <w:right w:val="nil"/>
            </w:tcBorders>
            <w:shd w:val="clear" w:color="auto" w:fill="auto"/>
            <w:noWrap/>
            <w:vAlign w:val="center"/>
            <w:hideMark/>
          </w:tcPr>
          <w:p w14:paraId="599BEC27"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Current Asset</w:t>
            </w:r>
          </w:p>
        </w:tc>
        <w:tc>
          <w:tcPr>
            <w:tcW w:w="1037" w:type="dxa"/>
            <w:tcBorders>
              <w:top w:val="nil"/>
              <w:left w:val="nil"/>
              <w:bottom w:val="nil"/>
              <w:right w:val="nil"/>
            </w:tcBorders>
            <w:shd w:val="clear" w:color="auto" w:fill="auto"/>
            <w:noWrap/>
            <w:vAlign w:val="center"/>
            <w:hideMark/>
          </w:tcPr>
          <w:p w14:paraId="4DBF671D"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4.202.000</w:t>
            </w:r>
          </w:p>
        </w:tc>
        <w:tc>
          <w:tcPr>
            <w:tcW w:w="1037" w:type="dxa"/>
            <w:tcBorders>
              <w:top w:val="nil"/>
              <w:left w:val="nil"/>
              <w:bottom w:val="nil"/>
              <w:right w:val="nil"/>
            </w:tcBorders>
            <w:shd w:val="clear" w:color="auto" w:fill="auto"/>
            <w:noWrap/>
            <w:vAlign w:val="center"/>
            <w:hideMark/>
          </w:tcPr>
          <w:p w14:paraId="42E3A04C"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2.093.000</w:t>
            </w:r>
          </w:p>
        </w:tc>
        <w:tc>
          <w:tcPr>
            <w:tcW w:w="1037" w:type="dxa"/>
            <w:tcBorders>
              <w:top w:val="nil"/>
              <w:left w:val="nil"/>
              <w:bottom w:val="nil"/>
              <w:right w:val="nil"/>
            </w:tcBorders>
            <w:shd w:val="clear" w:color="auto" w:fill="auto"/>
            <w:noWrap/>
            <w:vAlign w:val="center"/>
            <w:hideMark/>
          </w:tcPr>
          <w:p w14:paraId="31895881" w14:textId="77777777" w:rsidR="00AD48E8" w:rsidRPr="00AD48E8" w:rsidRDefault="00AD48E8" w:rsidP="00AD48E8">
            <w:pPr>
              <w:jc w:val="center"/>
              <w:rPr>
                <w:color w:val="000000"/>
                <w:sz w:val="20"/>
                <w:szCs w:val="20"/>
              </w:rPr>
            </w:pPr>
            <w:r w:rsidRPr="00AD48E8">
              <w:rPr>
                <w:color w:val="000000"/>
                <w:sz w:val="20"/>
                <w:szCs w:val="20"/>
              </w:rPr>
              <w:t>2.109.000</w:t>
            </w:r>
          </w:p>
        </w:tc>
        <w:tc>
          <w:tcPr>
            <w:tcW w:w="1037" w:type="dxa"/>
            <w:tcBorders>
              <w:top w:val="nil"/>
              <w:left w:val="nil"/>
              <w:bottom w:val="nil"/>
              <w:right w:val="nil"/>
            </w:tcBorders>
            <w:shd w:val="clear" w:color="auto" w:fill="auto"/>
            <w:noWrap/>
            <w:vAlign w:val="center"/>
            <w:hideMark/>
          </w:tcPr>
          <w:p w14:paraId="7D151EFB" w14:textId="77777777" w:rsidR="00AD48E8" w:rsidRPr="00AD48E8" w:rsidRDefault="00AD48E8" w:rsidP="00AD48E8">
            <w:pPr>
              <w:jc w:val="center"/>
              <w:rPr>
                <w:color w:val="000000"/>
                <w:sz w:val="20"/>
                <w:szCs w:val="20"/>
              </w:rPr>
            </w:pPr>
            <w:r w:rsidRPr="00AD48E8">
              <w:rPr>
                <w:color w:val="000000"/>
                <w:sz w:val="20"/>
                <w:szCs w:val="20"/>
              </w:rPr>
              <w:t>10076%</w:t>
            </w:r>
          </w:p>
        </w:tc>
      </w:tr>
      <w:tr w:rsidR="00AD48E8" w:rsidRPr="00AD48E8" w14:paraId="66B595FF" w14:textId="77777777" w:rsidTr="00AD48E8">
        <w:trPr>
          <w:trHeight w:val="269"/>
        </w:trPr>
        <w:tc>
          <w:tcPr>
            <w:tcW w:w="5253" w:type="dxa"/>
            <w:tcBorders>
              <w:top w:val="nil"/>
              <w:left w:val="nil"/>
              <w:bottom w:val="nil"/>
              <w:right w:val="nil"/>
            </w:tcBorders>
            <w:shd w:val="clear" w:color="auto" w:fill="auto"/>
            <w:noWrap/>
            <w:vAlign w:val="center"/>
            <w:hideMark/>
          </w:tcPr>
          <w:p w14:paraId="2EFA398A" w14:textId="607E2951" w:rsidR="00AD48E8" w:rsidRPr="00AD48E8" w:rsidRDefault="003B1186" w:rsidP="00AD48E8">
            <w:pPr>
              <w:jc w:val="center"/>
              <w:rPr>
                <w:rFonts w:ascii="Calibri" w:hAnsi="Calibri" w:cs="Calibri"/>
                <w:color w:val="000000"/>
              </w:rPr>
            </w:pPr>
            <w:r w:rsidRPr="002A30E0">
              <w:rPr>
                <w:rFonts w:ascii="Calibri" w:hAnsi="Calibri" w:cs="Calibri"/>
                <w:color w:val="000000"/>
              </w:rPr>
              <w:t>Non-Current</w:t>
            </w:r>
            <w:r w:rsidR="00AD48E8" w:rsidRPr="00AD48E8">
              <w:rPr>
                <w:rFonts w:ascii="Calibri" w:hAnsi="Calibri" w:cs="Calibri"/>
                <w:color w:val="000000"/>
              </w:rPr>
              <w:t xml:space="preserve"> Asset</w:t>
            </w:r>
          </w:p>
        </w:tc>
        <w:tc>
          <w:tcPr>
            <w:tcW w:w="1037" w:type="dxa"/>
            <w:tcBorders>
              <w:top w:val="nil"/>
              <w:left w:val="nil"/>
              <w:bottom w:val="nil"/>
              <w:right w:val="nil"/>
            </w:tcBorders>
            <w:shd w:val="clear" w:color="auto" w:fill="auto"/>
            <w:noWrap/>
            <w:vAlign w:val="center"/>
            <w:hideMark/>
          </w:tcPr>
          <w:p w14:paraId="507E381A"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15.810.000</w:t>
            </w:r>
          </w:p>
        </w:tc>
        <w:tc>
          <w:tcPr>
            <w:tcW w:w="1037" w:type="dxa"/>
            <w:tcBorders>
              <w:top w:val="nil"/>
              <w:left w:val="nil"/>
              <w:bottom w:val="nil"/>
              <w:right w:val="nil"/>
            </w:tcBorders>
            <w:shd w:val="clear" w:color="auto" w:fill="auto"/>
            <w:noWrap/>
            <w:vAlign w:val="center"/>
            <w:hideMark/>
          </w:tcPr>
          <w:p w14:paraId="153B168A"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12.558.000</w:t>
            </w:r>
          </w:p>
        </w:tc>
        <w:tc>
          <w:tcPr>
            <w:tcW w:w="1037" w:type="dxa"/>
            <w:tcBorders>
              <w:top w:val="nil"/>
              <w:left w:val="nil"/>
              <w:bottom w:val="nil"/>
              <w:right w:val="nil"/>
            </w:tcBorders>
            <w:shd w:val="clear" w:color="auto" w:fill="auto"/>
            <w:noWrap/>
            <w:vAlign w:val="center"/>
            <w:hideMark/>
          </w:tcPr>
          <w:p w14:paraId="16DC5E7D" w14:textId="77777777" w:rsidR="00AD48E8" w:rsidRPr="00AD48E8" w:rsidRDefault="00AD48E8" w:rsidP="00AD48E8">
            <w:pPr>
              <w:jc w:val="center"/>
              <w:rPr>
                <w:color w:val="000000"/>
                <w:sz w:val="20"/>
                <w:szCs w:val="20"/>
              </w:rPr>
            </w:pPr>
            <w:r w:rsidRPr="00AD48E8">
              <w:rPr>
                <w:color w:val="000000"/>
                <w:sz w:val="20"/>
                <w:szCs w:val="20"/>
              </w:rPr>
              <w:t>3.252.000</w:t>
            </w:r>
          </w:p>
        </w:tc>
        <w:tc>
          <w:tcPr>
            <w:tcW w:w="1037" w:type="dxa"/>
            <w:tcBorders>
              <w:top w:val="nil"/>
              <w:left w:val="nil"/>
              <w:bottom w:val="nil"/>
              <w:right w:val="nil"/>
            </w:tcBorders>
            <w:shd w:val="clear" w:color="auto" w:fill="auto"/>
            <w:noWrap/>
            <w:vAlign w:val="center"/>
            <w:hideMark/>
          </w:tcPr>
          <w:p w14:paraId="1F219749" w14:textId="77777777" w:rsidR="00AD48E8" w:rsidRPr="00AD48E8" w:rsidRDefault="00AD48E8" w:rsidP="00AD48E8">
            <w:pPr>
              <w:jc w:val="center"/>
              <w:rPr>
                <w:color w:val="000000"/>
                <w:sz w:val="20"/>
                <w:szCs w:val="20"/>
              </w:rPr>
            </w:pPr>
            <w:r w:rsidRPr="00AD48E8">
              <w:rPr>
                <w:color w:val="000000"/>
                <w:sz w:val="20"/>
                <w:szCs w:val="20"/>
              </w:rPr>
              <w:t>2590%</w:t>
            </w:r>
          </w:p>
        </w:tc>
      </w:tr>
      <w:tr w:rsidR="00AD48E8" w:rsidRPr="00AD48E8" w14:paraId="615F7875" w14:textId="77777777" w:rsidTr="00AD48E8">
        <w:trPr>
          <w:trHeight w:val="269"/>
        </w:trPr>
        <w:tc>
          <w:tcPr>
            <w:tcW w:w="5253" w:type="dxa"/>
            <w:tcBorders>
              <w:top w:val="nil"/>
              <w:left w:val="nil"/>
              <w:bottom w:val="nil"/>
              <w:right w:val="nil"/>
            </w:tcBorders>
            <w:shd w:val="clear" w:color="auto" w:fill="auto"/>
            <w:noWrap/>
            <w:vAlign w:val="center"/>
            <w:hideMark/>
          </w:tcPr>
          <w:p w14:paraId="5F48469B"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Total Asset</w:t>
            </w:r>
          </w:p>
        </w:tc>
        <w:tc>
          <w:tcPr>
            <w:tcW w:w="1037" w:type="dxa"/>
            <w:tcBorders>
              <w:top w:val="nil"/>
              <w:left w:val="nil"/>
              <w:bottom w:val="nil"/>
              <w:right w:val="nil"/>
            </w:tcBorders>
            <w:shd w:val="clear" w:color="auto" w:fill="auto"/>
            <w:noWrap/>
            <w:vAlign w:val="center"/>
            <w:hideMark/>
          </w:tcPr>
          <w:p w14:paraId="72C98285"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16.755.000</w:t>
            </w:r>
          </w:p>
        </w:tc>
        <w:tc>
          <w:tcPr>
            <w:tcW w:w="1037" w:type="dxa"/>
            <w:tcBorders>
              <w:top w:val="nil"/>
              <w:left w:val="nil"/>
              <w:bottom w:val="nil"/>
              <w:right w:val="nil"/>
            </w:tcBorders>
            <w:shd w:val="clear" w:color="auto" w:fill="auto"/>
            <w:noWrap/>
            <w:vAlign w:val="center"/>
            <w:hideMark/>
          </w:tcPr>
          <w:p w14:paraId="37A11CD5"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14.957.000</w:t>
            </w:r>
          </w:p>
        </w:tc>
        <w:tc>
          <w:tcPr>
            <w:tcW w:w="1037" w:type="dxa"/>
            <w:tcBorders>
              <w:top w:val="nil"/>
              <w:left w:val="nil"/>
              <w:bottom w:val="nil"/>
              <w:right w:val="nil"/>
            </w:tcBorders>
            <w:shd w:val="clear" w:color="auto" w:fill="auto"/>
            <w:noWrap/>
            <w:vAlign w:val="center"/>
            <w:hideMark/>
          </w:tcPr>
          <w:p w14:paraId="3ADBDC3D" w14:textId="77777777" w:rsidR="00AD48E8" w:rsidRPr="00AD48E8" w:rsidRDefault="00AD48E8" w:rsidP="00AD48E8">
            <w:pPr>
              <w:jc w:val="center"/>
              <w:rPr>
                <w:color w:val="000000"/>
                <w:sz w:val="20"/>
                <w:szCs w:val="20"/>
              </w:rPr>
            </w:pPr>
            <w:r w:rsidRPr="00AD48E8">
              <w:rPr>
                <w:color w:val="000000"/>
                <w:sz w:val="20"/>
                <w:szCs w:val="20"/>
              </w:rPr>
              <w:t>1.798.000</w:t>
            </w:r>
          </w:p>
        </w:tc>
        <w:tc>
          <w:tcPr>
            <w:tcW w:w="1037" w:type="dxa"/>
            <w:tcBorders>
              <w:top w:val="nil"/>
              <w:left w:val="nil"/>
              <w:bottom w:val="nil"/>
              <w:right w:val="nil"/>
            </w:tcBorders>
            <w:shd w:val="clear" w:color="auto" w:fill="auto"/>
            <w:noWrap/>
            <w:vAlign w:val="center"/>
            <w:hideMark/>
          </w:tcPr>
          <w:p w14:paraId="1F9CE73B" w14:textId="77777777" w:rsidR="00AD48E8" w:rsidRPr="00AD48E8" w:rsidRDefault="00AD48E8" w:rsidP="00AD48E8">
            <w:pPr>
              <w:jc w:val="center"/>
              <w:rPr>
                <w:color w:val="000000"/>
                <w:sz w:val="20"/>
                <w:szCs w:val="20"/>
              </w:rPr>
            </w:pPr>
            <w:r w:rsidRPr="00AD48E8">
              <w:rPr>
                <w:color w:val="000000"/>
                <w:sz w:val="20"/>
                <w:szCs w:val="20"/>
              </w:rPr>
              <w:t>1202%</w:t>
            </w:r>
          </w:p>
        </w:tc>
      </w:tr>
      <w:tr w:rsidR="00AD48E8" w:rsidRPr="00AD48E8" w14:paraId="614E352E" w14:textId="77777777" w:rsidTr="00AD48E8">
        <w:trPr>
          <w:trHeight w:val="269"/>
        </w:trPr>
        <w:tc>
          <w:tcPr>
            <w:tcW w:w="5253" w:type="dxa"/>
            <w:tcBorders>
              <w:top w:val="nil"/>
              <w:left w:val="nil"/>
              <w:bottom w:val="nil"/>
              <w:right w:val="nil"/>
            </w:tcBorders>
            <w:shd w:val="clear" w:color="auto" w:fill="auto"/>
            <w:noWrap/>
            <w:vAlign w:val="center"/>
            <w:hideMark/>
          </w:tcPr>
          <w:p w14:paraId="269CF8EC"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Current Liabilities</w:t>
            </w:r>
          </w:p>
        </w:tc>
        <w:tc>
          <w:tcPr>
            <w:tcW w:w="1037" w:type="dxa"/>
            <w:tcBorders>
              <w:top w:val="nil"/>
              <w:left w:val="nil"/>
              <w:bottom w:val="nil"/>
              <w:right w:val="nil"/>
            </w:tcBorders>
            <w:shd w:val="clear" w:color="auto" w:fill="auto"/>
            <w:noWrap/>
            <w:vAlign w:val="center"/>
            <w:hideMark/>
          </w:tcPr>
          <w:p w14:paraId="6F063618"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2.431.000</w:t>
            </w:r>
          </w:p>
        </w:tc>
        <w:tc>
          <w:tcPr>
            <w:tcW w:w="1037" w:type="dxa"/>
            <w:tcBorders>
              <w:top w:val="nil"/>
              <w:left w:val="nil"/>
              <w:bottom w:val="nil"/>
              <w:right w:val="nil"/>
            </w:tcBorders>
            <w:shd w:val="clear" w:color="auto" w:fill="auto"/>
            <w:noWrap/>
            <w:vAlign w:val="center"/>
            <w:hideMark/>
          </w:tcPr>
          <w:p w14:paraId="5C56380B"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2.871.000</w:t>
            </w:r>
          </w:p>
        </w:tc>
        <w:tc>
          <w:tcPr>
            <w:tcW w:w="1037" w:type="dxa"/>
            <w:tcBorders>
              <w:top w:val="nil"/>
              <w:left w:val="nil"/>
              <w:bottom w:val="nil"/>
              <w:right w:val="nil"/>
            </w:tcBorders>
            <w:shd w:val="clear" w:color="auto" w:fill="auto"/>
            <w:noWrap/>
            <w:vAlign w:val="center"/>
            <w:hideMark/>
          </w:tcPr>
          <w:p w14:paraId="72B0EB9D" w14:textId="77777777" w:rsidR="00AD48E8" w:rsidRPr="00AD48E8" w:rsidRDefault="00AD48E8" w:rsidP="00AD48E8">
            <w:pPr>
              <w:jc w:val="center"/>
              <w:rPr>
                <w:color w:val="000000"/>
                <w:sz w:val="20"/>
                <w:szCs w:val="20"/>
              </w:rPr>
            </w:pPr>
            <w:r w:rsidRPr="00AD48E8">
              <w:rPr>
                <w:color w:val="000000"/>
                <w:sz w:val="20"/>
                <w:szCs w:val="20"/>
              </w:rPr>
              <w:t>-440.000</w:t>
            </w:r>
          </w:p>
        </w:tc>
        <w:tc>
          <w:tcPr>
            <w:tcW w:w="1037" w:type="dxa"/>
            <w:tcBorders>
              <w:top w:val="nil"/>
              <w:left w:val="nil"/>
              <w:bottom w:val="nil"/>
              <w:right w:val="nil"/>
            </w:tcBorders>
            <w:shd w:val="clear" w:color="auto" w:fill="auto"/>
            <w:noWrap/>
            <w:vAlign w:val="center"/>
            <w:hideMark/>
          </w:tcPr>
          <w:p w14:paraId="084BDC47" w14:textId="77777777" w:rsidR="00AD48E8" w:rsidRPr="00AD48E8" w:rsidRDefault="00AD48E8" w:rsidP="00AD48E8">
            <w:pPr>
              <w:jc w:val="center"/>
              <w:rPr>
                <w:color w:val="000000"/>
                <w:sz w:val="20"/>
                <w:szCs w:val="20"/>
              </w:rPr>
            </w:pPr>
            <w:r w:rsidRPr="00AD48E8">
              <w:rPr>
                <w:color w:val="000000"/>
                <w:sz w:val="20"/>
                <w:szCs w:val="20"/>
              </w:rPr>
              <w:t>-1533%</w:t>
            </w:r>
          </w:p>
        </w:tc>
      </w:tr>
      <w:tr w:rsidR="00AD48E8" w:rsidRPr="00AD48E8" w14:paraId="4EBB8CF2" w14:textId="77777777" w:rsidTr="00AD48E8">
        <w:trPr>
          <w:trHeight w:val="269"/>
        </w:trPr>
        <w:tc>
          <w:tcPr>
            <w:tcW w:w="5253" w:type="dxa"/>
            <w:tcBorders>
              <w:top w:val="nil"/>
              <w:left w:val="nil"/>
              <w:bottom w:val="nil"/>
              <w:right w:val="nil"/>
            </w:tcBorders>
            <w:shd w:val="clear" w:color="auto" w:fill="auto"/>
            <w:noWrap/>
            <w:vAlign w:val="center"/>
            <w:hideMark/>
          </w:tcPr>
          <w:p w14:paraId="105B180E" w14:textId="6D0E17CF" w:rsidR="00AD48E8" w:rsidRPr="00AD48E8" w:rsidRDefault="003B1186" w:rsidP="00AD48E8">
            <w:pPr>
              <w:jc w:val="center"/>
              <w:rPr>
                <w:rFonts w:ascii="Calibri" w:hAnsi="Calibri" w:cs="Calibri"/>
                <w:color w:val="000000"/>
              </w:rPr>
            </w:pPr>
            <w:r w:rsidRPr="002A30E0">
              <w:rPr>
                <w:rFonts w:ascii="Calibri" w:hAnsi="Calibri" w:cs="Calibri"/>
                <w:color w:val="000000"/>
              </w:rPr>
              <w:t>Noncurrent</w:t>
            </w:r>
            <w:r w:rsidR="00AD48E8" w:rsidRPr="00AD48E8">
              <w:rPr>
                <w:rFonts w:ascii="Calibri" w:hAnsi="Calibri" w:cs="Calibri"/>
                <w:color w:val="000000"/>
              </w:rPr>
              <w:t xml:space="preserve"> Liabilities</w:t>
            </w:r>
          </w:p>
        </w:tc>
        <w:tc>
          <w:tcPr>
            <w:tcW w:w="1037" w:type="dxa"/>
            <w:tcBorders>
              <w:top w:val="nil"/>
              <w:left w:val="nil"/>
              <w:bottom w:val="nil"/>
              <w:right w:val="nil"/>
            </w:tcBorders>
            <w:shd w:val="clear" w:color="auto" w:fill="auto"/>
            <w:noWrap/>
            <w:vAlign w:val="center"/>
            <w:hideMark/>
          </w:tcPr>
          <w:p w14:paraId="11B68B9C"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15.810.000</w:t>
            </w:r>
          </w:p>
        </w:tc>
        <w:tc>
          <w:tcPr>
            <w:tcW w:w="1037" w:type="dxa"/>
            <w:tcBorders>
              <w:top w:val="nil"/>
              <w:left w:val="nil"/>
              <w:bottom w:val="nil"/>
              <w:right w:val="nil"/>
            </w:tcBorders>
            <w:shd w:val="clear" w:color="auto" w:fill="auto"/>
            <w:noWrap/>
            <w:vAlign w:val="center"/>
            <w:hideMark/>
          </w:tcPr>
          <w:p w14:paraId="23168DD4"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12.558.000</w:t>
            </w:r>
          </w:p>
        </w:tc>
        <w:tc>
          <w:tcPr>
            <w:tcW w:w="1037" w:type="dxa"/>
            <w:tcBorders>
              <w:top w:val="nil"/>
              <w:left w:val="nil"/>
              <w:bottom w:val="nil"/>
              <w:right w:val="nil"/>
            </w:tcBorders>
            <w:shd w:val="clear" w:color="auto" w:fill="auto"/>
            <w:noWrap/>
            <w:vAlign w:val="center"/>
            <w:hideMark/>
          </w:tcPr>
          <w:p w14:paraId="334BD3A9" w14:textId="77777777" w:rsidR="00AD48E8" w:rsidRPr="00AD48E8" w:rsidRDefault="00AD48E8" w:rsidP="00AD48E8">
            <w:pPr>
              <w:jc w:val="center"/>
              <w:rPr>
                <w:rFonts w:ascii="Calibri" w:hAnsi="Calibri" w:cs="Calibri"/>
                <w:color w:val="000000"/>
              </w:rPr>
            </w:pPr>
          </w:p>
        </w:tc>
        <w:tc>
          <w:tcPr>
            <w:tcW w:w="1037" w:type="dxa"/>
            <w:tcBorders>
              <w:top w:val="nil"/>
              <w:left w:val="nil"/>
              <w:bottom w:val="nil"/>
              <w:right w:val="nil"/>
            </w:tcBorders>
            <w:shd w:val="clear" w:color="auto" w:fill="auto"/>
            <w:noWrap/>
            <w:vAlign w:val="center"/>
            <w:hideMark/>
          </w:tcPr>
          <w:p w14:paraId="7F03C578" w14:textId="77777777" w:rsidR="00AD48E8" w:rsidRPr="00AD48E8" w:rsidRDefault="00AD48E8" w:rsidP="00AD48E8">
            <w:pPr>
              <w:jc w:val="center"/>
              <w:rPr>
                <w:color w:val="000000"/>
                <w:sz w:val="20"/>
                <w:szCs w:val="20"/>
              </w:rPr>
            </w:pPr>
            <w:r w:rsidRPr="00AD48E8">
              <w:rPr>
                <w:color w:val="000000"/>
                <w:sz w:val="20"/>
                <w:szCs w:val="20"/>
              </w:rPr>
              <w:t>0%</w:t>
            </w:r>
          </w:p>
        </w:tc>
      </w:tr>
      <w:tr w:rsidR="00AD48E8" w:rsidRPr="00AD48E8" w14:paraId="368AA38D" w14:textId="77777777" w:rsidTr="00AD48E8">
        <w:trPr>
          <w:trHeight w:val="269"/>
        </w:trPr>
        <w:tc>
          <w:tcPr>
            <w:tcW w:w="5253" w:type="dxa"/>
            <w:tcBorders>
              <w:top w:val="nil"/>
              <w:left w:val="nil"/>
              <w:bottom w:val="nil"/>
              <w:right w:val="nil"/>
            </w:tcBorders>
            <w:shd w:val="clear" w:color="auto" w:fill="auto"/>
            <w:noWrap/>
            <w:vAlign w:val="center"/>
            <w:hideMark/>
          </w:tcPr>
          <w:p w14:paraId="0C1AFF9A"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Total Liabilities</w:t>
            </w:r>
          </w:p>
        </w:tc>
        <w:tc>
          <w:tcPr>
            <w:tcW w:w="1037" w:type="dxa"/>
            <w:tcBorders>
              <w:top w:val="nil"/>
              <w:left w:val="nil"/>
              <w:bottom w:val="nil"/>
              <w:right w:val="nil"/>
            </w:tcBorders>
            <w:shd w:val="clear" w:color="auto" w:fill="auto"/>
            <w:noWrap/>
            <w:vAlign w:val="center"/>
            <w:hideMark/>
          </w:tcPr>
          <w:p w14:paraId="02CC68B4"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18.241.000</w:t>
            </w:r>
          </w:p>
        </w:tc>
        <w:tc>
          <w:tcPr>
            <w:tcW w:w="1037" w:type="dxa"/>
            <w:tcBorders>
              <w:top w:val="nil"/>
              <w:left w:val="nil"/>
              <w:bottom w:val="nil"/>
              <w:right w:val="nil"/>
            </w:tcBorders>
            <w:shd w:val="clear" w:color="auto" w:fill="auto"/>
            <w:noWrap/>
            <w:vAlign w:val="center"/>
            <w:hideMark/>
          </w:tcPr>
          <w:p w14:paraId="76D965E1"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15.429.000</w:t>
            </w:r>
          </w:p>
        </w:tc>
        <w:tc>
          <w:tcPr>
            <w:tcW w:w="1037" w:type="dxa"/>
            <w:tcBorders>
              <w:top w:val="nil"/>
              <w:left w:val="nil"/>
              <w:bottom w:val="nil"/>
              <w:right w:val="nil"/>
            </w:tcBorders>
            <w:shd w:val="clear" w:color="auto" w:fill="auto"/>
            <w:noWrap/>
            <w:vAlign w:val="center"/>
            <w:hideMark/>
          </w:tcPr>
          <w:p w14:paraId="0D265431" w14:textId="77777777" w:rsidR="00AD48E8" w:rsidRPr="00AD48E8" w:rsidRDefault="00AD48E8" w:rsidP="00AD48E8">
            <w:pPr>
              <w:jc w:val="center"/>
              <w:rPr>
                <w:color w:val="000000"/>
                <w:sz w:val="20"/>
                <w:szCs w:val="20"/>
              </w:rPr>
            </w:pPr>
            <w:r w:rsidRPr="00AD48E8">
              <w:rPr>
                <w:color w:val="000000"/>
                <w:sz w:val="20"/>
                <w:szCs w:val="20"/>
              </w:rPr>
              <w:t>2.812.000</w:t>
            </w:r>
          </w:p>
        </w:tc>
        <w:tc>
          <w:tcPr>
            <w:tcW w:w="1037" w:type="dxa"/>
            <w:tcBorders>
              <w:top w:val="nil"/>
              <w:left w:val="nil"/>
              <w:bottom w:val="nil"/>
              <w:right w:val="nil"/>
            </w:tcBorders>
            <w:shd w:val="clear" w:color="auto" w:fill="auto"/>
            <w:noWrap/>
            <w:vAlign w:val="center"/>
            <w:hideMark/>
          </w:tcPr>
          <w:p w14:paraId="12789220" w14:textId="77777777" w:rsidR="00AD48E8" w:rsidRPr="00AD48E8" w:rsidRDefault="00AD48E8" w:rsidP="00AD48E8">
            <w:pPr>
              <w:jc w:val="center"/>
              <w:rPr>
                <w:color w:val="000000"/>
                <w:sz w:val="20"/>
                <w:szCs w:val="20"/>
              </w:rPr>
            </w:pPr>
            <w:r w:rsidRPr="00AD48E8">
              <w:rPr>
                <w:color w:val="000000"/>
                <w:sz w:val="20"/>
                <w:szCs w:val="20"/>
              </w:rPr>
              <w:t>1823%</w:t>
            </w:r>
          </w:p>
        </w:tc>
      </w:tr>
      <w:tr w:rsidR="00AD48E8" w:rsidRPr="00AD48E8" w14:paraId="3F7722B7" w14:textId="77777777" w:rsidTr="00AD48E8">
        <w:trPr>
          <w:trHeight w:val="269"/>
        </w:trPr>
        <w:tc>
          <w:tcPr>
            <w:tcW w:w="5253" w:type="dxa"/>
            <w:tcBorders>
              <w:top w:val="nil"/>
              <w:left w:val="nil"/>
              <w:bottom w:val="nil"/>
              <w:right w:val="nil"/>
            </w:tcBorders>
            <w:shd w:val="clear" w:color="auto" w:fill="auto"/>
            <w:noWrap/>
            <w:vAlign w:val="center"/>
            <w:hideMark/>
          </w:tcPr>
          <w:p w14:paraId="7FB12E76"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Common Stock</w:t>
            </w:r>
          </w:p>
        </w:tc>
        <w:tc>
          <w:tcPr>
            <w:tcW w:w="1037" w:type="dxa"/>
            <w:tcBorders>
              <w:top w:val="nil"/>
              <w:left w:val="nil"/>
              <w:bottom w:val="nil"/>
              <w:right w:val="nil"/>
            </w:tcBorders>
            <w:shd w:val="clear" w:color="auto" w:fill="auto"/>
            <w:noWrap/>
            <w:vAlign w:val="center"/>
            <w:hideMark/>
          </w:tcPr>
          <w:p w14:paraId="4B5067B1"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3</w:t>
            </w:r>
          </w:p>
        </w:tc>
        <w:tc>
          <w:tcPr>
            <w:tcW w:w="1037" w:type="dxa"/>
            <w:tcBorders>
              <w:top w:val="nil"/>
              <w:left w:val="nil"/>
              <w:bottom w:val="nil"/>
              <w:right w:val="nil"/>
            </w:tcBorders>
            <w:shd w:val="clear" w:color="auto" w:fill="auto"/>
            <w:noWrap/>
            <w:vAlign w:val="center"/>
            <w:hideMark/>
          </w:tcPr>
          <w:p w14:paraId="66A6D0D5"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3</w:t>
            </w:r>
          </w:p>
        </w:tc>
        <w:tc>
          <w:tcPr>
            <w:tcW w:w="1037" w:type="dxa"/>
            <w:tcBorders>
              <w:top w:val="nil"/>
              <w:left w:val="nil"/>
              <w:bottom w:val="nil"/>
              <w:right w:val="nil"/>
            </w:tcBorders>
            <w:shd w:val="clear" w:color="auto" w:fill="auto"/>
            <w:noWrap/>
            <w:vAlign w:val="center"/>
            <w:hideMark/>
          </w:tcPr>
          <w:p w14:paraId="28A66BEC" w14:textId="77777777" w:rsidR="00AD48E8" w:rsidRPr="00AD48E8" w:rsidRDefault="00AD48E8" w:rsidP="00AD48E8">
            <w:pPr>
              <w:jc w:val="center"/>
              <w:rPr>
                <w:color w:val="000000"/>
                <w:sz w:val="20"/>
                <w:szCs w:val="20"/>
              </w:rPr>
            </w:pPr>
            <w:r w:rsidRPr="00AD48E8">
              <w:rPr>
                <w:color w:val="000000"/>
                <w:sz w:val="20"/>
                <w:szCs w:val="20"/>
              </w:rPr>
              <w:t>0</w:t>
            </w:r>
          </w:p>
        </w:tc>
        <w:tc>
          <w:tcPr>
            <w:tcW w:w="1037" w:type="dxa"/>
            <w:tcBorders>
              <w:top w:val="nil"/>
              <w:left w:val="nil"/>
              <w:bottom w:val="nil"/>
              <w:right w:val="nil"/>
            </w:tcBorders>
            <w:shd w:val="clear" w:color="auto" w:fill="auto"/>
            <w:noWrap/>
            <w:vAlign w:val="center"/>
            <w:hideMark/>
          </w:tcPr>
          <w:p w14:paraId="13870FD5" w14:textId="77777777" w:rsidR="00AD48E8" w:rsidRPr="00AD48E8" w:rsidRDefault="00AD48E8" w:rsidP="00AD48E8">
            <w:pPr>
              <w:jc w:val="center"/>
              <w:rPr>
                <w:color w:val="000000"/>
                <w:sz w:val="20"/>
                <w:szCs w:val="20"/>
              </w:rPr>
            </w:pPr>
            <w:r w:rsidRPr="00AD48E8">
              <w:rPr>
                <w:color w:val="000000"/>
                <w:sz w:val="20"/>
                <w:szCs w:val="20"/>
              </w:rPr>
              <w:t>0%</w:t>
            </w:r>
          </w:p>
        </w:tc>
      </w:tr>
      <w:tr w:rsidR="00AD48E8" w:rsidRPr="00AD48E8" w14:paraId="14F99963" w14:textId="77777777" w:rsidTr="00AD48E8">
        <w:trPr>
          <w:trHeight w:val="269"/>
        </w:trPr>
        <w:tc>
          <w:tcPr>
            <w:tcW w:w="5253" w:type="dxa"/>
            <w:tcBorders>
              <w:top w:val="nil"/>
              <w:left w:val="nil"/>
              <w:bottom w:val="nil"/>
              <w:right w:val="nil"/>
            </w:tcBorders>
            <w:shd w:val="clear" w:color="auto" w:fill="auto"/>
            <w:noWrap/>
            <w:vAlign w:val="center"/>
            <w:hideMark/>
          </w:tcPr>
          <w:p w14:paraId="587B9322"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Retained Earnings</w:t>
            </w:r>
          </w:p>
        </w:tc>
        <w:tc>
          <w:tcPr>
            <w:tcW w:w="1037" w:type="dxa"/>
            <w:tcBorders>
              <w:top w:val="nil"/>
              <w:left w:val="nil"/>
              <w:bottom w:val="nil"/>
              <w:right w:val="nil"/>
            </w:tcBorders>
            <w:shd w:val="clear" w:color="auto" w:fill="auto"/>
            <w:noWrap/>
            <w:vAlign w:val="center"/>
            <w:hideMark/>
          </w:tcPr>
          <w:p w14:paraId="17C8523A"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-6.732.000</w:t>
            </w:r>
          </w:p>
        </w:tc>
        <w:tc>
          <w:tcPr>
            <w:tcW w:w="1037" w:type="dxa"/>
            <w:tcBorders>
              <w:top w:val="nil"/>
              <w:left w:val="nil"/>
              <w:bottom w:val="nil"/>
              <w:right w:val="nil"/>
            </w:tcBorders>
            <w:shd w:val="clear" w:color="auto" w:fill="auto"/>
            <w:noWrap/>
            <w:vAlign w:val="center"/>
            <w:hideMark/>
          </w:tcPr>
          <w:p w14:paraId="7B072A7F"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-5.965.000</w:t>
            </w:r>
          </w:p>
        </w:tc>
        <w:tc>
          <w:tcPr>
            <w:tcW w:w="1037" w:type="dxa"/>
            <w:tcBorders>
              <w:top w:val="nil"/>
              <w:left w:val="nil"/>
              <w:bottom w:val="nil"/>
              <w:right w:val="nil"/>
            </w:tcBorders>
            <w:shd w:val="clear" w:color="auto" w:fill="auto"/>
            <w:noWrap/>
            <w:vAlign w:val="center"/>
            <w:hideMark/>
          </w:tcPr>
          <w:p w14:paraId="5CF64983" w14:textId="77777777" w:rsidR="00AD48E8" w:rsidRPr="00AD48E8" w:rsidRDefault="00AD48E8" w:rsidP="00AD48E8">
            <w:pPr>
              <w:jc w:val="center"/>
              <w:rPr>
                <w:color w:val="000000"/>
                <w:sz w:val="20"/>
                <w:szCs w:val="20"/>
              </w:rPr>
            </w:pPr>
            <w:r w:rsidRPr="00AD48E8">
              <w:rPr>
                <w:color w:val="000000"/>
                <w:sz w:val="20"/>
                <w:szCs w:val="20"/>
              </w:rPr>
              <w:t>-767.000</w:t>
            </w:r>
          </w:p>
        </w:tc>
        <w:tc>
          <w:tcPr>
            <w:tcW w:w="1037" w:type="dxa"/>
            <w:tcBorders>
              <w:top w:val="nil"/>
              <w:left w:val="nil"/>
              <w:bottom w:val="nil"/>
              <w:right w:val="nil"/>
            </w:tcBorders>
            <w:shd w:val="clear" w:color="auto" w:fill="auto"/>
            <w:noWrap/>
            <w:vAlign w:val="center"/>
            <w:hideMark/>
          </w:tcPr>
          <w:p w14:paraId="6F6F1EB3" w14:textId="77777777" w:rsidR="00AD48E8" w:rsidRPr="00AD48E8" w:rsidRDefault="00AD48E8" w:rsidP="00AD48E8">
            <w:pPr>
              <w:jc w:val="center"/>
              <w:rPr>
                <w:color w:val="000000"/>
                <w:sz w:val="20"/>
                <w:szCs w:val="20"/>
              </w:rPr>
            </w:pPr>
            <w:r w:rsidRPr="00AD48E8">
              <w:rPr>
                <w:color w:val="000000"/>
                <w:sz w:val="20"/>
                <w:szCs w:val="20"/>
              </w:rPr>
              <w:t>1286%</w:t>
            </w:r>
          </w:p>
        </w:tc>
      </w:tr>
      <w:tr w:rsidR="00AD48E8" w:rsidRPr="00AD48E8" w14:paraId="07FCFD12" w14:textId="77777777" w:rsidTr="00AD48E8">
        <w:trPr>
          <w:trHeight w:val="269"/>
        </w:trPr>
        <w:tc>
          <w:tcPr>
            <w:tcW w:w="5253" w:type="dxa"/>
            <w:tcBorders>
              <w:top w:val="nil"/>
              <w:left w:val="nil"/>
              <w:bottom w:val="nil"/>
              <w:right w:val="nil"/>
            </w:tcBorders>
            <w:shd w:val="clear" w:color="auto" w:fill="auto"/>
            <w:noWrap/>
            <w:vAlign w:val="center"/>
            <w:hideMark/>
          </w:tcPr>
          <w:p w14:paraId="467E3538"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Total Stockholders' Equity</w:t>
            </w:r>
          </w:p>
        </w:tc>
        <w:tc>
          <w:tcPr>
            <w:tcW w:w="1037" w:type="dxa"/>
            <w:tcBorders>
              <w:top w:val="nil"/>
              <w:left w:val="nil"/>
              <w:bottom w:val="nil"/>
              <w:right w:val="nil"/>
            </w:tcBorders>
            <w:shd w:val="clear" w:color="auto" w:fill="auto"/>
            <w:noWrap/>
            <w:vAlign w:val="center"/>
            <w:hideMark/>
          </w:tcPr>
          <w:p w14:paraId="72CC7F68"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-1.490.000</w:t>
            </w:r>
          </w:p>
        </w:tc>
        <w:tc>
          <w:tcPr>
            <w:tcW w:w="1037" w:type="dxa"/>
            <w:tcBorders>
              <w:top w:val="nil"/>
              <w:left w:val="nil"/>
              <w:bottom w:val="nil"/>
              <w:right w:val="nil"/>
            </w:tcBorders>
            <w:shd w:val="clear" w:color="auto" w:fill="auto"/>
            <w:noWrap/>
            <w:vAlign w:val="center"/>
            <w:hideMark/>
          </w:tcPr>
          <w:p w14:paraId="2A409F5C"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-482</w:t>
            </w:r>
          </w:p>
        </w:tc>
        <w:tc>
          <w:tcPr>
            <w:tcW w:w="1037" w:type="dxa"/>
            <w:tcBorders>
              <w:top w:val="nil"/>
              <w:left w:val="nil"/>
              <w:bottom w:val="nil"/>
              <w:right w:val="nil"/>
            </w:tcBorders>
            <w:shd w:val="clear" w:color="auto" w:fill="auto"/>
            <w:noWrap/>
            <w:vAlign w:val="center"/>
            <w:hideMark/>
          </w:tcPr>
          <w:p w14:paraId="0C2E5987" w14:textId="77777777" w:rsidR="00AD48E8" w:rsidRPr="00AD48E8" w:rsidRDefault="00AD48E8" w:rsidP="00AD48E8">
            <w:pPr>
              <w:jc w:val="center"/>
              <w:rPr>
                <w:color w:val="000000"/>
                <w:sz w:val="20"/>
                <w:szCs w:val="20"/>
              </w:rPr>
            </w:pPr>
            <w:r w:rsidRPr="00AD48E8">
              <w:rPr>
                <w:color w:val="000000"/>
                <w:sz w:val="20"/>
                <w:szCs w:val="20"/>
              </w:rPr>
              <w:t>-1.489.518</w:t>
            </w:r>
          </w:p>
        </w:tc>
        <w:tc>
          <w:tcPr>
            <w:tcW w:w="1037" w:type="dxa"/>
            <w:tcBorders>
              <w:top w:val="nil"/>
              <w:left w:val="nil"/>
              <w:bottom w:val="nil"/>
              <w:right w:val="nil"/>
            </w:tcBorders>
            <w:shd w:val="clear" w:color="auto" w:fill="auto"/>
            <w:noWrap/>
            <w:vAlign w:val="center"/>
            <w:hideMark/>
          </w:tcPr>
          <w:p w14:paraId="692D3FFF" w14:textId="77777777" w:rsidR="00AD48E8" w:rsidRPr="00AD48E8" w:rsidRDefault="00AD48E8" w:rsidP="00AD48E8">
            <w:pPr>
              <w:jc w:val="center"/>
              <w:rPr>
                <w:color w:val="000000"/>
                <w:sz w:val="20"/>
                <w:szCs w:val="20"/>
              </w:rPr>
            </w:pPr>
            <w:r w:rsidRPr="00AD48E8">
              <w:rPr>
                <w:color w:val="000000"/>
                <w:sz w:val="20"/>
                <w:szCs w:val="20"/>
              </w:rPr>
              <w:t>30902863%</w:t>
            </w:r>
          </w:p>
        </w:tc>
      </w:tr>
      <w:tr w:rsidR="00AD48E8" w:rsidRPr="00AD48E8" w14:paraId="3A1C02EE" w14:textId="77777777" w:rsidTr="00AD48E8">
        <w:trPr>
          <w:trHeight w:val="269"/>
        </w:trPr>
        <w:tc>
          <w:tcPr>
            <w:tcW w:w="5253" w:type="dxa"/>
            <w:tcBorders>
              <w:top w:val="nil"/>
              <w:left w:val="nil"/>
              <w:bottom w:val="nil"/>
              <w:right w:val="nil"/>
            </w:tcBorders>
            <w:shd w:val="clear" w:color="auto" w:fill="auto"/>
            <w:noWrap/>
            <w:vAlign w:val="center"/>
            <w:hideMark/>
          </w:tcPr>
          <w:p w14:paraId="0F855071"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Total Liabilities and Stockholder</w:t>
            </w:r>
          </w:p>
        </w:tc>
        <w:tc>
          <w:tcPr>
            <w:tcW w:w="1037" w:type="dxa"/>
            <w:tcBorders>
              <w:top w:val="nil"/>
              <w:left w:val="nil"/>
              <w:bottom w:val="nil"/>
              <w:right w:val="nil"/>
            </w:tcBorders>
            <w:shd w:val="clear" w:color="auto" w:fill="auto"/>
            <w:noWrap/>
            <w:vAlign w:val="center"/>
            <w:hideMark/>
          </w:tcPr>
          <w:p w14:paraId="086BBBAC"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16.755.000</w:t>
            </w:r>
          </w:p>
        </w:tc>
        <w:tc>
          <w:tcPr>
            <w:tcW w:w="1037" w:type="dxa"/>
            <w:tcBorders>
              <w:top w:val="nil"/>
              <w:left w:val="nil"/>
              <w:bottom w:val="nil"/>
              <w:right w:val="nil"/>
            </w:tcBorders>
            <w:shd w:val="clear" w:color="auto" w:fill="auto"/>
            <w:noWrap/>
            <w:vAlign w:val="center"/>
            <w:hideMark/>
          </w:tcPr>
          <w:p w14:paraId="280B66F0" w14:textId="77777777" w:rsidR="00AD48E8" w:rsidRPr="00AD48E8" w:rsidRDefault="00AD48E8" w:rsidP="00AD48E8">
            <w:pPr>
              <w:jc w:val="center"/>
              <w:rPr>
                <w:rFonts w:ascii="Calibri" w:hAnsi="Calibri" w:cs="Calibri"/>
                <w:color w:val="000000"/>
              </w:rPr>
            </w:pPr>
            <w:r w:rsidRPr="00AD48E8">
              <w:rPr>
                <w:rFonts w:ascii="Calibri" w:hAnsi="Calibri" w:cs="Calibri"/>
                <w:color w:val="000000"/>
              </w:rPr>
              <w:t>14.957.000</w:t>
            </w:r>
          </w:p>
        </w:tc>
        <w:tc>
          <w:tcPr>
            <w:tcW w:w="1037" w:type="dxa"/>
            <w:tcBorders>
              <w:top w:val="nil"/>
              <w:left w:val="nil"/>
              <w:bottom w:val="nil"/>
              <w:right w:val="nil"/>
            </w:tcBorders>
            <w:shd w:val="clear" w:color="auto" w:fill="auto"/>
            <w:noWrap/>
            <w:vAlign w:val="center"/>
            <w:hideMark/>
          </w:tcPr>
          <w:p w14:paraId="5878DA88" w14:textId="77777777" w:rsidR="00AD48E8" w:rsidRPr="00AD48E8" w:rsidRDefault="00AD48E8" w:rsidP="00AD48E8">
            <w:pPr>
              <w:jc w:val="center"/>
              <w:rPr>
                <w:color w:val="000000"/>
                <w:sz w:val="20"/>
                <w:szCs w:val="20"/>
              </w:rPr>
            </w:pPr>
            <w:r w:rsidRPr="00AD48E8">
              <w:rPr>
                <w:color w:val="000000"/>
                <w:sz w:val="20"/>
                <w:szCs w:val="20"/>
              </w:rPr>
              <w:t>1.798.000</w:t>
            </w:r>
          </w:p>
        </w:tc>
        <w:tc>
          <w:tcPr>
            <w:tcW w:w="1037" w:type="dxa"/>
            <w:tcBorders>
              <w:top w:val="nil"/>
              <w:left w:val="nil"/>
              <w:bottom w:val="nil"/>
              <w:right w:val="nil"/>
            </w:tcBorders>
            <w:shd w:val="clear" w:color="auto" w:fill="auto"/>
            <w:noWrap/>
            <w:vAlign w:val="center"/>
            <w:hideMark/>
          </w:tcPr>
          <w:p w14:paraId="2F6468FA" w14:textId="77777777" w:rsidR="00AD48E8" w:rsidRPr="00AD48E8" w:rsidRDefault="00AD48E8" w:rsidP="00AD48E8">
            <w:pPr>
              <w:jc w:val="center"/>
              <w:rPr>
                <w:color w:val="000000"/>
                <w:sz w:val="20"/>
                <w:szCs w:val="20"/>
              </w:rPr>
            </w:pPr>
            <w:r w:rsidRPr="00AD48E8">
              <w:rPr>
                <w:color w:val="000000"/>
                <w:sz w:val="20"/>
                <w:szCs w:val="20"/>
              </w:rPr>
              <w:t>1202%</w:t>
            </w:r>
          </w:p>
        </w:tc>
      </w:tr>
      <w:tr w:rsidR="00AD48E8" w:rsidRPr="00AD48E8" w14:paraId="1775C79D" w14:textId="77777777" w:rsidTr="00AD48E8">
        <w:trPr>
          <w:trHeight w:val="269"/>
        </w:trPr>
        <w:tc>
          <w:tcPr>
            <w:tcW w:w="5253" w:type="dxa"/>
            <w:tcBorders>
              <w:top w:val="nil"/>
              <w:left w:val="nil"/>
              <w:bottom w:val="nil"/>
              <w:right w:val="nil"/>
            </w:tcBorders>
            <w:shd w:val="clear" w:color="auto" w:fill="auto"/>
            <w:noWrap/>
            <w:vAlign w:val="center"/>
            <w:hideMark/>
          </w:tcPr>
          <w:p w14:paraId="5FA94292" w14:textId="77777777" w:rsidR="00AD48E8" w:rsidRPr="00AD48E8" w:rsidRDefault="00AD48E8" w:rsidP="00AD48E8">
            <w:pPr>
              <w:jc w:val="center"/>
              <w:rPr>
                <w:color w:val="000000"/>
                <w:sz w:val="20"/>
                <w:szCs w:val="20"/>
              </w:rPr>
            </w:pPr>
          </w:p>
        </w:tc>
        <w:tc>
          <w:tcPr>
            <w:tcW w:w="1037" w:type="dxa"/>
            <w:tcBorders>
              <w:top w:val="nil"/>
              <w:left w:val="nil"/>
              <w:bottom w:val="nil"/>
              <w:right w:val="nil"/>
            </w:tcBorders>
            <w:shd w:val="clear" w:color="auto" w:fill="auto"/>
            <w:noWrap/>
            <w:vAlign w:val="center"/>
            <w:hideMark/>
          </w:tcPr>
          <w:p w14:paraId="7B6BBA45"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6ED5E419"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1E9C76D0" w14:textId="77777777" w:rsidR="00AD48E8" w:rsidRPr="00AD48E8" w:rsidRDefault="00AD48E8" w:rsidP="00AD48E8">
            <w:pPr>
              <w:jc w:val="center"/>
              <w:rPr>
                <w:sz w:val="20"/>
                <w:szCs w:val="20"/>
              </w:rPr>
            </w:pPr>
          </w:p>
        </w:tc>
        <w:tc>
          <w:tcPr>
            <w:tcW w:w="1037" w:type="dxa"/>
            <w:tcBorders>
              <w:top w:val="nil"/>
              <w:left w:val="nil"/>
              <w:bottom w:val="nil"/>
              <w:right w:val="nil"/>
            </w:tcBorders>
            <w:shd w:val="clear" w:color="auto" w:fill="auto"/>
            <w:noWrap/>
            <w:vAlign w:val="center"/>
            <w:hideMark/>
          </w:tcPr>
          <w:p w14:paraId="7386DA68" w14:textId="77777777" w:rsidR="00AD48E8" w:rsidRPr="00AD48E8" w:rsidRDefault="00AD48E8" w:rsidP="00AD48E8">
            <w:pPr>
              <w:jc w:val="center"/>
              <w:rPr>
                <w:sz w:val="20"/>
                <w:szCs w:val="20"/>
              </w:rPr>
            </w:pPr>
          </w:p>
        </w:tc>
      </w:tr>
    </w:tbl>
    <w:p w14:paraId="485BEB54" w14:textId="25D219F6" w:rsidR="00AD48E8" w:rsidRPr="002A30E0" w:rsidRDefault="00C754D7" w:rsidP="00AD48E8">
      <w:pPr>
        <w:tabs>
          <w:tab w:val="left" w:pos="6365"/>
        </w:tabs>
        <w:jc w:val="both"/>
        <w:rPr>
          <w:color w:val="000000" w:themeColor="text1"/>
        </w:rPr>
      </w:pPr>
      <w:r w:rsidRPr="002A30E0">
        <w:rPr>
          <w:color w:val="000000" w:themeColor="text1"/>
        </w:rPr>
        <w:t>By looking at balance sheet it can be seen that the liabilities are increased in 2020 as compared to 2019.</w:t>
      </w:r>
      <w:r w:rsidR="003B1186" w:rsidRPr="002A30E0">
        <w:rPr>
          <w:color w:val="000000" w:themeColor="text1"/>
        </w:rPr>
        <w:t xml:space="preserve"> Also, current assets are also increased.</w:t>
      </w:r>
    </w:p>
    <w:p w14:paraId="3B4C6B9C" w14:textId="1DC2F4C4" w:rsidR="00AD48E8" w:rsidRPr="002A30E0" w:rsidRDefault="00AD48E8" w:rsidP="00AD48E8">
      <w:pPr>
        <w:tabs>
          <w:tab w:val="left" w:pos="6365"/>
        </w:tabs>
        <w:jc w:val="both"/>
        <w:rPr>
          <w:color w:val="000000" w:themeColor="text1"/>
        </w:rPr>
      </w:pPr>
    </w:p>
    <w:p w14:paraId="5B34C3A4" w14:textId="7789628B" w:rsidR="003B1186" w:rsidRPr="002A30E0" w:rsidRDefault="003B1186" w:rsidP="001F21DC">
      <w:pPr>
        <w:pStyle w:val="Heading1"/>
      </w:pPr>
      <w:bookmarkStart w:id="3" w:name="_Toc105014876"/>
      <w:r w:rsidRPr="002A30E0">
        <w:t>Question no 02</w:t>
      </w:r>
      <w:bookmarkEnd w:id="3"/>
    </w:p>
    <w:p w14:paraId="170B471F" w14:textId="77777777" w:rsidR="003B1186" w:rsidRPr="002A30E0" w:rsidRDefault="003B1186" w:rsidP="003B1186">
      <w:pPr>
        <w:tabs>
          <w:tab w:val="left" w:pos="6365"/>
        </w:tabs>
        <w:jc w:val="both"/>
        <w:rPr>
          <w:color w:val="000000" w:themeColor="text1"/>
        </w:rPr>
      </w:pPr>
      <w:r w:rsidRPr="002A30E0">
        <w:rPr>
          <w:color w:val="000000" w:themeColor="text1"/>
        </w:rPr>
        <w:t>In an effort to determine the most valuable financial measures as regarded by lodging general managers, corporate executives, financiers, and accommodation company owners, Schmidgall (1989) discovered that these diverse groups assign varying degrees of value to the complex economic statistics.</w:t>
      </w:r>
    </w:p>
    <w:p w14:paraId="147E0094" w14:textId="26B43C51" w:rsidR="003B1186" w:rsidRPr="002A30E0" w:rsidRDefault="003B1186" w:rsidP="003B1186">
      <w:pPr>
        <w:tabs>
          <w:tab w:val="left" w:pos="6365"/>
        </w:tabs>
        <w:jc w:val="both"/>
        <w:rPr>
          <w:color w:val="000000" w:themeColor="text1"/>
        </w:rPr>
      </w:pPr>
      <w:r w:rsidRPr="002A30E0">
        <w:rPr>
          <w:color w:val="000000" w:themeColor="text1"/>
        </w:rPr>
        <w:lastRenderedPageBreak/>
        <w:t>In instance, whereas management teams value operational and engagement ratios the highest, shareholders prioritize profitability measures. Corporate executives thought liquidity ratios were more relevant. According to the survey, solvency measures are the most relevant to bankers, while profitability and activity ratios are more valuable than others for financial executions.</w:t>
      </w:r>
    </w:p>
    <w:p w14:paraId="51D6FA27" w14:textId="77777777" w:rsidR="003A7853" w:rsidRPr="002A30E0" w:rsidRDefault="003A7853" w:rsidP="002D5F93">
      <w:pPr>
        <w:jc w:val="both"/>
        <w:rPr>
          <w:color w:val="000000" w:themeColor="text1"/>
        </w:rPr>
      </w:pPr>
      <w:r w:rsidRPr="002A30E0">
        <w:rPr>
          <w:color w:val="000000" w:themeColor="text1"/>
        </w:rPr>
        <w:t>A ratio analysis is a method used to determine a company's liquidity, production performance, profitable status, and stability. It is a statistical technique that makes use of a company's financial documents, such as the accounting records. The application of ratios and their evaluation enables the evaluation of a company's monetary overall performance. It is particularly important for shareholders such as shareholders, sellers, and creditors since it gives a quantifiable measure of the company's success. The use of percentages makes comparing the organizational value across selected period simple. Additionally, utilizing ratios makes comparing a performance of a company to that of other organizations in the same industry easier (Toppr, 2019).</w:t>
      </w:r>
    </w:p>
    <w:p w14:paraId="2070DBE2" w14:textId="77777777" w:rsidR="003A7853" w:rsidRPr="002A30E0" w:rsidRDefault="003A7853" w:rsidP="002D5F93">
      <w:pPr>
        <w:jc w:val="both"/>
        <w:rPr>
          <w:color w:val="000000" w:themeColor="text1"/>
        </w:rPr>
      </w:pPr>
      <w:r w:rsidRPr="002A30E0">
        <w:rPr>
          <w:color w:val="000000" w:themeColor="text1"/>
        </w:rPr>
        <w:t>In the financial industry, various ratios are used by enterprises. The kind of percentages to be derived is determined by the purpose of the analysis. And, of obviously, the information that will be used to compute those ratios. Typically, all of the inputs or information used to calculate these ratios may be located in an accounting estimate. Several data, of obviously, must be computed before they can be input. A company's ratios are often calculated and used in the following categories: current assets, return on assets, liquidity ratio, profitability ratio, competitive rates, and share value ratios (Accounting notes, 2017).</w:t>
      </w:r>
    </w:p>
    <w:p w14:paraId="6AF00EEB" w14:textId="7AEE46DE" w:rsidR="00E522E2" w:rsidRPr="002A30E0" w:rsidRDefault="003A7853" w:rsidP="002D5F93">
      <w:pPr>
        <w:jc w:val="both"/>
        <w:rPr>
          <w:color w:val="000000" w:themeColor="text1"/>
        </w:rPr>
      </w:pPr>
      <w:r w:rsidRPr="002A30E0">
        <w:rPr>
          <w:color w:val="000000" w:themeColor="text1"/>
        </w:rPr>
        <w:t xml:space="preserve">There is a huge quantity of accounting records in any business. Ratios are a way of summarizing a company's financial situation. These reports' readers do not need to go over the comprehensive financial records time and again. They can calculate the ratios, </w:t>
      </w:r>
      <w:r w:rsidR="00AC21B0" w:rsidRPr="002A30E0">
        <w:rPr>
          <w:color w:val="000000" w:themeColor="text1"/>
        </w:rPr>
        <w:t>analyse</w:t>
      </w:r>
      <w:r w:rsidRPr="002A30E0">
        <w:rPr>
          <w:color w:val="000000" w:themeColor="text1"/>
        </w:rPr>
        <w:t xml:space="preserve"> them, and take the required steps. </w:t>
      </w:r>
      <w:r w:rsidR="00DA50EC" w:rsidRPr="002A30E0">
        <w:rPr>
          <w:color w:val="000000" w:themeColor="text1"/>
        </w:rPr>
        <w:t>(Accounting notes, 2017)</w:t>
      </w:r>
      <w:r w:rsidR="00E522E2" w:rsidRPr="002A30E0">
        <w:rPr>
          <w:color w:val="000000" w:themeColor="text1"/>
        </w:rPr>
        <w:t>. They'll provide a wealth of information on the company's general efficiency and financial position</w:t>
      </w:r>
      <w:r w:rsidR="00DA50EC" w:rsidRPr="002A30E0">
        <w:rPr>
          <w:color w:val="000000" w:themeColor="text1"/>
        </w:rPr>
        <w:t>.</w:t>
      </w:r>
      <w:r w:rsidR="007E3780" w:rsidRPr="002A30E0">
        <w:rPr>
          <w:color w:val="000000" w:themeColor="text1"/>
        </w:rPr>
        <w:t xml:space="preserve"> </w:t>
      </w:r>
    </w:p>
    <w:p w14:paraId="47FDC5B0" w14:textId="6D95B9D7" w:rsidR="00C9275F" w:rsidRPr="002A30E0" w:rsidRDefault="00C9275F" w:rsidP="002D5F93">
      <w:pPr>
        <w:jc w:val="both"/>
        <w:rPr>
          <w:color w:val="000000" w:themeColor="text1"/>
        </w:rPr>
      </w:pPr>
    </w:p>
    <w:p w14:paraId="24076332" w14:textId="4118DB93" w:rsidR="00C9275F" w:rsidRPr="002A30E0" w:rsidRDefault="00C9275F" w:rsidP="001F21DC">
      <w:pPr>
        <w:pStyle w:val="Heading1"/>
      </w:pPr>
      <w:bookmarkStart w:id="4" w:name="_Toc105014877"/>
      <w:r w:rsidRPr="002A30E0">
        <w:t>Question no 3</w:t>
      </w:r>
      <w:bookmarkEnd w:id="4"/>
    </w:p>
    <w:p w14:paraId="0603F94F" w14:textId="77777777" w:rsidR="00D47823" w:rsidRDefault="002A30E0" w:rsidP="00C9275F">
      <w:pPr>
        <w:jc w:val="both"/>
        <w:rPr>
          <w:color w:val="000000" w:themeColor="text1"/>
        </w:rPr>
      </w:pPr>
      <w:r>
        <w:rPr>
          <w:color w:val="000000" w:themeColor="text1"/>
        </w:rPr>
        <w:t>As to why financial ratios are important for managers and stockholders for. Accompany is discussed below</w:t>
      </w:r>
      <w:r w:rsidR="00D47823">
        <w:rPr>
          <w:color w:val="000000" w:themeColor="text1"/>
        </w:rPr>
        <w:t>.</w:t>
      </w:r>
    </w:p>
    <w:p w14:paraId="7F28A601" w14:textId="178A1855" w:rsidR="00C9275F" w:rsidRPr="002A30E0" w:rsidRDefault="00C9275F" w:rsidP="00C9275F">
      <w:pPr>
        <w:jc w:val="both"/>
        <w:rPr>
          <w:color w:val="000000" w:themeColor="text1"/>
        </w:rPr>
      </w:pPr>
      <w:r w:rsidRPr="002A30E0">
        <w:rPr>
          <w:color w:val="000000" w:themeColor="text1"/>
        </w:rPr>
        <w:t xml:space="preserve">The goal of employing financial ratio analysis is to raise concerns and bring awareness to considered “ that require investigation in order to lay the groundwork, which is usually in the form of fiscal and economic policies (Al-Hasani, 1988). Elevating questions aids in determining the quality performance in the past and present, placed strategically to plan ahead in light of past accomplishments and to supervise them in such a way that the institution can use the financial analysis for the following purposes </w:t>
      </w:r>
      <w:r w:rsidR="002C0B9C">
        <w:rPr>
          <w:color w:val="000000" w:themeColor="text1"/>
        </w:rPr>
        <w:t>(Jawabreh et al, 2017</w:t>
      </w:r>
      <w:r w:rsidRPr="002A30E0">
        <w:rPr>
          <w:color w:val="000000" w:themeColor="text1"/>
        </w:rPr>
        <w:t xml:space="preserve">): • Measuring the establishment's ability to </w:t>
      </w:r>
      <w:r w:rsidR="00AC21B0" w:rsidRPr="002A30E0">
        <w:rPr>
          <w:color w:val="000000" w:themeColor="text1"/>
        </w:rPr>
        <w:t>fulfil</w:t>
      </w:r>
      <w:r w:rsidRPr="002A30E0">
        <w:rPr>
          <w:color w:val="000000" w:themeColor="text1"/>
        </w:rPr>
        <w:t xml:space="preserve"> its commitments.</w:t>
      </w:r>
    </w:p>
    <w:p w14:paraId="6860DB32" w14:textId="77777777" w:rsidR="00C9275F" w:rsidRPr="002A30E0" w:rsidRDefault="00C9275F" w:rsidP="00C9275F">
      <w:pPr>
        <w:jc w:val="both"/>
        <w:rPr>
          <w:color w:val="000000" w:themeColor="text1"/>
        </w:rPr>
      </w:pPr>
      <w:r w:rsidRPr="002A30E0">
        <w:rPr>
          <w:color w:val="000000" w:themeColor="text1"/>
        </w:rPr>
        <w:t xml:space="preserve">• Measuring the company’s earnings. </w:t>
      </w:r>
    </w:p>
    <w:p w14:paraId="55755DB6" w14:textId="5B85FB0F" w:rsidR="00C9275F" w:rsidRPr="002A30E0" w:rsidRDefault="00C9275F" w:rsidP="00C9275F">
      <w:pPr>
        <w:jc w:val="both"/>
        <w:rPr>
          <w:color w:val="000000" w:themeColor="text1"/>
        </w:rPr>
      </w:pPr>
      <w:r w:rsidRPr="002A30E0">
        <w:rPr>
          <w:color w:val="000000" w:themeColor="text1"/>
        </w:rPr>
        <w:t xml:space="preserve"> To evaluate the establishment's creditworthiness.</w:t>
      </w:r>
    </w:p>
    <w:p w14:paraId="1298F7F2" w14:textId="580682A7" w:rsidR="00C9275F" w:rsidRPr="002A30E0" w:rsidRDefault="00C9275F" w:rsidP="00C9275F">
      <w:pPr>
        <w:jc w:val="both"/>
        <w:rPr>
          <w:color w:val="000000" w:themeColor="text1"/>
        </w:rPr>
      </w:pPr>
      <w:r w:rsidRPr="002A30E0">
        <w:rPr>
          <w:color w:val="000000" w:themeColor="text1"/>
        </w:rPr>
        <w:t>• Making forecasts and setting expectations for future with the analyzed data.</w:t>
      </w:r>
    </w:p>
    <w:p w14:paraId="116CB6D0" w14:textId="303D9D6A" w:rsidR="00C9275F" w:rsidRPr="002A30E0" w:rsidRDefault="00C9275F" w:rsidP="00C9275F">
      <w:pPr>
        <w:jc w:val="both"/>
        <w:rPr>
          <w:color w:val="000000" w:themeColor="text1"/>
        </w:rPr>
      </w:pPr>
      <w:r w:rsidRPr="002A30E0">
        <w:rPr>
          <w:color w:val="000000" w:themeColor="text1"/>
        </w:rPr>
        <w:t>• Organization wealth management can be done strategically.</w:t>
      </w:r>
    </w:p>
    <w:p w14:paraId="09B94F28" w14:textId="53754717" w:rsidR="00C9275F" w:rsidRPr="002A30E0" w:rsidRDefault="00C9275F" w:rsidP="00C9275F">
      <w:pPr>
        <w:jc w:val="both"/>
        <w:rPr>
          <w:color w:val="000000" w:themeColor="text1"/>
        </w:rPr>
      </w:pPr>
      <w:r w:rsidRPr="002A30E0">
        <w:rPr>
          <w:color w:val="000000" w:themeColor="text1"/>
        </w:rPr>
        <w:t>• Financial command.</w:t>
      </w:r>
    </w:p>
    <w:p w14:paraId="251E6BD4" w14:textId="7019AA48" w:rsidR="00C9275F" w:rsidRPr="002A30E0" w:rsidRDefault="00C9275F" w:rsidP="00C9275F">
      <w:pPr>
        <w:jc w:val="both"/>
        <w:rPr>
          <w:color w:val="000000" w:themeColor="text1"/>
        </w:rPr>
      </w:pPr>
      <w:r w:rsidRPr="002A30E0">
        <w:rPr>
          <w:color w:val="000000" w:themeColor="text1"/>
        </w:rPr>
        <w:t>• Evaluating the competency of the firm's administration.</w:t>
      </w:r>
    </w:p>
    <w:p w14:paraId="71AC6081" w14:textId="4C6E940A" w:rsidR="00C9275F" w:rsidRPr="002A30E0" w:rsidRDefault="00C9275F" w:rsidP="00C9275F">
      <w:pPr>
        <w:jc w:val="both"/>
        <w:rPr>
          <w:color w:val="000000" w:themeColor="text1"/>
        </w:rPr>
      </w:pPr>
      <w:r w:rsidRPr="002A30E0">
        <w:rPr>
          <w:color w:val="000000" w:themeColor="text1"/>
        </w:rPr>
        <w:t>• Demonstrating the firm's performance.</w:t>
      </w:r>
    </w:p>
    <w:p w14:paraId="2AA058C1" w14:textId="32DA221A" w:rsidR="008928DB" w:rsidRPr="002A30E0" w:rsidRDefault="008928DB" w:rsidP="008928DB">
      <w:pPr>
        <w:jc w:val="both"/>
        <w:rPr>
          <w:color w:val="000000" w:themeColor="text1"/>
        </w:rPr>
      </w:pPr>
      <w:r w:rsidRPr="002A30E0">
        <w:rPr>
          <w:color w:val="000000" w:themeColor="text1"/>
        </w:rPr>
        <w:t xml:space="preserve">Also, if it is analysed that what are the limitation of ratio analysis in firms fiscal history. The limitations are not limited. "Economic analysis focuses substantially on educated judgment," write Hermanson </w:t>
      </w:r>
      <w:r w:rsidR="002C0B9C">
        <w:rPr>
          <w:color w:val="000000" w:themeColor="text1"/>
        </w:rPr>
        <w:t xml:space="preserve">(Nuhu, 2014). </w:t>
      </w:r>
      <w:r w:rsidRPr="002A30E0">
        <w:rPr>
          <w:color w:val="000000" w:themeColor="text1"/>
        </w:rPr>
        <w:t xml:space="preserve">Percentages and ratios are tools for comparing and identifying possible strengths and shortcomings. Furthermore, financial analysis must look for the fundamental reasons of changes and established trends." This implies that, while financial </w:t>
      </w:r>
      <w:r w:rsidRPr="002A30E0">
        <w:rPr>
          <w:color w:val="000000" w:themeColor="text1"/>
        </w:rPr>
        <w:lastRenderedPageBreak/>
        <w:t>ratios assist us in identifying areas of the organization that demand more research, making educated business decisions, and asking the proper questions, they do not give answers or solutions due to the following limitations:</w:t>
      </w:r>
    </w:p>
    <w:p w14:paraId="11ADD217" w14:textId="77777777" w:rsidR="001B2201" w:rsidRPr="002A30E0" w:rsidRDefault="008928DB" w:rsidP="008928DB">
      <w:pPr>
        <w:jc w:val="both"/>
        <w:rPr>
          <w:color w:val="000000" w:themeColor="text1"/>
        </w:rPr>
      </w:pPr>
      <w:r w:rsidRPr="002A30E0">
        <w:rPr>
          <w:color w:val="000000" w:themeColor="text1"/>
        </w:rPr>
        <w:t xml:space="preserve">• Depreciation </w:t>
      </w:r>
    </w:p>
    <w:p w14:paraId="3C08ADA7" w14:textId="77777777" w:rsidR="001B2201" w:rsidRPr="002A30E0" w:rsidRDefault="008928DB" w:rsidP="008928DB">
      <w:pPr>
        <w:jc w:val="both"/>
        <w:rPr>
          <w:color w:val="000000" w:themeColor="text1"/>
        </w:rPr>
      </w:pPr>
      <w:r w:rsidRPr="002A30E0">
        <w:rPr>
          <w:color w:val="000000" w:themeColor="text1"/>
        </w:rPr>
        <w:t xml:space="preserve">• Window Dressing </w:t>
      </w:r>
    </w:p>
    <w:p w14:paraId="314D28B3" w14:textId="77777777" w:rsidR="001B2201" w:rsidRPr="002A30E0" w:rsidRDefault="008928DB" w:rsidP="008928DB">
      <w:pPr>
        <w:jc w:val="both"/>
        <w:rPr>
          <w:color w:val="000000" w:themeColor="text1"/>
        </w:rPr>
      </w:pPr>
      <w:r w:rsidRPr="002A30E0">
        <w:rPr>
          <w:color w:val="000000" w:themeColor="text1"/>
        </w:rPr>
        <w:t xml:space="preserve">• Historical Data </w:t>
      </w:r>
    </w:p>
    <w:p w14:paraId="5BB86E4F" w14:textId="77777777" w:rsidR="001B2201" w:rsidRPr="002A30E0" w:rsidRDefault="008928DB" w:rsidP="008928DB">
      <w:pPr>
        <w:jc w:val="both"/>
        <w:rPr>
          <w:color w:val="000000" w:themeColor="text1"/>
        </w:rPr>
      </w:pPr>
      <w:r w:rsidRPr="002A30E0">
        <w:rPr>
          <w:color w:val="000000" w:themeColor="text1"/>
        </w:rPr>
        <w:t xml:space="preserve">• Company Individuality </w:t>
      </w:r>
    </w:p>
    <w:p w14:paraId="5D3AC26C" w14:textId="77777777" w:rsidR="001B2201" w:rsidRPr="002A30E0" w:rsidRDefault="008928DB" w:rsidP="008928DB">
      <w:pPr>
        <w:jc w:val="both"/>
        <w:rPr>
          <w:color w:val="000000" w:themeColor="text1"/>
        </w:rPr>
      </w:pPr>
      <w:r w:rsidRPr="002A30E0">
        <w:rPr>
          <w:color w:val="000000" w:themeColor="text1"/>
        </w:rPr>
        <w:t xml:space="preserve">• Restricted Data </w:t>
      </w:r>
    </w:p>
    <w:p w14:paraId="1961DE24" w14:textId="77777777" w:rsidR="001B2201" w:rsidRPr="002A30E0" w:rsidRDefault="008928DB" w:rsidP="008928DB">
      <w:pPr>
        <w:jc w:val="both"/>
        <w:rPr>
          <w:color w:val="000000" w:themeColor="text1"/>
        </w:rPr>
      </w:pPr>
      <w:r w:rsidRPr="002A30E0">
        <w:rPr>
          <w:color w:val="000000" w:themeColor="text1"/>
        </w:rPr>
        <w:t xml:space="preserve">• No Universal Standards </w:t>
      </w:r>
    </w:p>
    <w:p w14:paraId="1040979B" w14:textId="4E909D38" w:rsidR="008928DB" w:rsidRDefault="008928DB" w:rsidP="008928DB">
      <w:pPr>
        <w:jc w:val="both"/>
        <w:rPr>
          <w:color w:val="000000" w:themeColor="text1"/>
        </w:rPr>
      </w:pPr>
      <w:r w:rsidRPr="002A30E0">
        <w:rPr>
          <w:color w:val="000000" w:themeColor="text1"/>
        </w:rPr>
        <w:t>• Interpretation</w:t>
      </w:r>
    </w:p>
    <w:p w14:paraId="0211CDD6" w14:textId="3A6217B6" w:rsidR="00BD3BEB" w:rsidRDefault="00C60568" w:rsidP="00C60568">
      <w:pPr>
        <w:jc w:val="both"/>
        <w:rPr>
          <w:color w:val="000000" w:themeColor="text1"/>
        </w:rPr>
      </w:pPr>
      <w:r>
        <w:rPr>
          <w:color w:val="000000" w:themeColor="text1"/>
        </w:rPr>
        <w:t xml:space="preserve">Also to conclude, in addition to limitation there are few points to keep in mind while using financial ratios for the company. </w:t>
      </w:r>
      <w:r w:rsidR="002A30E0" w:rsidRPr="002A30E0">
        <w:rPr>
          <w:color w:val="000000" w:themeColor="text1"/>
        </w:rPr>
        <w:t>Investors and analysts must have a basic understanding of accounting in order to comprehend and appreciate accounting information.</w:t>
      </w:r>
      <w:r w:rsidR="00D47823">
        <w:rPr>
          <w:color w:val="000000" w:themeColor="text1"/>
        </w:rPr>
        <w:t xml:space="preserve"> </w:t>
      </w:r>
      <w:r w:rsidR="002A30E0" w:rsidRPr="002A30E0">
        <w:rPr>
          <w:color w:val="000000" w:themeColor="text1"/>
        </w:rPr>
        <w:t>Prior to actually committing to invest in a company, stockholders should thoroughly examine its financial accounts.</w:t>
      </w:r>
      <w:r w:rsidR="00D47823">
        <w:rPr>
          <w:color w:val="000000" w:themeColor="text1"/>
        </w:rPr>
        <w:t xml:space="preserve"> </w:t>
      </w:r>
      <w:r w:rsidR="002A30E0" w:rsidRPr="002A30E0">
        <w:rPr>
          <w:color w:val="000000" w:themeColor="text1"/>
        </w:rPr>
        <w:t>Financial statement users who are unable to interpret or comprehend the information included in them should seek the assistance of expert financial experts, auditors, broker - dealers, financiers, and so on</w:t>
      </w:r>
      <w:r w:rsidR="004E0117" w:rsidRPr="004E0117">
        <w:t xml:space="preserve"> </w:t>
      </w:r>
      <w:r w:rsidR="004E0117">
        <w:t>(</w:t>
      </w:r>
      <w:r w:rsidR="004E0117" w:rsidRPr="002A30E0">
        <w:t>Siddique, 2019)</w:t>
      </w:r>
      <w:r w:rsidR="002A30E0" w:rsidRPr="002A30E0">
        <w:rPr>
          <w:color w:val="000000" w:themeColor="text1"/>
        </w:rPr>
        <w:t>.</w:t>
      </w:r>
      <w:r w:rsidR="00D47823">
        <w:rPr>
          <w:color w:val="000000" w:themeColor="text1"/>
        </w:rPr>
        <w:t xml:space="preserve"> </w:t>
      </w:r>
      <w:r w:rsidR="002A30E0" w:rsidRPr="002A30E0">
        <w:rPr>
          <w:color w:val="000000" w:themeColor="text1"/>
        </w:rPr>
        <w:t>Given the significant effect that accounting information has on user decisions, it is critical that financial statements be audited by only competent and honest individuals.</w:t>
      </w:r>
      <w:r>
        <w:rPr>
          <w:color w:val="000000" w:themeColor="text1"/>
        </w:rPr>
        <w:t xml:space="preserve"> </w:t>
      </w:r>
      <w:r w:rsidRPr="00C60568">
        <w:rPr>
          <w:color w:val="000000" w:themeColor="text1"/>
        </w:rPr>
        <w:t>To prevent making incorrect judgements, conclusions, and decisions, financial ratios should be utilized with careful analysis and adequate comprehension of the meaning, significance, and consequence of the actual data provided in financial accounts.</w:t>
      </w:r>
      <w:r>
        <w:rPr>
          <w:color w:val="000000" w:themeColor="text1"/>
        </w:rPr>
        <w:t xml:space="preserve"> </w:t>
      </w:r>
      <w:r w:rsidRPr="00C60568">
        <w:rPr>
          <w:color w:val="000000" w:themeColor="text1"/>
        </w:rPr>
        <w:t>Given the multiple benefits and limits of financial measures, companies, owners, borrowers, stockholders, administrators, and other participants should utilize them with caution.</w:t>
      </w:r>
    </w:p>
    <w:p w14:paraId="59707EEB" w14:textId="77777777" w:rsidR="00BD3BEB" w:rsidRPr="002A30E0" w:rsidRDefault="00BD3BEB" w:rsidP="002A30E0">
      <w:pPr>
        <w:jc w:val="both"/>
        <w:rPr>
          <w:color w:val="000000" w:themeColor="text1"/>
        </w:rPr>
      </w:pPr>
    </w:p>
    <w:p w14:paraId="7EF56383" w14:textId="59FA494F" w:rsidR="007E3780" w:rsidRPr="002A30E0" w:rsidRDefault="007E3780" w:rsidP="001F21DC">
      <w:pPr>
        <w:pStyle w:val="Heading1"/>
        <w:rPr>
          <w:rFonts w:eastAsia="Times New Roman"/>
          <w:color w:val="auto"/>
        </w:rPr>
      </w:pPr>
      <w:bookmarkStart w:id="5" w:name="_Toc105014878"/>
      <w:r w:rsidRPr="002A30E0">
        <w:t>References</w:t>
      </w:r>
      <w:bookmarkEnd w:id="5"/>
    </w:p>
    <w:p w14:paraId="26F79FC3" w14:textId="77777777" w:rsidR="007E3780" w:rsidRPr="002A30E0" w:rsidRDefault="007E3780" w:rsidP="005B6621">
      <w:pPr>
        <w:spacing w:before="100" w:beforeAutospacing="1" w:after="100" w:afterAutospacing="1"/>
        <w:ind w:left="567" w:hanging="567"/>
      </w:pPr>
      <w:r w:rsidRPr="002A30E0">
        <w:t xml:space="preserve">Gon, W., Baker, K., Kim, A. and Baker (2005). Journal of Hospitality Financial Management, [online] 13(1), p.26. Available at: </w:t>
      </w:r>
      <w:hyperlink r:id="rId10" w:history="1">
        <w:r w:rsidRPr="002A30E0">
          <w:t>https://scholarworks.umass.edu/cgi/viewcontent.cgi?article=1205&amp;context=jhfm</w:t>
        </w:r>
      </w:hyperlink>
      <w:r w:rsidRPr="002A30E0">
        <w:t>.</w:t>
      </w:r>
    </w:p>
    <w:p w14:paraId="04B8C965" w14:textId="77EF2BCF" w:rsidR="007E3780" w:rsidRPr="002C0B9C" w:rsidRDefault="002C0B9C" w:rsidP="002C0B9C">
      <w:pPr>
        <w:spacing w:before="100" w:beforeAutospacing="1" w:after="100" w:afterAutospacing="1"/>
        <w:ind w:left="567" w:hanging="567"/>
      </w:pPr>
      <w:r w:rsidRPr="002C0B9C">
        <w:t>Al-Hasani, S., 1988. Financial and accounting analysis. </w:t>
      </w:r>
      <w:r w:rsidRPr="002C0B9C">
        <w:rPr>
          <w:i/>
          <w:iCs/>
        </w:rPr>
        <w:t>Amman, Jordan: Dar Majdalawi for Publishing. p22-30</w:t>
      </w:r>
      <w:r w:rsidRPr="002C0B9C">
        <w:t>.</w:t>
      </w:r>
    </w:p>
    <w:p w14:paraId="2E6BF26C" w14:textId="35394B7E" w:rsidR="007E3780" w:rsidRPr="002A30E0" w:rsidRDefault="007E3780" w:rsidP="005B6621">
      <w:pPr>
        <w:spacing w:before="100" w:beforeAutospacing="1" w:after="100" w:afterAutospacing="1"/>
        <w:ind w:left="567" w:hanging="567"/>
      </w:pPr>
      <w:r w:rsidRPr="002A30E0">
        <w:t xml:space="preserve">Board Sanjay (2019). Limitations of Ratio Analysis. [online] eFinanceManagement.com. Available at: </w:t>
      </w:r>
      <w:hyperlink r:id="rId11" w:history="1">
        <w:r w:rsidRPr="002A30E0">
          <w:t>https://efinancemanagement.com/financial-analysis/limitations-of-ratio-analysis</w:t>
        </w:r>
      </w:hyperlink>
      <w:r w:rsidRPr="002A30E0">
        <w:t>.</w:t>
      </w:r>
    </w:p>
    <w:p w14:paraId="792C9D68" w14:textId="77777777" w:rsidR="005C1F04" w:rsidRPr="005C1F04" w:rsidRDefault="005C1F04" w:rsidP="005C1F04">
      <w:pPr>
        <w:spacing w:before="100" w:beforeAutospacing="1" w:after="100" w:afterAutospacing="1"/>
        <w:ind w:left="567" w:hanging="567"/>
      </w:pPr>
      <w:r w:rsidRPr="005C1F04">
        <w:t xml:space="preserve">Hayes, A., 2021. Leverage ratio. Investopedia. Available at: https://www.investopedia.com/terms/l/leverageratio.asp [Accessed June 1, 2022]. </w:t>
      </w:r>
    </w:p>
    <w:p w14:paraId="4EEA732E" w14:textId="1BC2A876" w:rsidR="00B06FD0" w:rsidRPr="00B06FD0" w:rsidRDefault="00B06FD0" w:rsidP="00B06FD0">
      <w:pPr>
        <w:spacing w:before="100" w:beforeAutospacing="1" w:after="100" w:afterAutospacing="1"/>
        <w:ind w:left="567" w:hanging="567"/>
      </w:pPr>
      <w:r w:rsidRPr="00B06FD0">
        <w:t>Ayandele, I.A.(2005), Quantitative techniques for managerial Deci</w:t>
      </w:r>
      <w:r>
        <w:t>s</w:t>
      </w:r>
      <w:r w:rsidRPr="00B06FD0">
        <w:t>ions, Ugo: Cle-print publishers. Bittel, lester R, Ronald s. Burke and Lawrence R. Lanf orge. (1984). An Introduction to business: Business in Action 2nd ed. New York: Mc Graw Hill Book company.</w:t>
      </w:r>
    </w:p>
    <w:p w14:paraId="2D34337B" w14:textId="77777777" w:rsidR="00EB5AC3" w:rsidRDefault="00EB5AC3" w:rsidP="00EB5AC3">
      <w:pPr>
        <w:spacing w:before="100" w:beforeAutospacing="1" w:after="100" w:afterAutospacing="1"/>
        <w:ind w:left="567" w:hanging="567"/>
      </w:pPr>
      <w:r w:rsidRPr="00EB5AC3">
        <w:t xml:space="preserve">Johnson, B. (1979). The cross-sectional stability of financial ratio patterns. Journal of Financial and Quantitative Analysis, 14(5), 1035-1048. </w:t>
      </w:r>
    </w:p>
    <w:p w14:paraId="786FFD13" w14:textId="2276E576" w:rsidR="005C1F04" w:rsidRPr="00AC21B0" w:rsidRDefault="00EB5AC3" w:rsidP="00AC21B0">
      <w:pPr>
        <w:spacing w:before="100" w:beforeAutospacing="1" w:after="100" w:afterAutospacing="1"/>
        <w:ind w:left="567" w:hanging="567"/>
      </w:pPr>
      <w:r w:rsidRPr="00EB5AC3">
        <w:lastRenderedPageBreak/>
        <w:t xml:space="preserve">Kaminski, K, Wetzel, T &amp; Guan, L. (2004). Can financial ratios detect fraudulent financial reporting?. Managerial Auditing Journal, 19(1), 15-23. </w:t>
      </w:r>
    </w:p>
    <w:p w14:paraId="76E9CB3C" w14:textId="77777777" w:rsidR="007E3780" w:rsidRPr="002A30E0" w:rsidRDefault="007E3780" w:rsidP="00AC21B0">
      <w:pPr>
        <w:spacing w:before="100" w:beforeAutospacing="1" w:after="100" w:afterAutospacing="1"/>
      </w:pPr>
    </w:p>
    <w:p w14:paraId="0226B283" w14:textId="77777777" w:rsidR="007E3780" w:rsidRPr="002A30E0" w:rsidRDefault="007E3780" w:rsidP="005B6621">
      <w:pPr>
        <w:spacing w:before="100" w:beforeAutospacing="1" w:after="100" w:afterAutospacing="1"/>
        <w:ind w:left="567" w:hanging="567"/>
      </w:pPr>
      <w:r w:rsidRPr="002A30E0">
        <w:t xml:space="preserve">EDUCBA. (2020). Importance of Ratio Analysis | Categories and Importance of Ratio Analysis. [online] Available at: </w:t>
      </w:r>
      <w:hyperlink r:id="rId12" w:history="1">
        <w:r w:rsidRPr="002A30E0">
          <w:t>https://www.educba.com/importance-of-ratio-analysis/</w:t>
        </w:r>
      </w:hyperlink>
      <w:r w:rsidRPr="002A30E0">
        <w:t>.</w:t>
      </w:r>
    </w:p>
    <w:p w14:paraId="219B0CDB" w14:textId="77777777" w:rsidR="007E3780" w:rsidRPr="002A30E0" w:rsidRDefault="007E3780" w:rsidP="005B6621">
      <w:pPr>
        <w:spacing w:before="100" w:beforeAutospacing="1" w:after="100" w:afterAutospacing="1"/>
        <w:ind w:left="567" w:hanging="567"/>
      </w:pPr>
    </w:p>
    <w:p w14:paraId="5448E90E" w14:textId="77777777" w:rsidR="007E3780" w:rsidRPr="002A30E0" w:rsidRDefault="007E3780" w:rsidP="005B6621">
      <w:pPr>
        <w:spacing w:before="100" w:beforeAutospacing="1" w:after="100" w:afterAutospacing="1"/>
        <w:ind w:left="567" w:hanging="567"/>
      </w:pPr>
      <w:r w:rsidRPr="002A30E0">
        <w:t xml:space="preserve">Learn Accounting: Notes, Procedures, Problems and Solutions. (2017). Importance of Ratio Analysis | Accounting. [online] Available at: </w:t>
      </w:r>
      <w:hyperlink r:id="rId13" w:history="1">
        <w:r w:rsidRPr="002A30E0">
          <w:t>https://www.accountingnotes.net/accounting/ratio-analysis-accounting/importance-of-ratio-analysis-accounting/13434</w:t>
        </w:r>
      </w:hyperlink>
      <w:r w:rsidRPr="002A30E0">
        <w:t>.</w:t>
      </w:r>
    </w:p>
    <w:p w14:paraId="1CCA5866" w14:textId="77777777" w:rsidR="002C0B9C" w:rsidRPr="002C0B9C" w:rsidRDefault="002C0B9C" w:rsidP="002C0B9C">
      <w:pPr>
        <w:spacing w:before="100" w:beforeAutospacing="1" w:after="100" w:afterAutospacing="1"/>
      </w:pPr>
      <w:r w:rsidRPr="002C0B9C">
        <w:t>Nuhu, M., 2014. Role of Ratio Analysis in Business Decisions: A Case Study NBC Maiduguri Plant. </w:t>
      </w:r>
      <w:r w:rsidRPr="002C0B9C">
        <w:rPr>
          <w:i/>
          <w:iCs/>
        </w:rPr>
        <w:t>Journal of Educational and Social Research</w:t>
      </w:r>
      <w:r w:rsidRPr="002C0B9C">
        <w:t>, </w:t>
      </w:r>
      <w:r w:rsidRPr="002C0B9C">
        <w:rPr>
          <w:i/>
          <w:iCs/>
        </w:rPr>
        <w:t>4</w:t>
      </w:r>
      <w:r w:rsidRPr="002C0B9C">
        <w:t>(5), pp.105-105.</w:t>
      </w:r>
    </w:p>
    <w:p w14:paraId="0C21911C" w14:textId="20599B71" w:rsidR="007E3780" w:rsidRPr="002C0B9C" w:rsidRDefault="002C0B9C" w:rsidP="004E0117">
      <w:pPr>
        <w:spacing w:before="100" w:beforeAutospacing="1" w:after="100" w:afterAutospacing="1"/>
      </w:pPr>
      <w:r w:rsidRPr="002C0B9C">
        <w:t>Jawabreh, O.A., Mahmoud, R.M., Alshatnawi, E. and Al Momani, E., 2017. Using Financial Analysis Methods in the Hotel Sector for the Purposes of Planning and Monitoring Case Study Al Zaitonia Hotel. </w:t>
      </w:r>
      <w:r w:rsidRPr="002C0B9C">
        <w:rPr>
          <w:i/>
          <w:iCs/>
        </w:rPr>
        <w:t>International Journal of Economics and Financial Issues</w:t>
      </w:r>
      <w:r w:rsidRPr="002C0B9C">
        <w:t>, </w:t>
      </w:r>
      <w:r w:rsidRPr="002C0B9C">
        <w:rPr>
          <w:i/>
          <w:iCs/>
        </w:rPr>
        <w:t>7</w:t>
      </w:r>
      <w:r w:rsidRPr="002C0B9C">
        <w:t>(4), pp.162-173.</w:t>
      </w:r>
    </w:p>
    <w:p w14:paraId="7EC89C89" w14:textId="77777777" w:rsidR="007E3780" w:rsidRPr="002A30E0" w:rsidRDefault="007E3780" w:rsidP="005B6621">
      <w:pPr>
        <w:spacing w:before="100" w:beforeAutospacing="1" w:after="100" w:afterAutospacing="1"/>
        <w:ind w:left="567" w:hanging="567"/>
      </w:pPr>
      <w:r w:rsidRPr="002A30E0">
        <w:t xml:space="preserve">‌ Pant, S. (2015). Ratio Analysis: Meaning, Advantages and Limitations | Accounting. [online] Your Article Library. Available at: </w:t>
      </w:r>
      <w:hyperlink r:id="rId14" w:history="1">
        <w:r w:rsidRPr="002A30E0">
          <w:t>https://www.yourarticlelibrary.com/accounting/ratio-analysis/ratio-analysis-meaning-advantages-and-limitations-accounting/65204</w:t>
        </w:r>
      </w:hyperlink>
      <w:r w:rsidRPr="002A30E0">
        <w:t>.</w:t>
      </w:r>
    </w:p>
    <w:p w14:paraId="79BCD8ED" w14:textId="77777777" w:rsidR="007E3780" w:rsidRPr="002A30E0" w:rsidRDefault="007E3780" w:rsidP="005B6621">
      <w:pPr>
        <w:spacing w:before="100" w:beforeAutospacing="1" w:after="100" w:afterAutospacing="1"/>
        <w:ind w:left="567" w:hanging="567"/>
      </w:pPr>
      <w:r w:rsidRPr="002A30E0">
        <w:t xml:space="preserve">Finance Strategists. (2019). What Is Ratio Analysis? | Definition, Importance and Limitations. [online] Available at: </w:t>
      </w:r>
      <w:hyperlink r:id="rId15" w:history="1">
        <w:r w:rsidRPr="002A30E0">
          <w:t>https://learn.financestrategists.com/explanation/management-accounting/q-1-what-is-ratio-analysis-discuss-importance-and-limitations-of-ratio-analysis/</w:t>
        </w:r>
      </w:hyperlink>
      <w:r w:rsidRPr="002A30E0">
        <w:t>.</w:t>
      </w:r>
    </w:p>
    <w:p w14:paraId="61F2FC1E" w14:textId="3CCFE4E8" w:rsidR="007E3780" w:rsidRPr="002A30E0" w:rsidRDefault="007E3780" w:rsidP="005B6621">
      <w:pPr>
        <w:spacing w:before="100" w:beforeAutospacing="1" w:after="100" w:afterAutospacing="1"/>
        <w:ind w:left="567" w:hanging="567"/>
      </w:pPr>
      <w:r w:rsidRPr="002A30E0">
        <w:t>Siddique, S. (2019). </w:t>
      </w:r>
      <w:r w:rsidR="003B1186" w:rsidRPr="002A30E0">
        <w:t>Importance</w:t>
      </w:r>
      <w:r w:rsidRPr="002A30E0">
        <w:t xml:space="preserve"> of Ratio Analysis | Top 8 Uses of Ratio Analysis in Accounting. [online] Wallstreetmojo.com. Available at: </w:t>
      </w:r>
      <w:hyperlink r:id="rId16" w:history="1">
        <w:r w:rsidRPr="002A30E0">
          <w:t>https://www.wallstreetmojo.com/importance-of-ratio-analysis/</w:t>
        </w:r>
      </w:hyperlink>
      <w:r w:rsidRPr="002A30E0">
        <w:t>.</w:t>
      </w:r>
    </w:p>
    <w:p w14:paraId="338B3823" w14:textId="5966CD0C" w:rsidR="007E3780" w:rsidRPr="002A30E0" w:rsidRDefault="003E25FE" w:rsidP="006A1922">
      <w:pPr>
        <w:spacing w:before="100" w:beforeAutospacing="1" w:after="100" w:afterAutospacing="1"/>
        <w:ind w:left="567" w:hanging="567"/>
      </w:pPr>
      <w:r w:rsidRPr="003E25FE">
        <w:t xml:space="preserve">Denizci, B., 2008. </w:t>
      </w:r>
      <w:r w:rsidRPr="003E25FE">
        <w:rPr>
          <w:i/>
          <w:iCs/>
        </w:rPr>
        <w:t>hospitality financial accounting</w:t>
      </w:r>
      <w:r w:rsidRPr="003E25FE">
        <w:t xml:space="preserve">, second edition Jerry J. Weygandt, Donald E. Kieso, Paul D. Kimmel, Agnes L. DeFranco. </w:t>
      </w:r>
      <w:r w:rsidRPr="003E25FE">
        <w:rPr>
          <w:i/>
          <w:iCs/>
        </w:rPr>
        <w:t>The Journal of Hospitality Financial Management</w:t>
      </w:r>
      <w:r w:rsidRPr="003E25FE">
        <w:t xml:space="preserve">, 16(1), pp.83–85. </w:t>
      </w:r>
    </w:p>
    <w:sectPr w:rsidR="007E3780" w:rsidRPr="002A30E0" w:rsidSect="001F21D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F93"/>
    <w:rsid w:val="001B2201"/>
    <w:rsid w:val="001B3409"/>
    <w:rsid w:val="001F21DC"/>
    <w:rsid w:val="002629A1"/>
    <w:rsid w:val="002A30E0"/>
    <w:rsid w:val="002C0B9C"/>
    <w:rsid w:val="002D5F93"/>
    <w:rsid w:val="00355E0B"/>
    <w:rsid w:val="00372B73"/>
    <w:rsid w:val="00380519"/>
    <w:rsid w:val="0039169E"/>
    <w:rsid w:val="003A7853"/>
    <w:rsid w:val="003B1186"/>
    <w:rsid w:val="003E25FE"/>
    <w:rsid w:val="003E6C78"/>
    <w:rsid w:val="004E0117"/>
    <w:rsid w:val="00581BC0"/>
    <w:rsid w:val="005B6621"/>
    <w:rsid w:val="005C1F04"/>
    <w:rsid w:val="005E3893"/>
    <w:rsid w:val="006602F4"/>
    <w:rsid w:val="006A1922"/>
    <w:rsid w:val="00716D65"/>
    <w:rsid w:val="00761612"/>
    <w:rsid w:val="007E2B4A"/>
    <w:rsid w:val="007E3780"/>
    <w:rsid w:val="007F6415"/>
    <w:rsid w:val="00826FF2"/>
    <w:rsid w:val="00873E0B"/>
    <w:rsid w:val="008928DB"/>
    <w:rsid w:val="00901870"/>
    <w:rsid w:val="00975D93"/>
    <w:rsid w:val="009A756C"/>
    <w:rsid w:val="009E4B1C"/>
    <w:rsid w:val="009F6955"/>
    <w:rsid w:val="00A521FE"/>
    <w:rsid w:val="00AC21B0"/>
    <w:rsid w:val="00AD3894"/>
    <w:rsid w:val="00AD48E8"/>
    <w:rsid w:val="00B06FD0"/>
    <w:rsid w:val="00BD3BEB"/>
    <w:rsid w:val="00C2248C"/>
    <w:rsid w:val="00C60568"/>
    <w:rsid w:val="00C754D7"/>
    <w:rsid w:val="00C84979"/>
    <w:rsid w:val="00C9275F"/>
    <w:rsid w:val="00CE6B92"/>
    <w:rsid w:val="00D47823"/>
    <w:rsid w:val="00D96037"/>
    <w:rsid w:val="00DA50EC"/>
    <w:rsid w:val="00E46623"/>
    <w:rsid w:val="00E522E2"/>
    <w:rsid w:val="00EB06F6"/>
    <w:rsid w:val="00EB5AC3"/>
    <w:rsid w:val="00F312A4"/>
    <w:rsid w:val="00F532CF"/>
    <w:rsid w:val="00FB7FF0"/>
    <w:rsid w:val="00FC492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891AA"/>
  <w15:chartTrackingRefBased/>
  <w15:docId w15:val="{FD6D0932-F090-426C-A20E-2B5B90D3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B9C"/>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F21D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3780"/>
    <w:pPr>
      <w:spacing w:before="100" w:beforeAutospacing="1" w:after="100" w:afterAutospacing="1"/>
    </w:pPr>
  </w:style>
  <w:style w:type="character" w:styleId="Hyperlink">
    <w:name w:val="Hyperlink"/>
    <w:basedOn w:val="DefaultParagraphFont"/>
    <w:uiPriority w:val="99"/>
    <w:unhideWhenUsed/>
    <w:rsid w:val="007E3780"/>
    <w:rPr>
      <w:color w:val="0563C1" w:themeColor="hyperlink"/>
      <w:u w:val="single"/>
    </w:rPr>
  </w:style>
  <w:style w:type="paragraph" w:styleId="NoSpacing">
    <w:name w:val="No Spacing"/>
    <w:link w:val="NoSpacingChar"/>
    <w:uiPriority w:val="1"/>
    <w:qFormat/>
    <w:rsid w:val="001F21DC"/>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1F21DC"/>
    <w:rPr>
      <w:rFonts w:eastAsiaTheme="minorEastAsia"/>
      <w:lang w:val="en-US" w:eastAsia="zh-CN"/>
    </w:rPr>
  </w:style>
  <w:style w:type="character" w:customStyle="1" w:styleId="Heading1Char">
    <w:name w:val="Heading 1 Char"/>
    <w:basedOn w:val="DefaultParagraphFont"/>
    <w:link w:val="Heading1"/>
    <w:uiPriority w:val="9"/>
    <w:rsid w:val="001F21DC"/>
    <w:rPr>
      <w:rFonts w:asciiTheme="majorHAnsi" w:eastAsiaTheme="majorEastAsia" w:hAnsiTheme="majorHAnsi" w:cstheme="majorBidi"/>
      <w:color w:val="2F5496" w:themeColor="accent1" w:themeShade="BF"/>
      <w:sz w:val="32"/>
      <w:szCs w:val="32"/>
      <w:lang w:val="en-TR" w:eastAsia="en-GB"/>
    </w:rPr>
  </w:style>
  <w:style w:type="paragraph" w:styleId="TOCHeading">
    <w:name w:val="TOC Heading"/>
    <w:basedOn w:val="Heading1"/>
    <w:next w:val="Normal"/>
    <w:uiPriority w:val="39"/>
    <w:unhideWhenUsed/>
    <w:qFormat/>
    <w:rsid w:val="001F21DC"/>
    <w:pPr>
      <w:spacing w:line="259" w:lineRule="auto"/>
      <w:outlineLvl w:val="9"/>
    </w:pPr>
    <w:rPr>
      <w:lang w:val="en-US" w:eastAsia="en-US"/>
    </w:rPr>
  </w:style>
  <w:style w:type="paragraph" w:styleId="TOC1">
    <w:name w:val="toc 1"/>
    <w:basedOn w:val="Normal"/>
    <w:next w:val="Normal"/>
    <w:autoRedefine/>
    <w:uiPriority w:val="39"/>
    <w:unhideWhenUsed/>
    <w:rsid w:val="001F21DC"/>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3E6C78"/>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E6C78"/>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E6C78"/>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E6C78"/>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E6C78"/>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E6C78"/>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E6C78"/>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E6C78"/>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628873">
      <w:bodyDiv w:val="1"/>
      <w:marLeft w:val="0"/>
      <w:marRight w:val="0"/>
      <w:marTop w:val="0"/>
      <w:marBottom w:val="0"/>
      <w:divBdr>
        <w:top w:val="none" w:sz="0" w:space="0" w:color="auto"/>
        <w:left w:val="none" w:sz="0" w:space="0" w:color="auto"/>
        <w:bottom w:val="none" w:sz="0" w:space="0" w:color="auto"/>
        <w:right w:val="none" w:sz="0" w:space="0" w:color="auto"/>
      </w:divBdr>
      <w:divsChild>
        <w:div w:id="733356699">
          <w:marLeft w:val="0"/>
          <w:marRight w:val="0"/>
          <w:marTop w:val="0"/>
          <w:marBottom w:val="0"/>
          <w:divBdr>
            <w:top w:val="none" w:sz="0" w:space="0" w:color="auto"/>
            <w:left w:val="none" w:sz="0" w:space="0" w:color="auto"/>
            <w:bottom w:val="none" w:sz="0" w:space="0" w:color="auto"/>
            <w:right w:val="none" w:sz="0" w:space="0" w:color="auto"/>
          </w:divBdr>
        </w:div>
        <w:div w:id="879316683">
          <w:marLeft w:val="0"/>
          <w:marRight w:val="0"/>
          <w:marTop w:val="0"/>
          <w:marBottom w:val="0"/>
          <w:divBdr>
            <w:top w:val="none" w:sz="0" w:space="0" w:color="auto"/>
            <w:left w:val="none" w:sz="0" w:space="0" w:color="auto"/>
            <w:bottom w:val="none" w:sz="0" w:space="0" w:color="auto"/>
            <w:right w:val="none" w:sz="0" w:space="0" w:color="auto"/>
          </w:divBdr>
        </w:div>
        <w:div w:id="1649628903">
          <w:marLeft w:val="0"/>
          <w:marRight w:val="0"/>
          <w:marTop w:val="0"/>
          <w:marBottom w:val="0"/>
          <w:divBdr>
            <w:top w:val="none" w:sz="0" w:space="0" w:color="auto"/>
            <w:left w:val="none" w:sz="0" w:space="0" w:color="auto"/>
            <w:bottom w:val="none" w:sz="0" w:space="0" w:color="auto"/>
            <w:right w:val="none" w:sz="0" w:space="0" w:color="auto"/>
          </w:divBdr>
        </w:div>
        <w:div w:id="1975602771">
          <w:marLeft w:val="0"/>
          <w:marRight w:val="0"/>
          <w:marTop w:val="0"/>
          <w:marBottom w:val="0"/>
          <w:divBdr>
            <w:top w:val="none" w:sz="0" w:space="0" w:color="auto"/>
            <w:left w:val="none" w:sz="0" w:space="0" w:color="auto"/>
            <w:bottom w:val="none" w:sz="0" w:space="0" w:color="auto"/>
            <w:right w:val="none" w:sz="0" w:space="0" w:color="auto"/>
          </w:divBdr>
        </w:div>
        <w:div w:id="1544439353">
          <w:marLeft w:val="0"/>
          <w:marRight w:val="0"/>
          <w:marTop w:val="0"/>
          <w:marBottom w:val="0"/>
          <w:divBdr>
            <w:top w:val="none" w:sz="0" w:space="0" w:color="auto"/>
            <w:left w:val="none" w:sz="0" w:space="0" w:color="auto"/>
            <w:bottom w:val="none" w:sz="0" w:space="0" w:color="auto"/>
            <w:right w:val="none" w:sz="0" w:space="0" w:color="auto"/>
          </w:divBdr>
        </w:div>
      </w:divsChild>
    </w:div>
    <w:div w:id="526598870">
      <w:bodyDiv w:val="1"/>
      <w:marLeft w:val="0"/>
      <w:marRight w:val="0"/>
      <w:marTop w:val="0"/>
      <w:marBottom w:val="0"/>
      <w:divBdr>
        <w:top w:val="none" w:sz="0" w:space="0" w:color="auto"/>
        <w:left w:val="none" w:sz="0" w:space="0" w:color="auto"/>
        <w:bottom w:val="none" w:sz="0" w:space="0" w:color="auto"/>
        <w:right w:val="none" w:sz="0" w:space="0" w:color="auto"/>
      </w:divBdr>
    </w:div>
    <w:div w:id="642806396">
      <w:bodyDiv w:val="1"/>
      <w:marLeft w:val="0"/>
      <w:marRight w:val="0"/>
      <w:marTop w:val="0"/>
      <w:marBottom w:val="0"/>
      <w:divBdr>
        <w:top w:val="none" w:sz="0" w:space="0" w:color="auto"/>
        <w:left w:val="none" w:sz="0" w:space="0" w:color="auto"/>
        <w:bottom w:val="none" w:sz="0" w:space="0" w:color="auto"/>
        <w:right w:val="none" w:sz="0" w:space="0" w:color="auto"/>
      </w:divBdr>
    </w:div>
    <w:div w:id="693113245">
      <w:bodyDiv w:val="1"/>
      <w:marLeft w:val="0"/>
      <w:marRight w:val="0"/>
      <w:marTop w:val="0"/>
      <w:marBottom w:val="0"/>
      <w:divBdr>
        <w:top w:val="none" w:sz="0" w:space="0" w:color="auto"/>
        <w:left w:val="none" w:sz="0" w:space="0" w:color="auto"/>
        <w:bottom w:val="none" w:sz="0" w:space="0" w:color="auto"/>
        <w:right w:val="none" w:sz="0" w:space="0" w:color="auto"/>
      </w:divBdr>
    </w:div>
    <w:div w:id="747504019">
      <w:bodyDiv w:val="1"/>
      <w:marLeft w:val="0"/>
      <w:marRight w:val="0"/>
      <w:marTop w:val="0"/>
      <w:marBottom w:val="0"/>
      <w:divBdr>
        <w:top w:val="none" w:sz="0" w:space="0" w:color="auto"/>
        <w:left w:val="none" w:sz="0" w:space="0" w:color="auto"/>
        <w:bottom w:val="none" w:sz="0" w:space="0" w:color="auto"/>
        <w:right w:val="none" w:sz="0" w:space="0" w:color="auto"/>
      </w:divBdr>
    </w:div>
    <w:div w:id="806122863">
      <w:bodyDiv w:val="1"/>
      <w:marLeft w:val="0"/>
      <w:marRight w:val="0"/>
      <w:marTop w:val="0"/>
      <w:marBottom w:val="0"/>
      <w:divBdr>
        <w:top w:val="none" w:sz="0" w:space="0" w:color="auto"/>
        <w:left w:val="none" w:sz="0" w:space="0" w:color="auto"/>
        <w:bottom w:val="none" w:sz="0" w:space="0" w:color="auto"/>
        <w:right w:val="none" w:sz="0" w:space="0" w:color="auto"/>
      </w:divBdr>
    </w:div>
    <w:div w:id="978926245">
      <w:bodyDiv w:val="1"/>
      <w:marLeft w:val="0"/>
      <w:marRight w:val="0"/>
      <w:marTop w:val="0"/>
      <w:marBottom w:val="0"/>
      <w:divBdr>
        <w:top w:val="none" w:sz="0" w:space="0" w:color="auto"/>
        <w:left w:val="none" w:sz="0" w:space="0" w:color="auto"/>
        <w:bottom w:val="none" w:sz="0" w:space="0" w:color="auto"/>
        <w:right w:val="none" w:sz="0" w:space="0" w:color="auto"/>
      </w:divBdr>
    </w:div>
    <w:div w:id="991179968">
      <w:bodyDiv w:val="1"/>
      <w:marLeft w:val="0"/>
      <w:marRight w:val="0"/>
      <w:marTop w:val="0"/>
      <w:marBottom w:val="0"/>
      <w:divBdr>
        <w:top w:val="none" w:sz="0" w:space="0" w:color="auto"/>
        <w:left w:val="none" w:sz="0" w:space="0" w:color="auto"/>
        <w:bottom w:val="none" w:sz="0" w:space="0" w:color="auto"/>
        <w:right w:val="none" w:sz="0" w:space="0" w:color="auto"/>
      </w:divBdr>
    </w:div>
    <w:div w:id="1168445973">
      <w:bodyDiv w:val="1"/>
      <w:marLeft w:val="0"/>
      <w:marRight w:val="0"/>
      <w:marTop w:val="0"/>
      <w:marBottom w:val="0"/>
      <w:divBdr>
        <w:top w:val="none" w:sz="0" w:space="0" w:color="auto"/>
        <w:left w:val="none" w:sz="0" w:space="0" w:color="auto"/>
        <w:bottom w:val="none" w:sz="0" w:space="0" w:color="auto"/>
        <w:right w:val="none" w:sz="0" w:space="0" w:color="auto"/>
      </w:divBdr>
    </w:div>
    <w:div w:id="1178345417">
      <w:bodyDiv w:val="1"/>
      <w:marLeft w:val="0"/>
      <w:marRight w:val="0"/>
      <w:marTop w:val="0"/>
      <w:marBottom w:val="0"/>
      <w:divBdr>
        <w:top w:val="none" w:sz="0" w:space="0" w:color="auto"/>
        <w:left w:val="none" w:sz="0" w:space="0" w:color="auto"/>
        <w:bottom w:val="none" w:sz="0" w:space="0" w:color="auto"/>
        <w:right w:val="none" w:sz="0" w:space="0" w:color="auto"/>
      </w:divBdr>
    </w:div>
    <w:div w:id="1639988989">
      <w:bodyDiv w:val="1"/>
      <w:marLeft w:val="0"/>
      <w:marRight w:val="0"/>
      <w:marTop w:val="0"/>
      <w:marBottom w:val="0"/>
      <w:divBdr>
        <w:top w:val="none" w:sz="0" w:space="0" w:color="auto"/>
        <w:left w:val="none" w:sz="0" w:space="0" w:color="auto"/>
        <w:bottom w:val="none" w:sz="0" w:space="0" w:color="auto"/>
        <w:right w:val="none" w:sz="0" w:space="0" w:color="auto"/>
      </w:divBdr>
    </w:div>
    <w:div w:id="1686401916">
      <w:bodyDiv w:val="1"/>
      <w:marLeft w:val="0"/>
      <w:marRight w:val="0"/>
      <w:marTop w:val="0"/>
      <w:marBottom w:val="0"/>
      <w:divBdr>
        <w:top w:val="none" w:sz="0" w:space="0" w:color="auto"/>
        <w:left w:val="none" w:sz="0" w:space="0" w:color="auto"/>
        <w:bottom w:val="none" w:sz="0" w:space="0" w:color="auto"/>
        <w:right w:val="none" w:sz="0" w:space="0" w:color="auto"/>
      </w:divBdr>
    </w:div>
    <w:div w:id="1968655687">
      <w:bodyDiv w:val="1"/>
      <w:marLeft w:val="0"/>
      <w:marRight w:val="0"/>
      <w:marTop w:val="0"/>
      <w:marBottom w:val="0"/>
      <w:divBdr>
        <w:top w:val="none" w:sz="0" w:space="0" w:color="auto"/>
        <w:left w:val="none" w:sz="0" w:space="0" w:color="auto"/>
        <w:bottom w:val="none" w:sz="0" w:space="0" w:color="auto"/>
        <w:right w:val="none" w:sz="0" w:space="0" w:color="auto"/>
      </w:divBdr>
    </w:div>
    <w:div w:id="2019311434">
      <w:bodyDiv w:val="1"/>
      <w:marLeft w:val="0"/>
      <w:marRight w:val="0"/>
      <w:marTop w:val="0"/>
      <w:marBottom w:val="0"/>
      <w:divBdr>
        <w:top w:val="none" w:sz="0" w:space="0" w:color="auto"/>
        <w:left w:val="none" w:sz="0" w:space="0" w:color="auto"/>
        <w:bottom w:val="none" w:sz="0" w:space="0" w:color="auto"/>
        <w:right w:val="none" w:sz="0" w:space="0" w:color="auto"/>
      </w:divBdr>
    </w:div>
    <w:div w:id="209041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accountingnotes.net/accounting/ratio-analysis-accounting/importance-of-ratio-analysis-accounting/13434"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educba.com/importance-of-ratio-analysi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allstreetmojo.com/importance-of-ratio-analysi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financemanagement.com/financial-analysis/limitations-of-ratio-analysis" TargetMode="External"/><Relationship Id="rId5" Type="http://schemas.openxmlformats.org/officeDocument/2006/relationships/webSettings" Target="webSettings.xml"/><Relationship Id="rId15" Type="http://schemas.openxmlformats.org/officeDocument/2006/relationships/hyperlink" Target="https://learn.financestrategists.com/explanation/management-accounting/q-1-what-is-ratio-analysis-discuss-importance-and-limitations-of-ratio-analysis/" TargetMode="External"/><Relationship Id="rId10" Type="http://schemas.openxmlformats.org/officeDocument/2006/relationships/hyperlink" Target="https://scholarworks.umass.edu/cgi/viewcontent.cgi?article=1205&amp;context=jhf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yourarticlelibrary.com/accounting/ratio-analysis/ratio-analysis-meaning-advantages-and-limitations-accounting/6520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mac/Downloads/sofa%20horizontal%20calc.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mac/Downloads/sofa%20horizontal%20calc.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TR"/>
        </a:p>
      </c:txPr>
    </c:title>
    <c:autoTitleDeleted val="0"/>
    <c:plotArea>
      <c:layout/>
      <c:barChart>
        <c:barDir val="col"/>
        <c:grouping val="clustered"/>
        <c:varyColors val="0"/>
        <c:ser>
          <c:idx val="0"/>
          <c:order val="0"/>
          <c:tx>
            <c:strRef>
              <c:f>Sheet1!$A$7</c:f>
              <c:strCache>
                <c:ptCount val="1"/>
                <c:pt idx="0">
                  <c:v>Sales</c:v>
                </c:pt>
              </c:strCache>
            </c:strRef>
          </c:tx>
          <c:spPr>
            <a:solidFill>
              <a:schemeClr val="accent1"/>
            </a:solidFill>
            <a:ln>
              <a:noFill/>
            </a:ln>
            <a:effectLst/>
          </c:spPr>
          <c:invertIfNegative val="0"/>
          <c:val>
            <c:numRef>
              <c:f>Sheet1!$B$7:$C$7</c:f>
              <c:numCache>
                <c:formatCode>#,##0</c:formatCode>
                <c:ptCount val="2"/>
                <c:pt idx="0">
                  <c:v>4307000</c:v>
                </c:pt>
                <c:pt idx="1">
                  <c:v>9452000</c:v>
                </c:pt>
              </c:numCache>
            </c:numRef>
          </c:val>
          <c:extLst>
            <c:ext xmlns:c16="http://schemas.microsoft.com/office/drawing/2014/chart" uri="{C3380CC4-5D6E-409C-BE32-E72D297353CC}">
              <c16:uniqueId val="{00000000-FB0E-DC49-9B60-0D5108D453F7}"/>
            </c:ext>
          </c:extLst>
        </c:ser>
        <c:dLbls>
          <c:showLegendKey val="0"/>
          <c:showVal val="0"/>
          <c:showCatName val="0"/>
          <c:showSerName val="0"/>
          <c:showPercent val="0"/>
          <c:showBubbleSize val="0"/>
        </c:dLbls>
        <c:gapWidth val="219"/>
        <c:overlap val="-27"/>
        <c:axId val="2143715712"/>
        <c:axId val="78554287"/>
      </c:barChart>
      <c:catAx>
        <c:axId val="214371571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TR"/>
          </a:p>
        </c:txPr>
        <c:crossAx val="78554287"/>
        <c:crosses val="autoZero"/>
        <c:auto val="1"/>
        <c:lblAlgn val="ctr"/>
        <c:lblOffset val="100"/>
        <c:noMultiLvlLbl val="0"/>
      </c:catAx>
      <c:valAx>
        <c:axId val="7855428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TR"/>
          </a:p>
        </c:txPr>
        <c:crossAx val="21437157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TR"/>
        </a:p>
      </c:txPr>
    </c:title>
    <c:autoTitleDeleted val="0"/>
    <c:plotArea>
      <c:layout/>
      <c:barChart>
        <c:barDir val="col"/>
        <c:grouping val="clustered"/>
        <c:varyColors val="0"/>
        <c:ser>
          <c:idx val="0"/>
          <c:order val="0"/>
          <c:tx>
            <c:strRef>
              <c:f>Sheet1!$B$5:$B$6</c:f>
              <c:strCache>
                <c:ptCount val="2"/>
                <c:pt idx="0">
                  <c:v>2020</c:v>
                </c:pt>
                <c:pt idx="1">
                  <c:v>31.12.2020</c:v>
                </c:pt>
              </c:strCache>
            </c:strRef>
          </c:tx>
          <c:spPr>
            <a:solidFill>
              <a:schemeClr val="accent1"/>
            </a:solidFill>
            <a:ln>
              <a:noFill/>
            </a:ln>
            <a:effectLst/>
          </c:spPr>
          <c:invertIfNegative val="0"/>
          <c:cat>
            <c:strRef>
              <c:f>Sheet1!$A$7:$A$9</c:f>
              <c:strCache>
                <c:ptCount val="3"/>
                <c:pt idx="0">
                  <c:v>Sales</c:v>
                </c:pt>
                <c:pt idx="1">
                  <c:v>Cost of goods sold</c:v>
                </c:pt>
                <c:pt idx="2">
                  <c:v>Gross profit</c:v>
                </c:pt>
              </c:strCache>
            </c:strRef>
          </c:cat>
          <c:val>
            <c:numRef>
              <c:f>Sheet1!$B$7:$B$9</c:f>
              <c:numCache>
                <c:formatCode>#,##0</c:formatCode>
                <c:ptCount val="3"/>
                <c:pt idx="0">
                  <c:v>4307000</c:v>
                </c:pt>
                <c:pt idx="1">
                  <c:v>3724000</c:v>
                </c:pt>
                <c:pt idx="2" formatCode="General">
                  <c:v>583</c:v>
                </c:pt>
              </c:numCache>
            </c:numRef>
          </c:val>
          <c:extLst>
            <c:ext xmlns:c16="http://schemas.microsoft.com/office/drawing/2014/chart" uri="{C3380CC4-5D6E-409C-BE32-E72D297353CC}">
              <c16:uniqueId val="{00000000-DF99-6E46-A57B-667DDDAAB893}"/>
            </c:ext>
          </c:extLst>
        </c:ser>
        <c:ser>
          <c:idx val="1"/>
          <c:order val="1"/>
          <c:tx>
            <c:strRef>
              <c:f>Sheet1!$C$5:$C$6</c:f>
              <c:strCache>
                <c:ptCount val="2"/>
                <c:pt idx="0">
                  <c:v>2019</c:v>
                </c:pt>
                <c:pt idx="1">
                  <c:v>31.12.2019</c:v>
                </c:pt>
              </c:strCache>
            </c:strRef>
          </c:tx>
          <c:spPr>
            <a:solidFill>
              <a:schemeClr val="accent2"/>
            </a:solidFill>
            <a:ln>
              <a:noFill/>
            </a:ln>
            <a:effectLst/>
          </c:spPr>
          <c:invertIfNegative val="0"/>
          <c:cat>
            <c:strRef>
              <c:f>Sheet1!$A$7:$A$9</c:f>
              <c:strCache>
                <c:ptCount val="3"/>
                <c:pt idx="0">
                  <c:v>Sales</c:v>
                </c:pt>
                <c:pt idx="1">
                  <c:v>Cost of goods sold</c:v>
                </c:pt>
                <c:pt idx="2">
                  <c:v>Gross profit</c:v>
                </c:pt>
              </c:strCache>
            </c:strRef>
          </c:cat>
          <c:val>
            <c:numRef>
              <c:f>Sheet1!$C$7:$C$9</c:f>
              <c:numCache>
                <c:formatCode>#,##0</c:formatCode>
                <c:ptCount val="3"/>
                <c:pt idx="0">
                  <c:v>9452000</c:v>
                </c:pt>
                <c:pt idx="1">
                  <c:v>7017000</c:v>
                </c:pt>
                <c:pt idx="2">
                  <c:v>2435000</c:v>
                </c:pt>
              </c:numCache>
            </c:numRef>
          </c:val>
          <c:extLst>
            <c:ext xmlns:c16="http://schemas.microsoft.com/office/drawing/2014/chart" uri="{C3380CC4-5D6E-409C-BE32-E72D297353CC}">
              <c16:uniqueId val="{00000001-DF99-6E46-A57B-667DDDAAB893}"/>
            </c:ext>
          </c:extLst>
        </c:ser>
        <c:dLbls>
          <c:showLegendKey val="0"/>
          <c:showVal val="0"/>
          <c:showCatName val="0"/>
          <c:showSerName val="0"/>
          <c:showPercent val="0"/>
          <c:showBubbleSize val="0"/>
        </c:dLbls>
        <c:gapWidth val="219"/>
        <c:overlap val="-27"/>
        <c:axId val="98859487"/>
        <c:axId val="99568511"/>
      </c:barChart>
      <c:catAx>
        <c:axId val="988594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TR"/>
          </a:p>
        </c:txPr>
        <c:crossAx val="99568511"/>
        <c:crosses val="autoZero"/>
        <c:auto val="1"/>
        <c:lblAlgn val="ctr"/>
        <c:lblOffset val="100"/>
        <c:noMultiLvlLbl val="0"/>
      </c:catAx>
      <c:valAx>
        <c:axId val="995685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TR"/>
          </a:p>
        </c:txPr>
        <c:crossAx val="988594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0615A91210E14DAE2D68995BE37E02"/>
        <w:category>
          <w:name w:val="General"/>
          <w:gallery w:val="placeholder"/>
        </w:category>
        <w:types>
          <w:type w:val="bbPlcHdr"/>
        </w:types>
        <w:behaviors>
          <w:behavior w:val="content"/>
        </w:behaviors>
        <w:guid w:val="{49A8C9EE-3503-404C-ABC5-96F841EE2546}"/>
      </w:docPartPr>
      <w:docPartBody>
        <w:p w:rsidR="00EB5F3D" w:rsidRDefault="001D089D" w:rsidP="001D089D">
          <w:pPr>
            <w:pStyle w:val="AB0615A91210E14DAE2D68995BE37E02"/>
          </w:pPr>
          <w:r>
            <w:rPr>
              <w:rFonts w:asciiTheme="majorHAnsi" w:eastAsiaTheme="majorEastAsia" w:hAnsiTheme="majorHAnsi" w:cstheme="majorBidi"/>
              <w:caps/>
              <w:color w:val="4472C4" w:themeColor="accent1"/>
              <w:sz w:val="80"/>
              <w:szCs w:val="80"/>
            </w:rPr>
            <w:t>[Document title]</w:t>
          </w:r>
        </w:p>
      </w:docPartBody>
    </w:docPart>
    <w:docPart>
      <w:docPartPr>
        <w:name w:val="13DEE7237D71B64D92521BD6E5DE38FE"/>
        <w:category>
          <w:name w:val="General"/>
          <w:gallery w:val="placeholder"/>
        </w:category>
        <w:types>
          <w:type w:val="bbPlcHdr"/>
        </w:types>
        <w:behaviors>
          <w:behavior w:val="content"/>
        </w:behaviors>
        <w:guid w:val="{0AEED40E-634F-1945-982F-439A43152AEC}"/>
      </w:docPartPr>
      <w:docPartBody>
        <w:p w:rsidR="00EB5F3D" w:rsidRDefault="001D089D" w:rsidP="001D089D">
          <w:pPr>
            <w:pStyle w:val="13DEE7237D71B64D92521BD6E5DE38F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89D"/>
    <w:rsid w:val="00044E98"/>
    <w:rsid w:val="001D089D"/>
    <w:rsid w:val="007303A0"/>
    <w:rsid w:val="00EB5F3D"/>
  </w:rsids>
  <m:mathPr>
    <m:mathFont m:val="Cambria Math"/>
    <m:brkBin m:val="before"/>
    <m:brkBinSub m:val="--"/>
    <m:smallFrac m:val="0"/>
    <m:dispDef/>
    <m:lMargin m:val="0"/>
    <m:rMargin m:val="0"/>
    <m:defJc m:val="centerGroup"/>
    <m:wrapIndent m:val="1440"/>
    <m:intLim m:val="subSup"/>
    <m:naryLim m:val="undOvr"/>
  </m:mathPr>
  <w:themeFontLang w:val="en-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TR"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0615A91210E14DAE2D68995BE37E02">
    <w:name w:val="AB0615A91210E14DAE2D68995BE37E02"/>
    <w:rsid w:val="001D089D"/>
  </w:style>
  <w:style w:type="paragraph" w:customStyle="1" w:styleId="13DEE7237D71B64D92521BD6E5DE38FE">
    <w:name w:val="13DEE7237D71B64D92521BD6E5DE38FE"/>
    <w:rsid w:val="001D08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2022-06-01T00:00:00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10ABEC-CB4C-DE43-88CA-CDB1BB239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8</Pages>
  <Words>2333</Words>
  <Characters>13302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Ratio Anlysis of Hilton</dc:title>
  <dc:subject>Sofa Begum</dc:subject>
  <dc:creator>FAYAZ ABDULLAH</dc:creator>
  <cp:keywords/>
  <dc:description/>
  <cp:lastModifiedBy>Microsoft Office User</cp:lastModifiedBy>
  <cp:revision>40</cp:revision>
  <dcterms:created xsi:type="dcterms:W3CDTF">2022-05-27T08:14:00Z</dcterms:created>
  <dcterms:modified xsi:type="dcterms:W3CDTF">2022-06-01T19:29:00Z</dcterms:modified>
</cp:coreProperties>
</file>