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02">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03">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04">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05">
      <w:pPr>
        <w:rPr>
          <w:rFonts w:ascii="Arial" w:cs="Arial" w:eastAsia="Arial" w:hAnsi="Arial"/>
          <w:sz w:val="32"/>
          <w:szCs w:val="32"/>
        </w:rPr>
      </w:pPr>
      <w:r w:rsidDel="00000000" w:rsidR="00000000" w:rsidRPr="00000000">
        <w:rPr>
          <w:rFonts w:ascii="Arial" w:cs="Arial" w:eastAsia="Arial" w:hAnsi="Arial"/>
          <w:sz w:val="32"/>
          <w:szCs w:val="32"/>
          <w:rtl w:val="0"/>
        </w:rPr>
        <w:t xml:space="preserve">Module Name: Academic Skills in the Digital Era </w:t>
      </w:r>
    </w:p>
    <w:p w:rsidR="00000000" w:rsidDel="00000000" w:rsidP="00000000" w:rsidRDefault="00000000" w:rsidRPr="00000000" w14:paraId="00000006">
      <w:pPr>
        <w:rPr>
          <w:rFonts w:ascii="Arial" w:cs="Arial" w:eastAsia="Arial" w:hAnsi="Arial"/>
          <w:sz w:val="32"/>
          <w:szCs w:val="32"/>
        </w:rPr>
      </w:pPr>
      <w:r w:rsidDel="00000000" w:rsidR="00000000" w:rsidRPr="00000000">
        <w:rPr>
          <w:rFonts w:ascii="Arial" w:cs="Arial" w:eastAsia="Arial" w:hAnsi="Arial"/>
          <w:sz w:val="32"/>
          <w:szCs w:val="32"/>
          <w:rtl w:val="0"/>
        </w:rPr>
        <w:t xml:space="preserve">Module Code: BMSW4013</w:t>
      </w:r>
    </w:p>
    <w:p w:rsidR="00000000" w:rsidDel="00000000" w:rsidP="00000000" w:rsidRDefault="00000000" w:rsidRPr="00000000" w14:paraId="00000007">
      <w:pPr>
        <w:rPr>
          <w:rFonts w:ascii="Arial" w:cs="Arial" w:eastAsia="Arial" w:hAnsi="Arial"/>
          <w:sz w:val="32"/>
          <w:szCs w:val="32"/>
        </w:rPr>
      </w:pPr>
      <w:r w:rsidDel="00000000" w:rsidR="00000000" w:rsidRPr="00000000">
        <w:rPr>
          <w:rFonts w:ascii="Arial" w:cs="Arial" w:eastAsia="Arial" w:hAnsi="Arial"/>
          <w:sz w:val="32"/>
          <w:szCs w:val="32"/>
          <w:rtl w:val="0"/>
        </w:rPr>
        <w:t xml:space="preserve"> Assessment 1: E-Portfolio </w:t>
      </w:r>
    </w:p>
    <w:p w:rsidR="00000000" w:rsidDel="00000000" w:rsidP="00000000" w:rsidRDefault="00000000" w:rsidRPr="00000000" w14:paraId="00000008">
      <w:pPr>
        <w:rPr>
          <w:rFonts w:ascii="Arial" w:cs="Arial" w:eastAsia="Arial" w:hAnsi="Arial"/>
          <w:sz w:val="32"/>
          <w:szCs w:val="32"/>
        </w:rPr>
      </w:pPr>
      <w:r w:rsidDel="00000000" w:rsidR="00000000" w:rsidRPr="00000000">
        <w:rPr>
          <w:rFonts w:ascii="Arial" w:cs="Arial" w:eastAsia="Arial" w:hAnsi="Arial"/>
          <w:sz w:val="32"/>
          <w:szCs w:val="32"/>
          <w:rtl w:val="0"/>
        </w:rPr>
        <w:t xml:space="preserve">Student Name: Curtis Walker </w:t>
      </w:r>
    </w:p>
    <w:p w:rsidR="00000000" w:rsidDel="00000000" w:rsidP="00000000" w:rsidRDefault="00000000" w:rsidRPr="00000000" w14:paraId="00000009">
      <w:pPr>
        <w:rPr>
          <w:rFonts w:ascii="Arial" w:cs="Arial" w:eastAsia="Arial" w:hAnsi="Arial"/>
          <w:sz w:val="32"/>
          <w:szCs w:val="32"/>
        </w:rPr>
      </w:pPr>
      <w:r w:rsidDel="00000000" w:rsidR="00000000" w:rsidRPr="00000000">
        <w:rPr>
          <w:rFonts w:ascii="Arial" w:cs="Arial" w:eastAsia="Arial" w:hAnsi="Arial"/>
          <w:sz w:val="32"/>
          <w:szCs w:val="32"/>
          <w:rtl w:val="0"/>
        </w:rPr>
        <w:t xml:space="preserve">Student Number: 2521766</w:t>
      </w:r>
    </w:p>
    <w:p w:rsidR="00000000" w:rsidDel="00000000" w:rsidP="00000000" w:rsidRDefault="00000000" w:rsidRPr="00000000" w14:paraId="0000000A">
      <w:pPr>
        <w:rPr>
          <w:rFonts w:ascii="Arial" w:cs="Arial" w:eastAsia="Arial" w:hAnsi="Arial"/>
          <w:sz w:val="32"/>
          <w:szCs w:val="32"/>
        </w:rPr>
      </w:pPr>
      <w:r w:rsidDel="00000000" w:rsidR="00000000" w:rsidRPr="00000000">
        <w:rPr>
          <w:rFonts w:ascii="Arial" w:cs="Arial" w:eastAsia="Arial" w:hAnsi="Arial"/>
          <w:sz w:val="32"/>
          <w:szCs w:val="32"/>
          <w:rtl w:val="0"/>
        </w:rPr>
        <w:t xml:space="preserve">Lecturer: Ffion Cumberpatch</w:t>
      </w:r>
    </w:p>
    <w:p w:rsidR="00000000" w:rsidDel="00000000" w:rsidP="00000000" w:rsidRDefault="00000000" w:rsidRPr="00000000" w14:paraId="0000000B">
      <w:pPr>
        <w:rPr>
          <w:rFonts w:ascii="Arial" w:cs="Arial" w:eastAsia="Arial" w:hAnsi="Arial"/>
          <w:sz w:val="32"/>
          <w:szCs w:val="32"/>
        </w:rPr>
      </w:pPr>
      <w:r w:rsidDel="00000000" w:rsidR="00000000" w:rsidRPr="00000000">
        <w:rPr>
          <w:rFonts w:ascii="Arial" w:cs="Arial" w:eastAsia="Arial" w:hAnsi="Arial"/>
          <w:sz w:val="32"/>
          <w:szCs w:val="32"/>
          <w:rtl w:val="0"/>
        </w:rPr>
        <w:t xml:space="preserve"> Deadline: Friday 27th February 23:59PM</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AI Acknowledgement I acknowledge the use of ChatGPT (https://chat.openai.com) on 16 February 2026 to support planning and structuring this portfolio assessment. I used the following prompt(s): • “Help me structure an academic portfolio assignment.” • “Check my writing for clarity and academic tone.” • “Help summarise academic arguments concisely.” I confirm that I have not presented any AI-generated text as my own work. I confirm that I have retained copies of my drafts, notes, and other resources used before and after the use of AI tools, which may be requested as evidence.</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before="200" w:line="300" w:lineRule="auto"/>
        <w:rPr/>
      </w:pPr>
      <w:r w:rsidDel="00000000" w:rsidR="00000000" w:rsidRPr="00000000">
        <w:rPr>
          <w:rtl w:val="0"/>
        </w:rPr>
      </w:r>
    </w:p>
    <w:p w:rsidR="00000000" w:rsidDel="00000000" w:rsidP="00000000" w:rsidRDefault="00000000" w:rsidRPr="00000000" w14:paraId="00000029">
      <w:pPr>
        <w:pStyle w:val="Heading1"/>
        <w:pageBreakBefore w:val="0"/>
        <w:pBdr>
          <w:top w:space="0" w:sz="0" w:val="nil"/>
          <w:left w:space="0" w:sz="0" w:val="nil"/>
          <w:bottom w:space="0" w:sz="0" w:val="nil"/>
          <w:right w:space="0" w:sz="0" w:val="nil"/>
          <w:between w:space="0" w:sz="0" w:val="nil"/>
        </w:pBdr>
        <w:shd w:fill="auto" w:val="clear"/>
        <w:rPr/>
      </w:pPr>
      <w:bookmarkStart w:colFirst="0" w:colLast="0" w:name="_8lttogdrajrc" w:id="0"/>
      <w:bookmarkEnd w:id="0"/>
      <w:r w:rsidDel="00000000" w:rsidR="00000000" w:rsidRPr="00000000">
        <w:rPr>
          <w:rtl w:val="0"/>
        </w:rPr>
        <w:t xml:space="preserve">Contents </w:t>
      </w:r>
    </w:p>
    <w:sdt>
      <w:sdtPr>
        <w:id w:val="1046349069"/>
        <w:docPartObj>
          <w:docPartGallery w:val="Table of Contents"/>
          <w:docPartUnique w:val="1"/>
        </w:docPartObj>
      </w:sdtPr>
      <w:sdtContent>
        <w:p w:rsidR="00000000" w:rsidDel="00000000" w:rsidP="00000000" w:rsidRDefault="00000000" w:rsidRPr="00000000" w14:paraId="0000002A">
          <w:pPr>
            <w:widowControl w:val="0"/>
            <w:tabs>
              <w:tab w:val="right" w:leader="none" w:pos="12000"/>
            </w:tabs>
            <w:spacing w:before="60" w:line="240" w:lineRule="auto"/>
            <w:rPr>
              <w:b w:val="1"/>
              <w:bCs w:val="1"/>
              <w:color w:val="000000"/>
              <w:u w:val="none"/>
            </w:rPr>
          </w:pPr>
          <w:r w:rsidDel="00000000" w:rsidR="00000000" w:rsidRPr="00000000">
            <w:fldChar w:fldCharType="begin"/>
            <w:instrText xml:space="preserve"> TOC \h \u \z \t "Heading 1,1,Heading 4,4,Heading 5,5,Heading 6,6,"</w:instrText>
            <w:fldChar w:fldCharType="separate"/>
          </w:r>
          <w:hyperlink w:anchor="_8lttogdrajrc">
            <w:r w:rsidDel="00000000" w:rsidR="00000000" w:rsidRPr="00000000">
              <w:rPr>
                <w:rFonts w:ascii="Proxima Nova" w:cs="Proxima Nova" w:eastAsia="Proxima Nova" w:hAnsi="Proxima Nova"/>
                <w:b w:val="1"/>
                <w:bCs w:val="1"/>
                <w:i w:val="0"/>
                <w:iCs w:val="0"/>
                <w:smallCaps w:val="0"/>
                <w:strike w:val="0"/>
                <w:color w:val="000000"/>
                <w:sz w:val="22"/>
                <w:szCs w:val="22"/>
                <w:u w:val="none"/>
                <w:shd w:fill="auto" w:val="clear"/>
                <w:vertAlign w:val="baseline"/>
                <w:rtl w:val="0"/>
              </w:rPr>
              <w:t xml:space="preserve">Contents</w:t>
              <w:tab/>
              <w:t xml:space="preserve">2</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rPr>
              <w:b w:val="1"/>
              <w:bCs w:val="1"/>
              <w:color w:val="000000"/>
              <w:u w:val="none"/>
            </w:rPr>
          </w:pPr>
          <w:hyperlink w:anchor="_ovawxjoi07ia">
            <w:r w:rsidDel="00000000" w:rsidR="00000000" w:rsidRPr="00000000">
              <w:rPr>
                <w:rFonts w:ascii="Proxima Nova" w:cs="Proxima Nova" w:eastAsia="Proxima Nova" w:hAnsi="Proxima Nova"/>
                <w:b w:val="1"/>
                <w:bCs w:val="1"/>
                <w:i w:val="0"/>
                <w:iCs w:val="0"/>
                <w:smallCaps w:val="0"/>
                <w:strike w:val="0"/>
                <w:color w:val="000000"/>
                <w:sz w:val="22"/>
                <w:szCs w:val="22"/>
                <w:u w:val="none"/>
                <w:shd w:fill="auto" w:val="clear"/>
                <w:vertAlign w:val="baseline"/>
                <w:rtl w:val="0"/>
              </w:rPr>
              <w:t xml:space="preserve">Component 1 : Development of academic skills</w:t>
              <w:tab/>
              <w:t xml:space="preserve">3</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240" w:lineRule="auto"/>
            <w:rPr>
              <w:b w:val="1"/>
              <w:bCs w:val="1"/>
              <w:color w:val="000000"/>
              <w:u w:val="none"/>
            </w:rPr>
          </w:pPr>
          <w:hyperlink w:anchor="_7mp9u390jwkn">
            <w:r w:rsidDel="00000000" w:rsidR="00000000" w:rsidRPr="00000000">
              <w:rPr>
                <w:rFonts w:ascii="Proxima Nova" w:cs="Proxima Nova" w:eastAsia="Proxima Nova" w:hAnsi="Proxima Nova"/>
                <w:b w:val="1"/>
                <w:bCs w:val="1"/>
                <w:i w:val="0"/>
                <w:iCs w:val="0"/>
                <w:smallCaps w:val="0"/>
                <w:strike w:val="0"/>
                <w:color w:val="000000"/>
                <w:sz w:val="22"/>
                <w:szCs w:val="22"/>
                <w:u w:val="none"/>
                <w:shd w:fill="auto" w:val="clear"/>
                <w:vertAlign w:val="baseline"/>
                <w:rtl w:val="0"/>
              </w:rPr>
              <w:t xml:space="preserve">Component 2 :Application of Academic Skills</w:t>
              <w:tab/>
              <w:t xml:space="preserve">9</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240" w:lineRule="auto"/>
            <w:rPr>
              <w:b w:val="1"/>
              <w:bCs w:val="1"/>
              <w:color w:val="000000"/>
              <w:u w:val="none"/>
            </w:rPr>
          </w:pPr>
          <w:hyperlink w:anchor="_5xnn5hg8w5hi">
            <w:r w:rsidDel="00000000" w:rsidR="00000000" w:rsidRPr="00000000">
              <w:rPr>
                <w:rFonts w:ascii="Proxima Nova" w:cs="Proxima Nova" w:eastAsia="Proxima Nova" w:hAnsi="Proxima Nova"/>
                <w:b w:val="1"/>
                <w:bCs w:val="1"/>
                <w:i w:val="0"/>
                <w:iCs w:val="0"/>
                <w:smallCaps w:val="0"/>
                <w:strike w:val="0"/>
                <w:color w:val="000000"/>
                <w:sz w:val="22"/>
                <w:szCs w:val="22"/>
                <w:u w:val="none"/>
                <w:shd w:fill="auto" w:val="clear"/>
                <w:vertAlign w:val="baseline"/>
                <w:rtl w:val="0"/>
              </w:rPr>
              <w:t xml:space="preserve">Component 3: Academic poster</w:t>
              <w:tab/>
              <w:t xml:space="preserve">12</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1"/>
        <w:pageBreakBefore w:val="0"/>
        <w:pBdr>
          <w:top w:space="0" w:sz="0" w:val="nil"/>
          <w:left w:space="0" w:sz="0" w:val="nil"/>
          <w:bottom w:space="0" w:sz="0" w:val="nil"/>
          <w:right w:space="0" w:sz="0" w:val="nil"/>
          <w:between w:space="0" w:sz="0" w:val="nil"/>
        </w:pBdr>
        <w:shd w:fill="auto" w:val="clear"/>
        <w:rPr/>
      </w:pPr>
      <w:bookmarkStart w:colFirst="0" w:colLast="0" w:name="_rnq9feryrzy5" w:id="1"/>
      <w:bookmarkEnd w:id="1"/>
      <w:r w:rsidDel="00000000" w:rsidR="00000000" w:rsidRPr="00000000">
        <w:rPr>
          <w:rtl w:val="0"/>
        </w:rPr>
      </w:r>
    </w:p>
    <w:p w:rsidR="00000000" w:rsidDel="00000000" w:rsidP="00000000" w:rsidRDefault="00000000" w:rsidRPr="00000000" w14:paraId="00000030">
      <w:pPr>
        <w:pStyle w:val="Heading1"/>
        <w:pageBreakBefore w:val="0"/>
        <w:pBdr>
          <w:top w:space="0" w:sz="0" w:val="nil"/>
          <w:left w:space="0" w:sz="0" w:val="nil"/>
          <w:bottom w:space="0" w:sz="0" w:val="nil"/>
          <w:right w:space="0" w:sz="0" w:val="nil"/>
          <w:between w:space="0" w:sz="0" w:val="nil"/>
        </w:pBdr>
        <w:shd w:fill="auto" w:val="clear"/>
        <w:rPr/>
      </w:pPr>
      <w:bookmarkStart w:colFirst="0" w:colLast="0" w:name="_4gd9tv4o3im" w:id="2"/>
      <w:bookmarkEnd w:id="2"/>
      <w:r w:rsidDel="00000000" w:rsidR="00000000" w:rsidRPr="00000000">
        <w:rPr>
          <w:rtl w:val="0"/>
        </w:rPr>
      </w:r>
    </w:p>
    <w:p w:rsidR="00000000" w:rsidDel="00000000" w:rsidP="00000000" w:rsidRDefault="00000000" w:rsidRPr="00000000" w14:paraId="00000031">
      <w:pPr>
        <w:pStyle w:val="Heading1"/>
        <w:pageBreakBefore w:val="0"/>
        <w:pBdr>
          <w:top w:space="0" w:sz="0" w:val="nil"/>
          <w:left w:space="0" w:sz="0" w:val="nil"/>
          <w:bottom w:space="0" w:sz="0" w:val="nil"/>
          <w:right w:space="0" w:sz="0" w:val="nil"/>
          <w:between w:space="0" w:sz="0" w:val="nil"/>
        </w:pBdr>
        <w:shd w:fill="auto" w:val="clear"/>
        <w:rPr/>
      </w:pPr>
      <w:bookmarkStart w:colFirst="0" w:colLast="0" w:name="_8jx2wt2ud1h9" w:id="3"/>
      <w:bookmarkEnd w:id="3"/>
      <w:r w:rsidDel="00000000" w:rsidR="00000000" w:rsidRPr="00000000">
        <w:rPr>
          <w:rtl w:val="0"/>
        </w:rPr>
      </w:r>
    </w:p>
    <w:p w:rsidR="00000000" w:rsidDel="00000000" w:rsidP="00000000" w:rsidRDefault="00000000" w:rsidRPr="00000000" w14:paraId="00000032">
      <w:pPr>
        <w:pStyle w:val="Heading1"/>
        <w:pageBreakBefore w:val="0"/>
        <w:pBdr>
          <w:top w:space="0" w:sz="0" w:val="nil"/>
          <w:left w:space="0" w:sz="0" w:val="nil"/>
          <w:bottom w:space="0" w:sz="0" w:val="nil"/>
          <w:right w:space="0" w:sz="0" w:val="nil"/>
          <w:between w:space="0" w:sz="0" w:val="nil"/>
        </w:pBdr>
        <w:shd w:fill="auto" w:val="clear"/>
        <w:rPr/>
      </w:pPr>
      <w:bookmarkStart w:colFirst="0" w:colLast="0" w:name="_6qpva1eqgwvu" w:id="4"/>
      <w:bookmarkEnd w:id="4"/>
      <w:r w:rsidDel="00000000" w:rsidR="00000000" w:rsidRPr="00000000">
        <w:rPr>
          <w:rtl w:val="0"/>
        </w:rPr>
      </w:r>
    </w:p>
    <w:p w:rsidR="00000000" w:rsidDel="00000000" w:rsidP="00000000" w:rsidRDefault="00000000" w:rsidRPr="00000000" w14:paraId="00000033">
      <w:pPr>
        <w:pStyle w:val="Heading1"/>
        <w:pageBreakBefore w:val="0"/>
        <w:pBdr>
          <w:top w:space="0" w:sz="0" w:val="nil"/>
          <w:left w:space="0" w:sz="0" w:val="nil"/>
          <w:bottom w:space="0" w:sz="0" w:val="nil"/>
          <w:right w:space="0" w:sz="0" w:val="nil"/>
          <w:between w:space="0" w:sz="0" w:val="nil"/>
        </w:pBdr>
        <w:shd w:fill="auto" w:val="clear"/>
        <w:rPr/>
      </w:pPr>
      <w:bookmarkStart w:colFirst="0" w:colLast="0" w:name="_88sqlr37d8o" w:id="5"/>
      <w:bookmarkEnd w:id="5"/>
      <w:r w:rsidDel="00000000" w:rsidR="00000000" w:rsidRPr="00000000">
        <w:rPr>
          <w:rtl w:val="0"/>
        </w:rPr>
      </w:r>
    </w:p>
    <w:p w:rsidR="00000000" w:rsidDel="00000000" w:rsidP="00000000" w:rsidRDefault="00000000" w:rsidRPr="00000000" w14:paraId="00000034">
      <w:pPr>
        <w:pStyle w:val="Heading1"/>
        <w:pageBreakBefore w:val="0"/>
        <w:pBdr>
          <w:top w:space="0" w:sz="0" w:val="nil"/>
          <w:left w:space="0" w:sz="0" w:val="nil"/>
          <w:bottom w:space="0" w:sz="0" w:val="nil"/>
          <w:right w:space="0" w:sz="0" w:val="nil"/>
          <w:between w:space="0" w:sz="0" w:val="nil"/>
        </w:pBdr>
        <w:shd w:fill="auto" w:val="clear"/>
        <w:rPr/>
      </w:pPr>
      <w:bookmarkStart w:colFirst="0" w:colLast="0" w:name="_ldfeyr4e4sic" w:id="6"/>
      <w:bookmarkEnd w:id="6"/>
      <w:r w:rsidDel="00000000" w:rsidR="00000000" w:rsidRPr="00000000">
        <w:rPr>
          <w:rtl w:val="0"/>
        </w:rPr>
      </w:r>
    </w:p>
    <w:p w:rsidR="00000000" w:rsidDel="00000000" w:rsidP="00000000" w:rsidRDefault="00000000" w:rsidRPr="00000000" w14:paraId="00000035">
      <w:pPr>
        <w:pStyle w:val="Heading1"/>
        <w:pageBreakBefore w:val="0"/>
        <w:pBdr>
          <w:top w:space="0" w:sz="0" w:val="nil"/>
          <w:left w:space="0" w:sz="0" w:val="nil"/>
          <w:bottom w:space="0" w:sz="0" w:val="nil"/>
          <w:right w:space="0" w:sz="0" w:val="nil"/>
          <w:between w:space="0" w:sz="0" w:val="nil"/>
        </w:pBdr>
        <w:shd w:fill="auto" w:val="clear"/>
        <w:rPr/>
      </w:pPr>
      <w:bookmarkStart w:colFirst="0" w:colLast="0" w:name="_hodkbum5cprt" w:id="7"/>
      <w:bookmarkEnd w:id="7"/>
      <w:r w:rsidDel="00000000" w:rsidR="00000000" w:rsidRPr="00000000">
        <w:rPr>
          <w:rtl w:val="0"/>
        </w:rPr>
      </w:r>
    </w:p>
    <w:p w:rsidR="00000000" w:rsidDel="00000000" w:rsidP="00000000" w:rsidRDefault="00000000" w:rsidRPr="00000000" w14:paraId="00000036">
      <w:pPr>
        <w:pStyle w:val="Heading1"/>
        <w:pageBreakBefore w:val="0"/>
        <w:pBdr>
          <w:top w:space="0" w:sz="0" w:val="nil"/>
          <w:left w:space="0" w:sz="0" w:val="nil"/>
          <w:bottom w:space="0" w:sz="0" w:val="nil"/>
          <w:right w:space="0" w:sz="0" w:val="nil"/>
          <w:between w:space="0" w:sz="0" w:val="nil"/>
        </w:pBdr>
        <w:shd w:fill="auto" w:val="clear"/>
        <w:spacing w:before="480" w:line="300" w:lineRule="auto"/>
        <w:rPr>
          <w:rFonts w:ascii="Proxima Nova" w:cs="Proxima Nova" w:eastAsia="Proxima Nova" w:hAnsi="Proxima Nova"/>
          <w:color w:val="039be5"/>
          <w:sz w:val="36"/>
          <w:szCs w:val="36"/>
        </w:rPr>
      </w:pPr>
      <w:bookmarkStart w:colFirst="0" w:colLast="0" w:name="_wj249xa64hfo" w:id="8"/>
      <w:bookmarkEnd w:id="8"/>
      <w:r w:rsidDel="00000000" w:rsidR="00000000" w:rsidRPr="00000000">
        <w:rPr>
          <w:rtl w:val="0"/>
        </w:rPr>
      </w:r>
    </w:p>
    <w:p w:rsidR="00000000" w:rsidDel="00000000" w:rsidP="00000000" w:rsidRDefault="00000000" w:rsidRPr="00000000" w14:paraId="00000037">
      <w:pPr>
        <w:pStyle w:val="Heading1"/>
        <w:pageBreakBefore w:val="0"/>
        <w:pBdr>
          <w:top w:space="0" w:sz="0" w:val="nil"/>
          <w:left w:space="0" w:sz="0" w:val="nil"/>
          <w:bottom w:space="0" w:sz="0" w:val="nil"/>
          <w:right w:space="0" w:sz="0" w:val="nil"/>
          <w:between w:space="0" w:sz="0" w:val="nil"/>
        </w:pBdr>
        <w:shd w:fill="auto" w:val="clear"/>
        <w:spacing w:before="480" w:line="300" w:lineRule="auto"/>
        <w:rPr>
          <w:rFonts w:ascii="Proxima Nova" w:cs="Proxima Nova" w:eastAsia="Proxima Nova" w:hAnsi="Proxima Nova"/>
          <w:color w:val="039be5"/>
          <w:sz w:val="36"/>
          <w:szCs w:val="36"/>
        </w:rPr>
      </w:pPr>
      <w:bookmarkStart w:colFirst="0" w:colLast="0" w:name="_jtt03xnb5kvk" w:id="9"/>
      <w:bookmarkEnd w:id="9"/>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pageBreakBefore w:val="0"/>
        <w:pBdr>
          <w:top w:space="0" w:sz="0" w:val="nil"/>
          <w:left w:space="0" w:sz="0" w:val="nil"/>
          <w:bottom w:space="0" w:sz="0" w:val="nil"/>
          <w:right w:space="0" w:sz="0" w:val="nil"/>
          <w:between w:space="0" w:sz="0" w:val="nil"/>
        </w:pBdr>
        <w:shd w:fill="auto" w:val="clear"/>
        <w:rPr/>
      </w:pPr>
      <w:bookmarkStart w:colFirst="0" w:colLast="0" w:name="_ovawxjoi07ia" w:id="10"/>
      <w:bookmarkEnd w:id="10"/>
      <w:r w:rsidDel="00000000" w:rsidR="00000000" w:rsidRPr="00000000">
        <w:rPr>
          <w:rtl w:val="0"/>
        </w:rPr>
        <w:t xml:space="preserve">Component 1 : Development of academic skills </w:t>
      </w:r>
      <w:r w:rsidDel="00000000" w:rsidR="00000000" w:rsidRPr="00000000">
        <w:rPr>
          <w:rtl w:val="0"/>
        </w:rPr>
      </w:r>
    </w:p>
    <w:p w:rsidR="00000000" w:rsidDel="00000000" w:rsidP="00000000" w:rsidRDefault="00000000" w:rsidRPr="00000000" w14:paraId="00000039">
      <w:pPr>
        <w:pStyle w:val="Heading2"/>
        <w:keepNext w:val="0"/>
        <w:keepLines w:val="0"/>
        <w:spacing w:after="80" w:before="360" w:line="360" w:lineRule="auto"/>
        <w:rPr>
          <w:rFonts w:ascii="Arial" w:cs="Arial" w:eastAsia="Arial" w:hAnsi="Arial"/>
          <w:b w:val="1"/>
          <w:bCs w:val="1"/>
          <w:color w:val="000000"/>
          <w:sz w:val="34"/>
          <w:szCs w:val="34"/>
        </w:rPr>
      </w:pPr>
      <w:bookmarkStart w:colFirst="0" w:colLast="0" w:name="_gsrsyz28pqym" w:id="11"/>
      <w:bookmarkEnd w:id="11"/>
      <w:r w:rsidDel="00000000" w:rsidR="00000000" w:rsidRPr="00000000">
        <w:rPr>
          <w:rFonts w:ascii="Arial" w:cs="Arial" w:eastAsia="Arial" w:hAnsi="Arial"/>
          <w:b w:val="1"/>
          <w:bCs w:val="1"/>
          <w:color w:val="000000"/>
          <w:sz w:val="34"/>
          <w:szCs w:val="34"/>
          <w:rtl w:val="0"/>
        </w:rPr>
        <w:t xml:space="preserve"> Evaluating Academic Sources Using the CRAAP Test</w:t>
      </w:r>
    </w:p>
    <w:p w:rsidR="00000000" w:rsidDel="00000000" w:rsidP="00000000" w:rsidRDefault="00000000" w:rsidRPr="00000000" w14:paraId="0000003A">
      <w:pPr>
        <w:pStyle w:val="Heading3"/>
        <w:keepNext w:val="0"/>
        <w:keepLines w:val="0"/>
        <w:spacing w:after="80" w:before="280" w:line="360" w:lineRule="auto"/>
        <w:rPr>
          <w:rFonts w:ascii="Arial" w:cs="Arial" w:eastAsia="Arial" w:hAnsi="Arial"/>
          <w:b w:val="1"/>
          <w:bCs w:val="1"/>
          <w:color w:val="000000"/>
          <w:sz w:val="26"/>
          <w:szCs w:val="26"/>
        </w:rPr>
      </w:pPr>
      <w:bookmarkStart w:colFirst="0" w:colLast="0" w:name="_bfgqgvcnsqk7" w:id="12"/>
      <w:bookmarkEnd w:id="12"/>
      <w:r w:rsidDel="00000000" w:rsidR="00000000" w:rsidRPr="00000000">
        <w:rPr>
          <w:rFonts w:ascii="Arial" w:cs="Arial" w:eastAsia="Arial" w:hAnsi="Arial"/>
          <w:b w:val="1"/>
          <w:bCs w:val="1"/>
          <w:color w:val="000000"/>
          <w:sz w:val="26"/>
          <w:szCs w:val="26"/>
          <w:rtl w:val="0"/>
        </w:rPr>
        <w:t xml:space="preserve">Source 1:</w:t>
      </w:r>
    </w:p>
    <w:p w:rsidR="00000000" w:rsidDel="00000000" w:rsidP="00000000" w:rsidRDefault="00000000" w:rsidRPr="00000000" w14:paraId="0000003B">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Cottrell, S. (2019) </w:t>
      </w:r>
      <w:r w:rsidDel="00000000" w:rsidR="00000000" w:rsidRPr="00000000">
        <w:rPr>
          <w:rFonts w:ascii="Arial" w:cs="Arial" w:eastAsia="Arial" w:hAnsi="Arial"/>
          <w:i w:val="1"/>
          <w:iCs w:val="1"/>
          <w:sz w:val="24"/>
          <w:szCs w:val="24"/>
          <w:rtl w:val="0"/>
        </w:rPr>
        <w:t xml:space="preserve">The Study Skills Handbook</w:t>
      </w:r>
      <w:r w:rsidDel="00000000" w:rsidR="00000000" w:rsidRPr="00000000">
        <w:rPr>
          <w:rFonts w:ascii="Arial" w:cs="Arial" w:eastAsia="Arial" w:hAnsi="Arial"/>
          <w:sz w:val="24"/>
          <w:szCs w:val="24"/>
          <w:rtl w:val="0"/>
        </w:rPr>
        <w:t xml:space="preserve">. 5th edn. London: Macmillan Education UK.</w:t>
      </w:r>
    </w:p>
    <w:p w:rsidR="00000000" w:rsidDel="00000000" w:rsidP="00000000" w:rsidRDefault="00000000" w:rsidRPr="00000000" w14:paraId="0000003C">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source was accessed via the university library catalogue.</w:t>
      </w:r>
    </w:p>
    <w:p w:rsidR="00000000" w:rsidDel="00000000" w:rsidP="00000000" w:rsidRDefault="00000000" w:rsidRPr="00000000" w14:paraId="0000003D">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Using the CRAAP Test, this source demonstrates strong currency, having been published in 2019 in its fifth edition, indicating that the content has been updated to reflect current higher education practices, including digital research and independent online study. Relevance is high as the text addresses core academic skills such as critical reading, research strategies, and digital information management, which underpin effective participation in digital learning environments. Authority is well established; Stella Cottrell is a recognised academic skills expert, and the book is published by Macmillan Education UK, a reputable academic publisher. Accuracy is supported through alignment with established academic conventions and structured skill-development frameworks, although it functions as a skills guide rather than empirical research. The Purpose is educational, aiming to develop students’ academic competence rather than promote a particular digital platform or agenda, which strengthens its objectivity.</w:t>
      </w:r>
    </w:p>
    <w:p w:rsidR="00000000" w:rsidDel="00000000" w:rsidP="00000000" w:rsidRDefault="00000000" w:rsidRPr="00000000" w14:paraId="0000003E">
      <w:pPr>
        <w:pStyle w:val="Heading3"/>
        <w:keepNext w:val="0"/>
        <w:keepLines w:val="0"/>
        <w:spacing w:after="80" w:before="280" w:line="360" w:lineRule="auto"/>
        <w:rPr>
          <w:rFonts w:ascii="Arial" w:cs="Arial" w:eastAsia="Arial" w:hAnsi="Arial"/>
          <w:b w:val="1"/>
          <w:bCs w:val="1"/>
          <w:color w:val="000000"/>
          <w:sz w:val="26"/>
          <w:szCs w:val="26"/>
        </w:rPr>
      </w:pPr>
      <w:bookmarkStart w:colFirst="0" w:colLast="0" w:name="_o0vkum5ld4vj" w:id="13"/>
      <w:bookmarkEnd w:id="13"/>
      <w:r w:rsidDel="00000000" w:rsidR="00000000" w:rsidRPr="00000000">
        <w:rPr>
          <w:rFonts w:ascii="Arial" w:cs="Arial" w:eastAsia="Arial" w:hAnsi="Arial"/>
          <w:b w:val="1"/>
          <w:bCs w:val="1"/>
          <w:color w:val="000000"/>
          <w:sz w:val="26"/>
          <w:szCs w:val="26"/>
          <w:rtl w:val="0"/>
        </w:rPr>
        <w:t xml:space="preserve">Source 2:</w:t>
      </w:r>
    </w:p>
    <w:p w:rsidR="00000000" w:rsidDel="00000000" w:rsidP="00000000" w:rsidRDefault="00000000" w:rsidRPr="00000000" w14:paraId="0000003F">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Cottrell, S. (2023) </w:t>
      </w:r>
      <w:r w:rsidDel="00000000" w:rsidR="00000000" w:rsidRPr="00000000">
        <w:rPr>
          <w:rFonts w:ascii="Arial" w:cs="Arial" w:eastAsia="Arial" w:hAnsi="Arial"/>
          <w:i w:val="1"/>
          <w:iCs w:val="1"/>
          <w:sz w:val="24"/>
          <w:szCs w:val="24"/>
          <w:rtl w:val="0"/>
        </w:rPr>
        <w:t xml:space="preserve">Critical Thinking Skills: Effective Analysis, Argument and Reflection</w:t>
      </w:r>
      <w:r w:rsidDel="00000000" w:rsidR="00000000" w:rsidRPr="00000000">
        <w:rPr>
          <w:rFonts w:ascii="Arial" w:cs="Arial" w:eastAsia="Arial" w:hAnsi="Arial"/>
          <w:sz w:val="24"/>
          <w:szCs w:val="24"/>
          <w:rtl w:val="0"/>
        </w:rPr>
        <w:t xml:space="preserve">. 4th edn. London: Bloomsbury Academic.</w:t>
      </w:r>
    </w:p>
    <w:p w:rsidR="00000000" w:rsidDel="00000000" w:rsidP="00000000" w:rsidRDefault="00000000" w:rsidRPr="00000000" w14:paraId="00000040">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source was accessed via the university library catalogue.</w:t>
      </w:r>
    </w:p>
    <w:p w:rsidR="00000000" w:rsidDel="00000000" w:rsidP="00000000" w:rsidRDefault="00000000" w:rsidRPr="00000000" w14:paraId="00000041">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source demonstrates strong currency, having been published in 2023, making it highly relevant to contemporary higher education contexts where digital information requires careful evaluation. Relevance is significant because digital learning environments demand advanced critical thinking to assess online sources and construct academic arguments. Authority is credible due to Cottrell’s established expertise in academic development and the publication by Bloomsbury Academic, a respected academic publisher. Accuracy is supported by systematic explanation of analytical frameworks and consistency with recognised models of critical thinking used in higher education. While not empirical research, the text is grounded in established academic theory. The Purpose is to enhance analytical and reflective skills rather than advocate a particular viewpoint, demonstrating academic integrity and neutrality.</w:t>
      </w:r>
    </w:p>
    <w:p w:rsidR="00000000" w:rsidDel="00000000" w:rsidP="00000000" w:rsidRDefault="00000000" w:rsidRPr="00000000" w14:paraId="00000042">
      <w:pPr>
        <w:pStyle w:val="Heading2"/>
        <w:keepNext w:val="0"/>
        <w:keepLines w:val="0"/>
        <w:spacing w:after="80" w:before="360" w:line="360" w:lineRule="auto"/>
        <w:rPr>
          <w:rFonts w:ascii="Arial" w:cs="Arial" w:eastAsia="Arial" w:hAnsi="Arial"/>
          <w:b w:val="1"/>
          <w:bCs w:val="1"/>
          <w:color w:val="000000"/>
          <w:sz w:val="34"/>
          <w:szCs w:val="34"/>
        </w:rPr>
      </w:pPr>
      <w:bookmarkStart w:colFirst="0" w:colLast="0" w:name="_btgmq9jqfdtu" w:id="14"/>
      <w:bookmarkEnd w:id="14"/>
      <w:r w:rsidDel="00000000" w:rsidR="00000000" w:rsidRPr="00000000">
        <w:rPr>
          <w:rFonts w:ascii="Arial" w:cs="Arial" w:eastAsia="Arial" w:hAnsi="Arial"/>
          <w:b w:val="1"/>
          <w:bCs w:val="1"/>
          <w:color w:val="000000"/>
          <w:sz w:val="34"/>
          <w:szCs w:val="34"/>
          <w:rtl w:val="0"/>
        </w:rPr>
        <w:t xml:space="preserve"> 2: Synthesis of Academic Sources</w:t>
      </w:r>
    </w:p>
    <w:p w:rsidR="00000000" w:rsidDel="00000000" w:rsidP="00000000" w:rsidRDefault="00000000" w:rsidRPr="00000000" w14:paraId="00000043">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shared theme across both sources is the central importance of structured academic skill development in supporting effective learning within higher education, including digital contexts. Cottrell (2019) emphasises that successful study depends on the deliberate development of skills such as critical reading, information management and independent learning. These competencies are particularly significant in digital environments, where students must navigate large volumes of online information and manage their own learning processes. Similarly, Cottrell (2023) highlights the importance of critical thinking, analysis and reflective judgement when engaging with complex academic material, including digital sources.</w:t>
      </w:r>
    </w:p>
    <w:p w:rsidR="00000000" w:rsidDel="00000000" w:rsidP="00000000" w:rsidRDefault="00000000" w:rsidRPr="00000000" w14:paraId="00000044">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While </w:t>
      </w:r>
      <w:r w:rsidDel="00000000" w:rsidR="00000000" w:rsidRPr="00000000">
        <w:rPr>
          <w:rFonts w:ascii="Arial" w:cs="Arial" w:eastAsia="Arial" w:hAnsi="Arial"/>
          <w:i w:val="1"/>
          <w:iCs w:val="1"/>
          <w:sz w:val="24"/>
          <w:szCs w:val="24"/>
          <w:rtl w:val="0"/>
        </w:rPr>
        <w:t xml:space="preserve">The Study Skills Handbook</w:t>
      </w:r>
      <w:r w:rsidDel="00000000" w:rsidR="00000000" w:rsidRPr="00000000">
        <w:rPr>
          <w:rFonts w:ascii="Arial" w:cs="Arial" w:eastAsia="Arial" w:hAnsi="Arial"/>
          <w:sz w:val="24"/>
          <w:szCs w:val="24"/>
          <w:rtl w:val="0"/>
        </w:rPr>
        <w:t xml:space="preserve"> focuses more broadly on practical study strategies and academic organisation, </w:t>
      </w:r>
      <w:r w:rsidDel="00000000" w:rsidR="00000000" w:rsidRPr="00000000">
        <w:rPr>
          <w:rFonts w:ascii="Arial" w:cs="Arial" w:eastAsia="Arial" w:hAnsi="Arial"/>
          <w:i w:val="1"/>
          <w:iCs w:val="1"/>
          <w:sz w:val="24"/>
          <w:szCs w:val="24"/>
          <w:rtl w:val="0"/>
        </w:rPr>
        <w:t xml:space="preserve">Critical Thinking Skills</w:t>
      </w:r>
      <w:r w:rsidDel="00000000" w:rsidR="00000000" w:rsidRPr="00000000">
        <w:rPr>
          <w:rFonts w:ascii="Arial" w:cs="Arial" w:eastAsia="Arial" w:hAnsi="Arial"/>
          <w:sz w:val="24"/>
          <w:szCs w:val="24"/>
          <w:rtl w:val="0"/>
        </w:rPr>
        <w:t xml:space="preserve"> provides deeper theoretical exploration of analytical reasoning and argument construction. The 2019 text offers applied guidance on how students can structure their study effectively, whereas the 2023 publication examines the cognitive processes underpinning evaluation and interpretation. In this way, one source concentrates on academic skill application, and the other on intellectual skill development.</w:t>
      </w:r>
    </w:p>
    <w:p w:rsidR="00000000" w:rsidDel="00000000" w:rsidP="00000000" w:rsidRDefault="00000000" w:rsidRPr="00000000" w14:paraId="00000045">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Together, these sources complement one another by linking practical academic strategies with higher-level critical analysis. Synthesising these perspectives strengthens understanding by demonstrating that effective participation in digital learning environments depends not only on technical access to resources, but also on the ability to evaluate information critically, construct reasoned arguments, and engage in reflective learning. This combined insight reinforces the view that digital learning success is rooted in robust academic skill development rather than technology alone.</w:t>
      </w:r>
    </w:p>
    <w:p w:rsidR="00000000" w:rsidDel="00000000" w:rsidP="00000000" w:rsidRDefault="00000000" w:rsidRPr="00000000" w14:paraId="00000046">
      <w:pPr>
        <w:pStyle w:val="Heading2"/>
        <w:keepNext w:val="0"/>
        <w:keepLines w:val="0"/>
        <w:spacing w:after="80" w:before="360" w:line="360" w:lineRule="auto"/>
        <w:rPr>
          <w:rFonts w:ascii="Arial" w:cs="Arial" w:eastAsia="Arial" w:hAnsi="Arial"/>
          <w:b w:val="1"/>
          <w:bCs w:val="1"/>
          <w:color w:val="000000"/>
          <w:sz w:val="34"/>
          <w:szCs w:val="34"/>
        </w:rPr>
      </w:pPr>
      <w:bookmarkStart w:colFirst="0" w:colLast="0" w:name="_r30v7mxb12ia" w:id="15"/>
      <w:bookmarkEnd w:id="15"/>
      <w:r w:rsidDel="00000000" w:rsidR="00000000" w:rsidRPr="00000000">
        <w:rPr>
          <w:rFonts w:ascii="Arial" w:cs="Arial" w:eastAsia="Arial" w:hAnsi="Arial"/>
          <w:b w:val="1"/>
          <w:bCs w:val="1"/>
          <w:color w:val="000000"/>
          <w:sz w:val="34"/>
          <w:szCs w:val="34"/>
          <w:rtl w:val="0"/>
        </w:rPr>
        <w:t xml:space="preserve">3: Identifying a Key Challenge and Opportunity</w:t>
      </w:r>
    </w:p>
    <w:p w:rsidR="00000000" w:rsidDel="00000000" w:rsidP="00000000" w:rsidRDefault="00000000" w:rsidRPr="00000000" w14:paraId="00000047">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key challenge identified across both sources is the difficulty students may face in developing and applying independent academic skills within increasingly digital learning environments (Cottrell, 2019; Cottrell, 2023). Cottrell (2019) highlights that without clear structure, time management, and organised study strategies, learners can struggle to maintain focus and academic direction. In digital contexts, where learning is often self-paced and less directly supervised, these challenges may be intensified. Similarly, Cottrell (2023) emphasises that many students experience difficulty with critical evaluation and analytical reasoning, particularly when engaging with large volumes of online information. Weak critical thinking can lead to superficial learning and poor academic judgement.</w:t>
      </w:r>
    </w:p>
    <w:p w:rsidR="00000000" w:rsidDel="00000000" w:rsidP="00000000" w:rsidRDefault="00000000" w:rsidRPr="00000000" w14:paraId="00000048">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Conversely, a significant opportunity lies in the potential for digital learning environments to strengthen independence and higher-order thinking skills. When students are supported in developing structured study habits (Cottrell, 2019) and robust critical thinking frameworks (Cottrell, 2023), digital platforms can promote autonomy, flexibility, and deeper engagement with academic material. Online access to diverse sources also provides opportunities for broader research and reflective analysis. Therefore, while digital learning presents challenges related to self-regulation and evaluation, it simultaneously offers the opportunity to cultivate stronger academic independence and intellectual development when supported by effective skill-building strategies.</w:t>
      </w:r>
    </w:p>
    <w:p w:rsidR="00000000" w:rsidDel="00000000" w:rsidP="00000000" w:rsidRDefault="00000000" w:rsidRPr="00000000" w14:paraId="00000049">
      <w:pPr>
        <w:pStyle w:val="Heading2"/>
        <w:keepNext w:val="0"/>
        <w:keepLines w:val="0"/>
        <w:spacing w:after="80" w:before="360" w:lineRule="auto"/>
        <w:rPr>
          <w:rFonts w:ascii="Arial" w:cs="Arial" w:eastAsia="Arial" w:hAnsi="Arial"/>
          <w:b w:val="1"/>
          <w:bCs w:val="1"/>
          <w:color w:val="000000"/>
          <w:sz w:val="24"/>
          <w:szCs w:val="24"/>
        </w:rPr>
      </w:pPr>
      <w:bookmarkStart w:colFirst="0" w:colLast="0" w:name="_qvqgeq6yhl2d" w:id="16"/>
      <w:bookmarkEnd w:id="16"/>
      <w:r w:rsidDel="00000000" w:rsidR="00000000" w:rsidRPr="00000000">
        <w:rPr>
          <w:rFonts w:ascii="Arial" w:cs="Arial" w:eastAsia="Arial" w:hAnsi="Arial"/>
          <w:b w:val="1"/>
          <w:bCs w:val="1"/>
          <w:color w:val="000000"/>
          <w:sz w:val="24"/>
          <w:szCs w:val="24"/>
          <w:rtl w:val="0"/>
        </w:rPr>
        <w:t xml:space="preserve">4: Academic Planning</w:t>
      </w:r>
    </w:p>
    <w:p w:rsidR="00000000" w:rsidDel="00000000" w:rsidP="00000000" w:rsidRDefault="00000000" w:rsidRPr="00000000" w14:paraId="0000004A">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Component 2 will prioritise critical analysis of identified challenges and opportunities associated with digital learning in higher education before proposing evidence-based adaptation strategies. To ensure academic rigour and relevance, recent scholarly literature will be consulted through university library databases and Google Scholar, with careful evaluation using frameworks such as the CRAAP Test. This will support the selection of credible, peer-reviewed sources aligned with current higher education practice.</w:t>
      </w:r>
    </w:p>
    <w:p w:rsidR="00000000" w:rsidDel="00000000" w:rsidP="00000000" w:rsidRDefault="00000000" w:rsidRPr="00000000" w14:paraId="0000004B">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Key concepts developed in class including digital literacy, critical evaluation, independent learning, and academic planning will be expanded through integration with academic literature. The report will adopt a clear and logical structure to ensure coherence and analytical depth. It will include:</w:t>
      </w:r>
    </w:p>
    <w:p w:rsidR="00000000" w:rsidDel="00000000" w:rsidP="00000000" w:rsidRDefault="00000000" w:rsidRPr="00000000" w14:paraId="0000004C">
      <w:pPr>
        <w:numPr>
          <w:ilvl w:val="0"/>
          <w:numId w:val="1"/>
        </w:numPr>
        <w:spacing w:after="0" w:afterAutospacing="0" w:before="240" w:lineRule="auto"/>
        <w:ind w:left="720" w:hanging="360"/>
        <w:rPr>
          <w:sz w:val="24"/>
          <w:szCs w:val="24"/>
        </w:rPr>
      </w:pPr>
      <w:r w:rsidDel="00000000" w:rsidR="00000000" w:rsidRPr="00000000">
        <w:rPr>
          <w:rFonts w:ascii="Arial" w:cs="Arial" w:eastAsia="Arial" w:hAnsi="Arial"/>
          <w:b w:val="1"/>
          <w:bCs w:val="1"/>
          <w:sz w:val="24"/>
          <w:szCs w:val="24"/>
          <w:rtl w:val="0"/>
        </w:rPr>
        <w:t xml:space="preserve">Introduction</w:t>
      </w:r>
      <w:r w:rsidDel="00000000" w:rsidR="00000000" w:rsidRPr="00000000">
        <w:rPr>
          <w:rFonts w:ascii="Arial" w:cs="Arial" w:eastAsia="Arial" w:hAnsi="Arial"/>
          <w:sz w:val="24"/>
          <w:szCs w:val="24"/>
          <w:rtl w:val="0"/>
        </w:rPr>
        <w:t xml:space="preserve"> – outlining the focus and scope of the report</w:t>
      </w:r>
    </w:p>
    <w:p w:rsidR="00000000" w:rsidDel="00000000" w:rsidP="00000000" w:rsidRDefault="00000000" w:rsidRPr="00000000" w14:paraId="0000004D">
      <w:pPr>
        <w:numPr>
          <w:ilvl w:val="0"/>
          <w:numId w:val="1"/>
        </w:numPr>
        <w:spacing w:after="0" w:afterAutospacing="0" w:before="0" w:beforeAutospacing="0" w:lineRule="auto"/>
        <w:ind w:left="720" w:hanging="360"/>
        <w:rPr>
          <w:sz w:val="24"/>
          <w:szCs w:val="24"/>
        </w:rPr>
      </w:pPr>
      <w:r w:rsidDel="00000000" w:rsidR="00000000" w:rsidRPr="00000000">
        <w:rPr>
          <w:rFonts w:ascii="Arial" w:cs="Arial" w:eastAsia="Arial" w:hAnsi="Arial"/>
          <w:b w:val="1"/>
          <w:bCs w:val="1"/>
          <w:sz w:val="24"/>
          <w:szCs w:val="24"/>
          <w:rtl w:val="0"/>
        </w:rPr>
        <w:t xml:space="preserve">Challenges</w:t>
      </w:r>
      <w:r w:rsidDel="00000000" w:rsidR="00000000" w:rsidRPr="00000000">
        <w:rPr>
          <w:rFonts w:ascii="Arial" w:cs="Arial" w:eastAsia="Arial" w:hAnsi="Arial"/>
          <w:sz w:val="24"/>
          <w:szCs w:val="24"/>
          <w:rtl w:val="0"/>
        </w:rPr>
        <w:t xml:space="preserve"> – critically analysing barriers within digital learning environments</w:t>
      </w:r>
    </w:p>
    <w:p w:rsidR="00000000" w:rsidDel="00000000" w:rsidP="00000000" w:rsidRDefault="00000000" w:rsidRPr="00000000" w14:paraId="0000004E">
      <w:pPr>
        <w:numPr>
          <w:ilvl w:val="0"/>
          <w:numId w:val="1"/>
        </w:numPr>
        <w:spacing w:after="0" w:afterAutospacing="0" w:before="0" w:beforeAutospacing="0" w:lineRule="auto"/>
        <w:ind w:left="720" w:hanging="360"/>
        <w:rPr>
          <w:sz w:val="24"/>
          <w:szCs w:val="24"/>
        </w:rPr>
      </w:pPr>
      <w:r w:rsidDel="00000000" w:rsidR="00000000" w:rsidRPr="00000000">
        <w:rPr>
          <w:rFonts w:ascii="Arial" w:cs="Arial" w:eastAsia="Arial" w:hAnsi="Arial"/>
          <w:b w:val="1"/>
          <w:bCs w:val="1"/>
          <w:sz w:val="24"/>
          <w:szCs w:val="24"/>
          <w:rtl w:val="0"/>
        </w:rPr>
        <w:t xml:space="preserve">Opportunities</w:t>
      </w:r>
      <w:r w:rsidDel="00000000" w:rsidR="00000000" w:rsidRPr="00000000">
        <w:rPr>
          <w:rFonts w:ascii="Arial" w:cs="Arial" w:eastAsia="Arial" w:hAnsi="Arial"/>
          <w:sz w:val="24"/>
          <w:szCs w:val="24"/>
          <w:rtl w:val="0"/>
        </w:rPr>
        <w:t xml:space="preserve"> – evaluating potential benefits and developmental gains</w:t>
      </w:r>
    </w:p>
    <w:p w:rsidR="00000000" w:rsidDel="00000000" w:rsidP="00000000" w:rsidRDefault="00000000" w:rsidRPr="00000000" w14:paraId="0000004F">
      <w:pPr>
        <w:numPr>
          <w:ilvl w:val="0"/>
          <w:numId w:val="1"/>
        </w:numPr>
        <w:spacing w:after="0" w:afterAutospacing="0" w:before="0" w:beforeAutospacing="0" w:lineRule="auto"/>
        <w:ind w:left="720" w:hanging="360"/>
        <w:rPr>
          <w:sz w:val="24"/>
          <w:szCs w:val="24"/>
        </w:rPr>
      </w:pPr>
      <w:r w:rsidDel="00000000" w:rsidR="00000000" w:rsidRPr="00000000">
        <w:rPr>
          <w:rFonts w:ascii="Arial" w:cs="Arial" w:eastAsia="Arial" w:hAnsi="Arial"/>
          <w:b w:val="1"/>
          <w:bCs w:val="1"/>
          <w:sz w:val="24"/>
          <w:szCs w:val="24"/>
          <w:rtl w:val="0"/>
        </w:rPr>
        <w:t xml:space="preserve">Strategies for Success</w:t>
      </w:r>
      <w:r w:rsidDel="00000000" w:rsidR="00000000" w:rsidRPr="00000000">
        <w:rPr>
          <w:rFonts w:ascii="Arial" w:cs="Arial" w:eastAsia="Arial" w:hAnsi="Arial"/>
          <w:sz w:val="24"/>
          <w:szCs w:val="24"/>
          <w:rtl w:val="0"/>
        </w:rPr>
        <w:t xml:space="preserve"> – proposing practical, evidence-informed adaptations</w:t>
      </w:r>
    </w:p>
    <w:p w:rsidR="00000000" w:rsidDel="00000000" w:rsidP="00000000" w:rsidRDefault="00000000" w:rsidRPr="00000000" w14:paraId="00000050">
      <w:pPr>
        <w:numPr>
          <w:ilvl w:val="0"/>
          <w:numId w:val="1"/>
        </w:numPr>
        <w:spacing w:after="240" w:before="0" w:beforeAutospacing="0" w:lineRule="auto"/>
        <w:ind w:left="720" w:hanging="360"/>
        <w:rPr>
          <w:sz w:val="24"/>
          <w:szCs w:val="24"/>
        </w:rPr>
      </w:pPr>
      <w:r w:rsidDel="00000000" w:rsidR="00000000" w:rsidRPr="00000000">
        <w:rPr>
          <w:rFonts w:ascii="Arial" w:cs="Arial" w:eastAsia="Arial" w:hAnsi="Arial"/>
          <w:b w:val="1"/>
          <w:bCs w:val="1"/>
          <w:sz w:val="24"/>
          <w:szCs w:val="24"/>
          <w:rtl w:val="0"/>
        </w:rPr>
        <w:t xml:space="preserve">Conclusion</w:t>
      </w:r>
      <w:r w:rsidDel="00000000" w:rsidR="00000000" w:rsidRPr="00000000">
        <w:rPr>
          <w:rFonts w:ascii="Arial" w:cs="Arial" w:eastAsia="Arial" w:hAnsi="Arial"/>
          <w:sz w:val="24"/>
          <w:szCs w:val="24"/>
          <w:rtl w:val="0"/>
        </w:rPr>
        <w:t xml:space="preserve"> – synthesising key findings and reinforcing the central argument</w:t>
      </w:r>
    </w:p>
    <w:p w:rsidR="00000000" w:rsidDel="00000000" w:rsidP="00000000" w:rsidRDefault="00000000" w:rsidRPr="00000000" w14:paraId="00000051">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structured timeline will support effective task management and academic progression:</w:t>
      </w:r>
    </w:p>
    <w:tbl>
      <w:tblPr>
        <w:tblStyle w:val="Table1"/>
        <w:tblW w:w="34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20"/>
        <w:gridCol w:w="1325"/>
        <w:tblGridChange w:id="0">
          <w:tblGrid>
            <w:gridCol w:w="2120"/>
            <w:gridCol w:w="1325"/>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2">
            <w:pPr>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Task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3">
            <w:pPr>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Deadline</w:t>
            </w:r>
            <w:r w:rsidDel="00000000" w:rsidR="00000000" w:rsidRPr="00000000">
              <w:rPr>
                <w:rtl w:val="0"/>
              </w:rPr>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4">
            <w:pPr>
              <w:rPr>
                <w:rFonts w:ascii="Arial" w:cs="Arial" w:eastAsia="Arial" w:hAnsi="Arial"/>
                <w:sz w:val="24"/>
                <w:szCs w:val="24"/>
              </w:rPr>
            </w:pPr>
            <w:r w:rsidDel="00000000" w:rsidR="00000000" w:rsidRPr="00000000">
              <w:rPr>
                <w:rFonts w:ascii="Arial" w:cs="Arial" w:eastAsia="Arial" w:hAnsi="Arial"/>
                <w:sz w:val="24"/>
                <w:szCs w:val="24"/>
                <w:rtl w:val="0"/>
              </w:rPr>
              <w:t xml:space="preserve">Finish research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5">
            <w:pPr>
              <w:rPr>
                <w:rFonts w:ascii="Arial" w:cs="Arial" w:eastAsia="Arial" w:hAnsi="Arial"/>
                <w:sz w:val="24"/>
                <w:szCs w:val="24"/>
              </w:rPr>
            </w:pPr>
            <w:r w:rsidDel="00000000" w:rsidR="00000000" w:rsidRPr="00000000">
              <w:rPr>
                <w:rFonts w:ascii="Arial" w:cs="Arial" w:eastAsia="Arial" w:hAnsi="Arial"/>
                <w:sz w:val="24"/>
                <w:szCs w:val="24"/>
                <w:rtl w:val="0"/>
              </w:rPr>
              <w:t xml:space="preserve">02/02/2026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6">
            <w:pPr>
              <w:rPr>
                <w:rFonts w:ascii="Arial" w:cs="Arial" w:eastAsia="Arial" w:hAnsi="Arial"/>
                <w:sz w:val="24"/>
                <w:szCs w:val="24"/>
              </w:rPr>
            </w:pPr>
            <w:r w:rsidDel="00000000" w:rsidR="00000000" w:rsidRPr="00000000">
              <w:rPr>
                <w:rFonts w:ascii="Arial" w:cs="Arial" w:eastAsia="Arial" w:hAnsi="Arial"/>
                <w:sz w:val="24"/>
                <w:szCs w:val="24"/>
                <w:rtl w:val="0"/>
              </w:rPr>
              <w:t xml:space="preserve">Draft first section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7">
            <w:pPr>
              <w:rPr>
                <w:rFonts w:ascii="Arial" w:cs="Arial" w:eastAsia="Arial" w:hAnsi="Arial"/>
                <w:sz w:val="24"/>
                <w:szCs w:val="24"/>
              </w:rPr>
            </w:pPr>
            <w:r w:rsidDel="00000000" w:rsidR="00000000" w:rsidRPr="00000000">
              <w:rPr>
                <w:rFonts w:ascii="Arial" w:cs="Arial" w:eastAsia="Arial" w:hAnsi="Arial"/>
                <w:sz w:val="24"/>
                <w:szCs w:val="24"/>
                <w:rtl w:val="0"/>
              </w:rPr>
              <w:t xml:space="preserve">06/02/2026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8">
            <w:pPr>
              <w:rPr>
                <w:rFonts w:ascii="Arial" w:cs="Arial" w:eastAsia="Arial" w:hAnsi="Arial"/>
                <w:sz w:val="24"/>
                <w:szCs w:val="24"/>
              </w:rPr>
            </w:pPr>
            <w:r w:rsidDel="00000000" w:rsidR="00000000" w:rsidRPr="00000000">
              <w:rPr>
                <w:rFonts w:ascii="Arial" w:cs="Arial" w:eastAsia="Arial" w:hAnsi="Arial"/>
                <w:sz w:val="24"/>
                <w:szCs w:val="24"/>
                <w:rtl w:val="0"/>
              </w:rPr>
              <w:t xml:space="preserve">Complete first draft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9">
            <w:pPr>
              <w:rPr>
                <w:rFonts w:ascii="Arial" w:cs="Arial" w:eastAsia="Arial" w:hAnsi="Arial"/>
                <w:sz w:val="24"/>
                <w:szCs w:val="24"/>
              </w:rPr>
            </w:pPr>
            <w:r w:rsidDel="00000000" w:rsidR="00000000" w:rsidRPr="00000000">
              <w:rPr>
                <w:rFonts w:ascii="Arial" w:cs="Arial" w:eastAsia="Arial" w:hAnsi="Arial"/>
                <w:sz w:val="24"/>
                <w:szCs w:val="24"/>
                <w:rtl w:val="0"/>
              </w:rPr>
              <w:t xml:space="preserve">20/02/2026</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A">
            <w:pPr>
              <w:rPr>
                <w:rFonts w:ascii="Arial" w:cs="Arial" w:eastAsia="Arial" w:hAnsi="Arial"/>
                <w:sz w:val="24"/>
                <w:szCs w:val="24"/>
              </w:rPr>
            </w:pPr>
            <w:r w:rsidDel="00000000" w:rsidR="00000000" w:rsidRPr="00000000">
              <w:rPr>
                <w:rFonts w:ascii="Arial" w:cs="Arial" w:eastAsia="Arial" w:hAnsi="Arial"/>
                <w:sz w:val="24"/>
                <w:szCs w:val="24"/>
                <w:rtl w:val="0"/>
              </w:rPr>
              <w:t xml:space="preserve">Final editing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B">
            <w:pPr>
              <w:rPr>
                <w:rFonts w:ascii="Arial" w:cs="Arial" w:eastAsia="Arial" w:hAnsi="Arial"/>
                <w:sz w:val="24"/>
                <w:szCs w:val="24"/>
              </w:rPr>
            </w:pPr>
            <w:r w:rsidDel="00000000" w:rsidR="00000000" w:rsidRPr="00000000">
              <w:rPr>
                <w:rFonts w:ascii="Arial" w:cs="Arial" w:eastAsia="Arial" w:hAnsi="Arial"/>
                <w:sz w:val="24"/>
                <w:szCs w:val="24"/>
                <w:rtl w:val="0"/>
              </w:rPr>
              <w:t xml:space="preserve">25/02/2026</w:t>
            </w:r>
          </w:p>
        </w:tc>
      </w:tr>
    </w:tbl>
    <w:p w:rsidR="00000000" w:rsidDel="00000000" w:rsidP="00000000" w:rsidRDefault="00000000" w:rsidRPr="00000000" w14:paraId="0000005C">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staged approach promotes systematic development, allowing time for drafting, critical refinement, and alignment with assessment criteria.</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pStyle w:val="Heading2"/>
        <w:keepNext w:val="0"/>
        <w:keepLines w:val="0"/>
        <w:spacing w:after="80" w:before="360" w:lineRule="auto"/>
        <w:rPr>
          <w:rFonts w:ascii="Arial" w:cs="Arial" w:eastAsia="Arial" w:hAnsi="Arial"/>
          <w:b w:val="1"/>
          <w:bCs w:val="1"/>
          <w:color w:val="000000"/>
          <w:sz w:val="24"/>
          <w:szCs w:val="24"/>
        </w:rPr>
      </w:pPr>
      <w:bookmarkStart w:colFirst="0" w:colLast="0" w:name="_h56m8tcdgeyx" w:id="17"/>
      <w:bookmarkEnd w:id="17"/>
      <w:r w:rsidDel="00000000" w:rsidR="00000000" w:rsidRPr="00000000">
        <w:rPr>
          <w:rtl w:val="0"/>
        </w:rPr>
      </w:r>
    </w:p>
    <w:p w:rsidR="00000000" w:rsidDel="00000000" w:rsidP="00000000" w:rsidRDefault="00000000" w:rsidRPr="00000000" w14:paraId="0000005F">
      <w:pPr>
        <w:pStyle w:val="Heading2"/>
        <w:keepNext w:val="0"/>
        <w:keepLines w:val="0"/>
        <w:spacing w:after="80" w:before="360" w:lineRule="auto"/>
        <w:rPr>
          <w:rFonts w:ascii="Arial" w:cs="Arial" w:eastAsia="Arial" w:hAnsi="Arial"/>
          <w:b w:val="1"/>
          <w:bCs w:val="1"/>
          <w:color w:val="000000"/>
          <w:sz w:val="24"/>
          <w:szCs w:val="24"/>
        </w:rPr>
      </w:pPr>
      <w:bookmarkStart w:colFirst="0" w:colLast="0" w:name="_wwqpsuokhet6" w:id="18"/>
      <w:bookmarkEnd w:id="18"/>
      <w:r w:rsidDel="00000000" w:rsidR="00000000" w:rsidRPr="00000000">
        <w:rPr>
          <w:rtl w:val="0"/>
        </w:rPr>
      </w:r>
    </w:p>
    <w:p w:rsidR="00000000" w:rsidDel="00000000" w:rsidP="00000000" w:rsidRDefault="00000000" w:rsidRPr="00000000" w14:paraId="00000060">
      <w:pPr>
        <w:pStyle w:val="Heading2"/>
        <w:keepNext w:val="0"/>
        <w:keepLines w:val="0"/>
        <w:spacing w:after="80" w:before="360" w:lineRule="auto"/>
        <w:rPr>
          <w:rFonts w:ascii="Arial" w:cs="Arial" w:eastAsia="Arial" w:hAnsi="Arial"/>
          <w:b w:val="1"/>
          <w:bCs w:val="1"/>
          <w:color w:val="000000"/>
          <w:sz w:val="24"/>
          <w:szCs w:val="24"/>
        </w:rPr>
      </w:pPr>
      <w:bookmarkStart w:colFirst="0" w:colLast="0" w:name="_cf1vbyh7gl2n" w:id="19"/>
      <w:bookmarkEnd w:id="19"/>
      <w:r w:rsidDel="00000000" w:rsidR="00000000" w:rsidRPr="00000000">
        <w:rPr>
          <w:rtl w:val="0"/>
        </w:rPr>
      </w:r>
    </w:p>
    <w:p w:rsidR="00000000" w:rsidDel="00000000" w:rsidP="00000000" w:rsidRDefault="00000000" w:rsidRPr="00000000" w14:paraId="00000061">
      <w:pPr>
        <w:pStyle w:val="Heading2"/>
        <w:keepNext w:val="0"/>
        <w:keepLines w:val="0"/>
        <w:spacing w:after="80" w:before="360" w:lineRule="auto"/>
        <w:rPr>
          <w:rFonts w:ascii="Arial" w:cs="Arial" w:eastAsia="Arial" w:hAnsi="Arial"/>
          <w:b w:val="1"/>
          <w:bCs w:val="1"/>
          <w:color w:val="000000"/>
          <w:sz w:val="24"/>
          <w:szCs w:val="24"/>
        </w:rPr>
      </w:pPr>
      <w:bookmarkStart w:colFirst="0" w:colLast="0" w:name="_ocpi6u5jjdet" w:id="20"/>
      <w:bookmarkEnd w:id="20"/>
      <w:r w:rsidDel="00000000" w:rsidR="00000000" w:rsidRPr="00000000">
        <w:rPr>
          <w:rtl w:val="0"/>
        </w:rPr>
      </w:r>
    </w:p>
    <w:p w:rsidR="00000000" w:rsidDel="00000000" w:rsidP="00000000" w:rsidRDefault="00000000" w:rsidRPr="00000000" w14:paraId="00000062">
      <w:pPr>
        <w:pStyle w:val="Heading2"/>
        <w:keepNext w:val="0"/>
        <w:keepLines w:val="0"/>
        <w:spacing w:after="80" w:before="360" w:lineRule="auto"/>
        <w:rPr>
          <w:rFonts w:ascii="Arial" w:cs="Arial" w:eastAsia="Arial" w:hAnsi="Arial"/>
          <w:b w:val="1"/>
          <w:bCs w:val="1"/>
          <w:color w:val="000000"/>
          <w:sz w:val="24"/>
          <w:szCs w:val="24"/>
        </w:rPr>
      </w:pPr>
      <w:bookmarkStart w:colFirst="0" w:colLast="0" w:name="_u2qwrvthjkyk" w:id="21"/>
      <w:bookmarkEnd w:id="21"/>
      <w:r w:rsidDel="00000000" w:rsidR="00000000" w:rsidRPr="00000000">
        <w:rPr>
          <w:rtl w:val="0"/>
        </w:rPr>
      </w:r>
    </w:p>
    <w:p w:rsidR="00000000" w:rsidDel="00000000" w:rsidP="00000000" w:rsidRDefault="00000000" w:rsidRPr="00000000" w14:paraId="00000063">
      <w:pPr>
        <w:pStyle w:val="Heading2"/>
        <w:keepNext w:val="0"/>
        <w:keepLines w:val="0"/>
        <w:spacing w:after="80" w:before="360" w:lineRule="auto"/>
        <w:rPr>
          <w:rFonts w:ascii="Arial" w:cs="Arial" w:eastAsia="Arial" w:hAnsi="Arial"/>
          <w:b w:val="1"/>
          <w:bCs w:val="1"/>
          <w:color w:val="000000"/>
          <w:sz w:val="24"/>
          <w:szCs w:val="24"/>
        </w:rPr>
      </w:pPr>
      <w:bookmarkStart w:colFirst="0" w:colLast="0" w:name="_jhfs7xh8wt51" w:id="22"/>
      <w:bookmarkEnd w:id="22"/>
      <w:r w:rsidDel="00000000" w:rsidR="00000000" w:rsidRPr="00000000">
        <w:rPr>
          <w:rtl w:val="0"/>
        </w:rPr>
      </w:r>
    </w:p>
    <w:p w:rsidR="00000000" w:rsidDel="00000000" w:rsidP="00000000" w:rsidRDefault="00000000" w:rsidRPr="00000000" w14:paraId="00000064">
      <w:pPr>
        <w:pStyle w:val="Heading2"/>
        <w:keepNext w:val="0"/>
        <w:keepLines w:val="0"/>
        <w:spacing w:after="80" w:before="360" w:lineRule="auto"/>
        <w:rPr>
          <w:rFonts w:ascii="Arial" w:cs="Arial" w:eastAsia="Arial" w:hAnsi="Arial"/>
          <w:b w:val="1"/>
          <w:bCs w:val="1"/>
          <w:color w:val="000000"/>
          <w:sz w:val="24"/>
          <w:szCs w:val="24"/>
        </w:rPr>
      </w:pPr>
      <w:bookmarkStart w:colFirst="0" w:colLast="0" w:name="_b0xol7o5v61u" w:id="23"/>
      <w:bookmarkEnd w:id="23"/>
      <w:r w:rsidDel="00000000" w:rsidR="00000000" w:rsidRPr="00000000">
        <w:rPr>
          <w:rtl w:val="0"/>
        </w:rPr>
      </w:r>
    </w:p>
    <w:p w:rsidR="00000000" w:rsidDel="00000000" w:rsidP="00000000" w:rsidRDefault="00000000" w:rsidRPr="00000000" w14:paraId="00000065">
      <w:pPr>
        <w:pStyle w:val="Heading2"/>
        <w:keepNext w:val="0"/>
        <w:keepLines w:val="0"/>
        <w:spacing w:after="80" w:before="360" w:lineRule="auto"/>
        <w:rPr>
          <w:rFonts w:ascii="Arial" w:cs="Arial" w:eastAsia="Arial" w:hAnsi="Arial"/>
          <w:b w:val="1"/>
          <w:bCs w:val="1"/>
          <w:color w:val="000000"/>
          <w:sz w:val="24"/>
          <w:szCs w:val="24"/>
        </w:rPr>
      </w:pPr>
      <w:bookmarkStart w:colFirst="0" w:colLast="0" w:name="_dmyhfk56a89i" w:id="24"/>
      <w:bookmarkEnd w:id="24"/>
      <w:r w:rsidDel="00000000" w:rsidR="00000000" w:rsidRPr="00000000">
        <w:rPr>
          <w:rtl w:val="0"/>
        </w:rPr>
      </w:r>
    </w:p>
    <w:p w:rsidR="00000000" w:rsidDel="00000000" w:rsidP="00000000" w:rsidRDefault="00000000" w:rsidRPr="00000000" w14:paraId="00000066">
      <w:pPr>
        <w:pStyle w:val="Heading2"/>
        <w:keepNext w:val="0"/>
        <w:keepLines w:val="0"/>
        <w:spacing w:after="80" w:before="360" w:lineRule="auto"/>
        <w:rPr>
          <w:rFonts w:ascii="Arial" w:cs="Arial" w:eastAsia="Arial" w:hAnsi="Arial"/>
          <w:b w:val="1"/>
          <w:bCs w:val="1"/>
          <w:color w:val="000000"/>
          <w:sz w:val="24"/>
          <w:szCs w:val="24"/>
        </w:rPr>
      </w:pPr>
      <w:bookmarkStart w:colFirst="0" w:colLast="0" w:name="_8x23c4vsd6f5" w:id="25"/>
      <w:bookmarkEnd w:id="25"/>
      <w:r w:rsidDel="00000000" w:rsidR="00000000" w:rsidRPr="00000000">
        <w:rPr>
          <w:rtl w:val="0"/>
        </w:rPr>
      </w:r>
    </w:p>
    <w:p w:rsidR="00000000" w:rsidDel="00000000" w:rsidP="00000000" w:rsidRDefault="00000000" w:rsidRPr="00000000" w14:paraId="00000067">
      <w:pPr>
        <w:pStyle w:val="Heading2"/>
        <w:keepNext w:val="0"/>
        <w:keepLines w:val="0"/>
        <w:spacing w:after="80" w:before="360" w:lineRule="auto"/>
        <w:rPr>
          <w:rFonts w:ascii="Arial" w:cs="Arial" w:eastAsia="Arial" w:hAnsi="Arial"/>
          <w:b w:val="1"/>
          <w:bCs w:val="1"/>
          <w:color w:val="000000"/>
          <w:sz w:val="24"/>
          <w:szCs w:val="24"/>
        </w:rPr>
      </w:pPr>
      <w:bookmarkStart w:colFirst="0" w:colLast="0" w:name="_zano58fpjlpp" w:id="26"/>
      <w:bookmarkEnd w:id="26"/>
      <w:r w:rsidDel="00000000" w:rsidR="00000000" w:rsidRPr="00000000">
        <w:rPr>
          <w:rtl w:val="0"/>
        </w:rPr>
      </w:r>
    </w:p>
    <w:p w:rsidR="00000000" w:rsidDel="00000000" w:rsidP="00000000" w:rsidRDefault="00000000" w:rsidRPr="00000000" w14:paraId="00000068">
      <w:pPr>
        <w:pStyle w:val="Heading2"/>
        <w:keepNext w:val="0"/>
        <w:keepLines w:val="0"/>
        <w:spacing w:after="80" w:before="360" w:lineRule="auto"/>
        <w:rPr>
          <w:rFonts w:ascii="Arial" w:cs="Arial" w:eastAsia="Arial" w:hAnsi="Arial"/>
          <w:b w:val="1"/>
          <w:bCs w:val="1"/>
          <w:color w:val="000000"/>
          <w:sz w:val="24"/>
          <w:szCs w:val="24"/>
        </w:rPr>
      </w:pPr>
      <w:bookmarkStart w:colFirst="0" w:colLast="0" w:name="_6tjb0d8wr5ff" w:id="27"/>
      <w:bookmarkEnd w:id="27"/>
      <w:r w:rsidDel="00000000" w:rsidR="00000000" w:rsidRPr="00000000">
        <w:rPr>
          <w:rtl w:val="0"/>
        </w:rPr>
      </w:r>
    </w:p>
    <w:p w:rsidR="00000000" w:rsidDel="00000000" w:rsidP="00000000" w:rsidRDefault="00000000" w:rsidRPr="00000000" w14:paraId="00000069">
      <w:pPr>
        <w:pStyle w:val="Heading2"/>
        <w:keepNext w:val="0"/>
        <w:keepLines w:val="0"/>
        <w:spacing w:after="80" w:before="360" w:lineRule="auto"/>
        <w:rPr>
          <w:rFonts w:ascii="Arial" w:cs="Arial" w:eastAsia="Arial" w:hAnsi="Arial"/>
          <w:b w:val="1"/>
          <w:bCs w:val="1"/>
          <w:color w:val="000000"/>
          <w:sz w:val="24"/>
          <w:szCs w:val="24"/>
        </w:rPr>
      </w:pPr>
      <w:bookmarkStart w:colFirst="0" w:colLast="0" w:name="_sw5v58yi18bs" w:id="28"/>
      <w:bookmarkEnd w:id="28"/>
      <w:r w:rsidDel="00000000" w:rsidR="00000000" w:rsidRPr="00000000">
        <w:rPr>
          <w:rFonts w:ascii="Arial" w:cs="Arial" w:eastAsia="Arial" w:hAnsi="Arial"/>
          <w:b w:val="1"/>
          <w:bCs w:val="1"/>
          <w:color w:val="000000"/>
          <w:sz w:val="24"/>
          <w:szCs w:val="24"/>
          <w:rtl w:val="0"/>
        </w:rPr>
        <w:t xml:space="preserve">Reference List</w:t>
      </w:r>
    </w:p>
    <w:p w:rsidR="00000000" w:rsidDel="00000000" w:rsidP="00000000" w:rsidRDefault="00000000" w:rsidRPr="00000000" w14:paraId="0000006A">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Cottrell, S. (2019) </w:t>
      </w:r>
      <w:r w:rsidDel="00000000" w:rsidR="00000000" w:rsidRPr="00000000">
        <w:rPr>
          <w:rFonts w:ascii="Arial" w:cs="Arial" w:eastAsia="Arial" w:hAnsi="Arial"/>
          <w:i w:val="1"/>
          <w:iCs w:val="1"/>
          <w:sz w:val="24"/>
          <w:szCs w:val="24"/>
          <w:rtl w:val="0"/>
        </w:rPr>
        <w:t xml:space="preserve">The Study Skills Handbook</w:t>
      </w:r>
      <w:r w:rsidDel="00000000" w:rsidR="00000000" w:rsidRPr="00000000">
        <w:rPr>
          <w:rFonts w:ascii="Arial" w:cs="Arial" w:eastAsia="Arial" w:hAnsi="Arial"/>
          <w:sz w:val="24"/>
          <w:szCs w:val="24"/>
          <w:rtl w:val="0"/>
        </w:rPr>
        <w:t xml:space="preserve">. 5th edn. London: Macmillan Education UK.</w:t>
      </w:r>
    </w:p>
    <w:p w:rsidR="00000000" w:rsidDel="00000000" w:rsidP="00000000" w:rsidRDefault="00000000" w:rsidRPr="00000000" w14:paraId="0000006B">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Cottrell, S. (2023) </w:t>
      </w:r>
      <w:r w:rsidDel="00000000" w:rsidR="00000000" w:rsidRPr="00000000">
        <w:rPr>
          <w:rFonts w:ascii="Arial" w:cs="Arial" w:eastAsia="Arial" w:hAnsi="Arial"/>
          <w:i w:val="1"/>
          <w:iCs w:val="1"/>
          <w:sz w:val="24"/>
          <w:szCs w:val="24"/>
          <w:rtl w:val="0"/>
        </w:rPr>
        <w:t xml:space="preserve">Critical Thinking Skills: Effective Analysis, Argument and Reflection</w:t>
      </w:r>
      <w:r w:rsidDel="00000000" w:rsidR="00000000" w:rsidRPr="00000000">
        <w:rPr>
          <w:rFonts w:ascii="Arial" w:cs="Arial" w:eastAsia="Arial" w:hAnsi="Arial"/>
          <w:sz w:val="24"/>
          <w:szCs w:val="24"/>
          <w:rtl w:val="0"/>
        </w:rPr>
        <w:t xml:space="preserve">. 4th edn. London: Bloomsbury Academic.</w:t>
      </w:r>
    </w:p>
    <w:p w:rsidR="00000000" w:rsidDel="00000000" w:rsidP="00000000" w:rsidRDefault="00000000" w:rsidRPr="00000000" w14:paraId="0000006C">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9">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A">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B">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C">
      <w:pPr>
        <w:pStyle w:val="Heading1"/>
        <w:rPr/>
      </w:pPr>
      <w:bookmarkStart w:colFirst="0" w:colLast="0" w:name="_7mp9u390jwkn" w:id="29"/>
      <w:bookmarkEnd w:id="29"/>
      <w:r w:rsidDel="00000000" w:rsidR="00000000" w:rsidRPr="00000000">
        <w:rPr>
          <w:rtl w:val="0"/>
        </w:rPr>
        <w:t xml:space="preserve">Component 2 :Application of Academic Skills </w:t>
      </w:r>
    </w:p>
    <w:p w:rsidR="00000000" w:rsidDel="00000000" w:rsidP="00000000" w:rsidRDefault="00000000" w:rsidRPr="00000000" w14:paraId="0000007D">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Digital learning is now a normal part of higher education. Online platforms, digital resources, and AI tools shape how students access information and complete academic work. Castells (2010) explains this shift through the idea of a “network society,” where communication and knowledge are organised through digital networks. This concept helps explain why university learning today feels more connected, fast-paced, and information-heavy than ever before.</w:t>
      </w:r>
    </w:p>
    <w:p w:rsidR="00000000" w:rsidDel="00000000" w:rsidP="00000000" w:rsidRDefault="00000000" w:rsidRPr="00000000" w14:paraId="0000007E">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Through engaging with these ideas, it has become clear that succeeding in digital learning requires more than simply knowing how to use technology. It requires critical thinking, ethical awareness, and strong academic planning. This reflection explores key challenges experienced in digital learning, the opportunities it offers, and the strategies developed to adapt successfully.</w:t>
      </w:r>
    </w:p>
    <w:p w:rsidR="00000000" w:rsidDel="00000000" w:rsidP="00000000" w:rsidRDefault="00000000" w:rsidRPr="00000000" w14:paraId="0000007F">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One major challenge has been managing the constant flow of online information. Castells (2010) highlights how digital networks create continuous streams of communication and knowledge. While this gives access to a wide range of sources, it can also be overwhelming. It becomes easy to skim information rather than analyse it deeply. Developing stronger evaluation skills has therefore been essential to ensure academic quality.</w:t>
      </w:r>
    </w:p>
    <w:p w:rsidR="00000000" w:rsidDel="00000000" w:rsidP="00000000" w:rsidRDefault="00000000" w:rsidRPr="00000000" w14:paraId="00000080">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Another challenge has been understanding how to use generative AI responsibly. UNESCO (2023) explains that AI can support learning but also raises concerns about academic integrity, bias, and over-reliance. This has required careful reflection on how to use such tools ethically, ensuring they support learning rather than replace independent thinking.</w:t>
      </w:r>
    </w:p>
    <w:p w:rsidR="00000000" w:rsidDel="00000000" w:rsidP="00000000" w:rsidRDefault="00000000" w:rsidRPr="00000000" w14:paraId="00000081">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These challenges show that digital learning demands greater self-discipline and awareness than traditional classroom-based approaches.</w:t>
      </w:r>
    </w:p>
    <w:p w:rsidR="00000000" w:rsidDel="00000000" w:rsidP="00000000" w:rsidRDefault="00000000" w:rsidRPr="00000000" w14:paraId="00000082">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Despite these difficulties, digital learning also offers clear benefits. Castells (2010) suggests that networked environments allow global access to information and ideas. This creates opportunities to explore wider perspectives and engage with more diverse academic material. Access to online journals, databases, and digital discussions has strengthened research depth and flexibility.</w:t>
      </w:r>
    </w:p>
    <w:p w:rsidR="00000000" w:rsidDel="00000000" w:rsidP="00000000" w:rsidRDefault="00000000" w:rsidRPr="00000000" w14:paraId="00000083">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UNESCO (2023) also recognises that AI tools, when used appropriately, can personalise and support learning. For example, they can help clarify difficult concepts or assist in structuring ideas. When approached critically, these tools can enhance understanding rather than weaken it.</w:t>
      </w:r>
    </w:p>
    <w:p w:rsidR="00000000" w:rsidDel="00000000" w:rsidP="00000000" w:rsidRDefault="00000000" w:rsidRPr="00000000" w14:paraId="00000084">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Overall, digital learning provides flexibility, independence, and broader access to knowledge but only when used thoughtfully.</w:t>
      </w:r>
    </w:p>
    <w:p w:rsidR="00000000" w:rsidDel="00000000" w:rsidP="00000000" w:rsidRDefault="00000000" w:rsidRPr="00000000" w14:paraId="00000085">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 adapt effectively, several strategies have been developed:</w:t>
      </w:r>
    </w:p>
    <w:p w:rsidR="00000000" w:rsidDel="00000000" w:rsidP="00000000" w:rsidRDefault="00000000" w:rsidRPr="00000000" w14:paraId="00000086">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Improving critical evaluation skills: Greater attention is given to checking the credibility and relevance of online sources before using them in academic work (Castells, 2010).</w:t>
      </w:r>
    </w:p>
    <w:p w:rsidR="00000000" w:rsidDel="00000000" w:rsidP="00000000" w:rsidRDefault="00000000" w:rsidRPr="00000000" w14:paraId="00000087">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Using AI responsibly: Following UNESCO (2023), AI tools are treated as support tools rather than shortcuts, ensuring original thinking remains central.</w:t>
      </w:r>
    </w:p>
    <w:p w:rsidR="00000000" w:rsidDel="00000000" w:rsidP="00000000" w:rsidRDefault="00000000" w:rsidRPr="00000000" w14:paraId="00000088">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Structured planning: Creating clear research stages and time management plans has helped reduce digital overload and maintain focus.</w:t>
      </w:r>
    </w:p>
    <w:p w:rsidR="00000000" w:rsidDel="00000000" w:rsidP="00000000" w:rsidRDefault="00000000" w:rsidRPr="00000000" w14:paraId="00000089">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These strategies reflect a shift from passive use of digital tools to active, strategic engagement.</w:t>
      </w:r>
    </w:p>
    <w:p w:rsidR="00000000" w:rsidDel="00000000" w:rsidP="00000000" w:rsidRDefault="00000000" w:rsidRPr="00000000" w14:paraId="0000008A">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Digital learning reflects the wider transformation into a network society (Castells, 2010). While it creates challenges such as information overload and ethical concerns around AI, it also offers flexibility and greater access to knowledge. UNESCO (2023) reinforces that technology should be used responsibly and thoughtfully within education.</w:t>
      </w:r>
    </w:p>
    <w:p w:rsidR="00000000" w:rsidDel="00000000" w:rsidP="00000000" w:rsidRDefault="00000000" w:rsidRPr="00000000" w14:paraId="0000008B">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Overall, this reflection demonstrates that success in digital higher education depends not simply on access to technology, but on developing critical thinking, ethical awareness, and strong academic skills. When approached strategically, digital tools can enhance learning rather than hinder it.</w:t>
      </w:r>
    </w:p>
    <w:p w:rsidR="00000000" w:rsidDel="00000000" w:rsidP="00000000" w:rsidRDefault="00000000" w:rsidRPr="00000000" w14:paraId="0000008C">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D">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E">
      <w:pPr>
        <w:pStyle w:val="Heading2"/>
        <w:keepNext w:val="0"/>
        <w:keepLines w:val="0"/>
        <w:spacing w:after="80" w:before="360" w:lineRule="auto"/>
        <w:rPr>
          <w:rFonts w:ascii="Arial" w:cs="Arial" w:eastAsia="Arial" w:hAnsi="Arial"/>
          <w:b w:val="1"/>
          <w:bCs w:val="1"/>
          <w:color w:val="000000"/>
          <w:sz w:val="34"/>
          <w:szCs w:val="34"/>
        </w:rPr>
      </w:pPr>
      <w:bookmarkStart w:colFirst="0" w:colLast="0" w:name="_1skicxm6nkm0" w:id="30"/>
      <w:bookmarkEnd w:id="30"/>
      <w:r w:rsidDel="00000000" w:rsidR="00000000" w:rsidRPr="00000000">
        <w:rPr>
          <w:rFonts w:ascii="Arial" w:cs="Arial" w:eastAsia="Arial" w:hAnsi="Arial"/>
          <w:b w:val="1"/>
          <w:bCs w:val="1"/>
          <w:color w:val="000000"/>
          <w:sz w:val="34"/>
          <w:szCs w:val="34"/>
          <w:rtl w:val="0"/>
        </w:rPr>
        <w:t xml:space="preserve">Reference List</w:t>
      </w:r>
    </w:p>
    <w:p w:rsidR="00000000" w:rsidDel="00000000" w:rsidP="00000000" w:rsidRDefault="00000000" w:rsidRPr="00000000" w14:paraId="0000008F">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Castells, M. (2010) </w:t>
      </w:r>
      <w:r w:rsidDel="00000000" w:rsidR="00000000" w:rsidRPr="00000000">
        <w:rPr>
          <w:rFonts w:ascii="Arial" w:cs="Arial" w:eastAsia="Arial" w:hAnsi="Arial"/>
          <w:i w:val="1"/>
          <w:iCs w:val="1"/>
          <w:sz w:val="24"/>
          <w:szCs w:val="24"/>
          <w:rtl w:val="0"/>
        </w:rPr>
        <w:t xml:space="preserve">The Rise of the Network Society</w:t>
      </w:r>
      <w:r w:rsidDel="00000000" w:rsidR="00000000" w:rsidRPr="00000000">
        <w:rPr>
          <w:rFonts w:ascii="Arial" w:cs="Arial" w:eastAsia="Arial" w:hAnsi="Arial"/>
          <w:sz w:val="24"/>
          <w:szCs w:val="24"/>
          <w:rtl w:val="0"/>
        </w:rPr>
        <w:t xml:space="preserve">. 2nd edn. Chichester: Wiley-Blackwell.</w:t>
      </w:r>
    </w:p>
    <w:p w:rsidR="00000000" w:rsidDel="00000000" w:rsidP="00000000" w:rsidRDefault="00000000" w:rsidRPr="00000000" w14:paraId="00000090">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UNESCO (2023) </w:t>
      </w:r>
      <w:r w:rsidDel="00000000" w:rsidR="00000000" w:rsidRPr="00000000">
        <w:rPr>
          <w:rFonts w:ascii="Arial" w:cs="Arial" w:eastAsia="Arial" w:hAnsi="Arial"/>
          <w:i w:val="1"/>
          <w:iCs w:val="1"/>
          <w:sz w:val="24"/>
          <w:szCs w:val="24"/>
          <w:rtl w:val="0"/>
        </w:rPr>
        <w:t xml:space="preserve">Guidance for Generative AI in Education and Research</w:t>
      </w:r>
      <w:r w:rsidDel="00000000" w:rsidR="00000000" w:rsidRPr="00000000">
        <w:rPr>
          <w:rFonts w:ascii="Arial" w:cs="Arial" w:eastAsia="Arial" w:hAnsi="Arial"/>
          <w:sz w:val="24"/>
          <w:szCs w:val="24"/>
          <w:rtl w:val="0"/>
        </w:rPr>
        <w:t xml:space="preserve">. Paris: United Nations Educational, Scientific and Cultural Organization.</w:t>
      </w:r>
    </w:p>
    <w:p w:rsidR="00000000" w:rsidDel="00000000" w:rsidP="00000000" w:rsidRDefault="00000000" w:rsidRPr="00000000" w14:paraId="00000091">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2">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6">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A">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C">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D">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E">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F">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0">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1">
      <w:pPr>
        <w:pStyle w:val="Heading1"/>
        <w:rPr/>
      </w:pPr>
      <w:bookmarkStart w:colFirst="0" w:colLast="0" w:name="_5xnn5hg8w5hi" w:id="31"/>
      <w:bookmarkEnd w:id="31"/>
      <w:r w:rsidDel="00000000" w:rsidR="00000000" w:rsidRPr="00000000">
        <w:rPr>
          <w:rtl w:val="0"/>
        </w:rPr>
        <w:t xml:space="preserve">Component 3: Academic poster </w:t>
      </w:r>
    </w:p>
    <w:p w:rsidR="00000000" w:rsidDel="00000000" w:rsidP="00000000" w:rsidRDefault="00000000" w:rsidRPr="00000000" w14:paraId="000000A2">
      <w:pPr>
        <w:pStyle w:val="Heading1"/>
        <w:rPr/>
      </w:pPr>
      <w:bookmarkStart w:colFirst="0" w:colLast="0" w:name="_kjz999f3h80t" w:id="32"/>
      <w:bookmarkEnd w:id="32"/>
      <w:r w:rsidDel="00000000" w:rsidR="00000000" w:rsidRPr="00000000">
        <w:rPr/>
        <w:drawing>
          <wp:anchor allowOverlap="1" behindDoc="0" distB="114300" distT="114300" distL="114300" distR="114300" hidden="0" layoutInCell="1" locked="0" relativeHeight="0" simplePos="0">
            <wp:simplePos x="0" y="0"/>
            <wp:positionH relativeFrom="page">
              <wp:posOffset>728663</wp:posOffset>
            </wp:positionH>
            <wp:positionV relativeFrom="page">
              <wp:posOffset>1738313</wp:posOffset>
            </wp:positionV>
            <wp:extent cx="5743575" cy="7448550"/>
            <wp:effectExtent b="0" l="0" r="0" t="0"/>
            <wp:wrapSquare wrapText="bothSides" distB="114300" distT="114300" distL="114300" distR="114300"/>
            <wp:docPr id="6"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743575" cy="7448550"/>
                    </a:xfrm>
                    <a:prstGeom prst="rect"/>
                    <a:ln/>
                  </pic:spPr>
                </pic:pic>
              </a:graphicData>
            </a:graphic>
          </wp:anchor>
        </w:drawing>
      </w: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5">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6">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7">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C">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A9">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2.png"/>
          <a:graphic>
            <a:graphicData uri="http://schemas.openxmlformats.org/drawingml/2006/picture">
              <pic:pic>
                <pic:nvPicPr>
                  <pic:cNvPr descr="short line" id="0" name="image2.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
      </w:rPr>
    </w:rPrDefault>
    <w:pPrDefault>
      <w:pPr>
        <w:spacing w:before="200" w:line="3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bCs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