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289B1" w14:textId="77777777" w:rsidR="00B20E49" w:rsidRPr="00B20E49" w:rsidRDefault="00B20E49" w:rsidP="00B20E49">
      <w:pPr>
        <w:ind w:right="531"/>
        <w:jc w:val="both"/>
        <w:rPr>
          <w:rFonts w:asciiTheme="minorHAnsi" w:eastAsia="Calibri" w:hAnsiTheme="minorHAnsi" w:cs="Arial"/>
          <w:b/>
          <w:bCs/>
          <w:sz w:val="24"/>
          <w:szCs w:val="24"/>
        </w:rPr>
      </w:pPr>
      <w:r w:rsidRPr="00B20E49">
        <w:rPr>
          <w:rFonts w:asciiTheme="minorHAnsi" w:eastAsia="Calibri" w:hAnsiTheme="minorHAnsi" w:cs="Arial"/>
          <w:b/>
          <w:bCs/>
          <w:sz w:val="24"/>
          <w:szCs w:val="24"/>
        </w:rPr>
        <w:t>Essay one:</w:t>
      </w:r>
    </w:p>
    <w:p w14:paraId="57C9207E" w14:textId="77777777" w:rsidR="00B20E49" w:rsidRPr="00B20E49" w:rsidRDefault="00B20E49" w:rsidP="00B20E49">
      <w:pPr>
        <w:spacing w:line="257" w:lineRule="auto"/>
        <w:ind w:right="531"/>
        <w:rPr>
          <w:rFonts w:asciiTheme="minorHAnsi" w:eastAsia="Calibri" w:hAnsiTheme="minorHAnsi" w:cs="Arial"/>
          <w:b/>
          <w:bCs/>
          <w:sz w:val="24"/>
          <w:szCs w:val="24"/>
        </w:rPr>
      </w:pPr>
      <w:r w:rsidRPr="00B20E49">
        <w:rPr>
          <w:rFonts w:asciiTheme="minorHAnsi" w:eastAsia="Calibri" w:hAnsiTheme="minorHAnsi" w:cs="Arial"/>
          <w:b/>
          <w:bCs/>
          <w:sz w:val="24"/>
          <w:szCs w:val="24"/>
        </w:rPr>
        <w:t>How effectively has the police service adapted to accommodate diversity within the UK? Consider the police force itself and/or the way police engage with diverse communities.</w:t>
      </w:r>
    </w:p>
    <w:p w14:paraId="59F06FC4" w14:textId="77777777" w:rsidR="00B20E49" w:rsidRPr="00B20E49" w:rsidRDefault="00B20E49" w:rsidP="00B20E49">
      <w:pPr>
        <w:spacing w:line="257" w:lineRule="auto"/>
        <w:ind w:right="531"/>
        <w:rPr>
          <w:rFonts w:asciiTheme="minorHAnsi" w:hAnsiTheme="minorHAnsi" w:cs="Arial"/>
          <w:sz w:val="24"/>
          <w:szCs w:val="24"/>
        </w:rPr>
      </w:pPr>
    </w:p>
    <w:p w14:paraId="77FCA4EA" w14:textId="77777777" w:rsidR="00B20E49" w:rsidRPr="00B20E49" w:rsidRDefault="00B20E49" w:rsidP="00B20E49">
      <w:pPr>
        <w:spacing w:line="257" w:lineRule="auto"/>
        <w:ind w:right="531"/>
        <w:rPr>
          <w:rFonts w:asciiTheme="minorHAnsi" w:hAnsiTheme="minorHAnsi" w:cs="Arial"/>
          <w:color w:val="FF0000"/>
          <w:sz w:val="24"/>
          <w:szCs w:val="24"/>
        </w:rPr>
      </w:pPr>
      <w:r w:rsidRPr="00B20E49">
        <w:rPr>
          <w:rFonts w:asciiTheme="minorHAnsi" w:hAnsiTheme="minorHAnsi" w:cs="Arial"/>
          <w:sz w:val="24"/>
          <w:szCs w:val="24"/>
        </w:rPr>
        <w:t xml:space="preserve">In this essay I will be discussing how the police have adapted to accommodate diversity within the UK police force and within local communities.  </w:t>
      </w:r>
      <w:r w:rsidRPr="00B20E49">
        <w:rPr>
          <w:rFonts w:asciiTheme="minorHAnsi" w:hAnsiTheme="minorHAnsi" w:cs="Arial"/>
          <w:color w:val="FF0000"/>
          <w:sz w:val="24"/>
          <w:szCs w:val="24"/>
        </w:rPr>
        <w:t xml:space="preserve"> </w:t>
      </w:r>
    </w:p>
    <w:p w14:paraId="324FA8BC"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Any one or more strands of difference, such as cultural, social, backgrounds, and various elements of identity are typically referred to as diversity (Thomson and Gooberman-Hill, 2024). The term “diversity” is frequently used in reference to ideas of workplaces that are diverse and compromise a wide range of individuals representing a variety of diversity with regard ethnicity, sexual orientation, disability, gender and race (Thomson and Gooberman-Hill, 2024).</w:t>
      </w:r>
    </w:p>
    <w:p w14:paraId="3508F45D" w14:textId="77777777" w:rsidR="00B20E49" w:rsidRPr="00B20E49" w:rsidRDefault="00B20E49" w:rsidP="00B20E49">
      <w:pPr>
        <w:spacing w:line="257" w:lineRule="auto"/>
        <w:ind w:right="531"/>
        <w:rPr>
          <w:rFonts w:asciiTheme="minorHAnsi" w:hAnsiTheme="minorHAnsi" w:cs="Arial"/>
          <w:sz w:val="24"/>
          <w:szCs w:val="24"/>
        </w:rPr>
      </w:pPr>
    </w:p>
    <w:p w14:paraId="339352E0" w14:textId="77777777" w:rsidR="00B20E49" w:rsidRPr="00B20E49" w:rsidRDefault="00B20E49" w:rsidP="00B20E49">
      <w:pPr>
        <w:spacing w:line="257" w:lineRule="auto"/>
        <w:ind w:right="531"/>
        <w:rPr>
          <w:rFonts w:asciiTheme="minorHAnsi" w:hAnsiTheme="minorHAnsi"/>
          <w:sz w:val="24"/>
          <w:szCs w:val="24"/>
        </w:rPr>
      </w:pPr>
      <w:r w:rsidRPr="00B20E49">
        <w:rPr>
          <w:rFonts w:asciiTheme="minorHAnsi" w:hAnsiTheme="minorHAnsi" w:cs="Arial"/>
          <w:sz w:val="24"/>
          <w:szCs w:val="24"/>
        </w:rPr>
        <w:t xml:space="preserve">In 2022, the statistics showed that there were 91.9% of white ethnicity and only 8.1% of officers who were from an Asian, mixed or black background (GOV.UK, 2023). To combat this under representation in the police, South Wales Police is collaborating with nearby Welsh universities that provide professional Policing degrees (PPD) in order to address the under representation. As part of a positive action project, the police will provide funding for a bursary program for ethnic minority students enrolled in the course. Only those people who identify as members of an ethnic minority background are eligible for the bursary support. The South Wales Police bursary scheme aims to increase the number of applications from </w:t>
      </w:r>
      <w:proofErr w:type="spellStart"/>
      <w:proofErr w:type="gramStart"/>
      <w:r w:rsidRPr="00B20E49">
        <w:rPr>
          <w:rFonts w:asciiTheme="minorHAnsi" w:hAnsiTheme="minorHAnsi" w:cs="Arial"/>
          <w:sz w:val="24"/>
          <w:szCs w:val="24"/>
        </w:rPr>
        <w:t>under represented</w:t>
      </w:r>
      <w:proofErr w:type="spellEnd"/>
      <w:proofErr w:type="gramEnd"/>
      <w:r w:rsidRPr="00B20E49">
        <w:rPr>
          <w:rFonts w:asciiTheme="minorHAnsi" w:hAnsiTheme="minorHAnsi" w:cs="Arial"/>
          <w:sz w:val="24"/>
          <w:szCs w:val="24"/>
        </w:rPr>
        <w:t xml:space="preserve"> groups and increase the police forces representation of the community it serves. It will also offer financial assistance to any ethnic minority students who enrol in and finish their professional policing degree (South Wales Police, 2025). </w:t>
      </w:r>
    </w:p>
    <w:p w14:paraId="35DF32F8" w14:textId="77777777" w:rsidR="00B20E49" w:rsidRPr="00B20E49" w:rsidRDefault="00B20E49" w:rsidP="00B20E49">
      <w:pPr>
        <w:spacing w:line="257" w:lineRule="auto"/>
        <w:ind w:right="531"/>
        <w:rPr>
          <w:rFonts w:asciiTheme="minorHAnsi" w:hAnsiTheme="minorHAnsi" w:cs="Arial"/>
          <w:color w:val="FF0000"/>
          <w:sz w:val="24"/>
          <w:szCs w:val="24"/>
        </w:rPr>
      </w:pPr>
    </w:p>
    <w:p w14:paraId="4EB31488"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However, there has been some difficulties in progression for these officers as they feared being chosen solely on the basis of their race, ethnicity, or gender identity. Therefore, minority officers frequently questioned their own accomplishments and were reluctant to apply for any promotions within the force (Farrell &amp; Barao, 2022)</w:t>
      </w:r>
    </w:p>
    <w:p w14:paraId="47278756" w14:textId="77777777" w:rsidR="00B20E49" w:rsidRPr="00B20E49" w:rsidRDefault="00B20E49" w:rsidP="00B20E49">
      <w:pPr>
        <w:spacing w:line="257" w:lineRule="auto"/>
        <w:ind w:right="531"/>
        <w:rPr>
          <w:rFonts w:asciiTheme="minorHAnsi" w:hAnsiTheme="minorHAnsi" w:cs="Arial"/>
          <w:color w:val="FF0000"/>
          <w:sz w:val="24"/>
          <w:szCs w:val="24"/>
        </w:rPr>
      </w:pPr>
      <w:r w:rsidRPr="00B20E49">
        <w:rPr>
          <w:rFonts w:asciiTheme="minorHAnsi" w:hAnsiTheme="minorHAnsi" w:cs="Arial"/>
          <w:color w:val="FF0000"/>
          <w:sz w:val="24"/>
          <w:szCs w:val="24"/>
        </w:rPr>
        <w:t xml:space="preserve"> </w:t>
      </w:r>
    </w:p>
    <w:p w14:paraId="527FD797"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This is also corroborated with evidence from Statista (2025) as statistics have shown that there are significantly less police officers who are female who are higher up in the ranking system. This could deter females from joining the police force as they feel there is no progression in the police for females, or they may deem it as a male orientated role and not apply for this reason. </w:t>
      </w:r>
    </w:p>
    <w:p w14:paraId="0D7EA489" w14:textId="77777777" w:rsidR="00B20E49" w:rsidRPr="00B20E49" w:rsidRDefault="00B20E49" w:rsidP="00B20E49">
      <w:pPr>
        <w:spacing w:line="257" w:lineRule="auto"/>
        <w:ind w:right="531"/>
        <w:rPr>
          <w:rFonts w:asciiTheme="minorHAnsi" w:hAnsiTheme="minorHAnsi" w:cs="Arial"/>
          <w:color w:val="FF0000"/>
          <w:sz w:val="24"/>
          <w:szCs w:val="24"/>
        </w:rPr>
      </w:pPr>
    </w:p>
    <w:p w14:paraId="4E7AC5BB" w14:textId="77777777" w:rsidR="00B20E49" w:rsidRPr="00B20E49" w:rsidRDefault="00B20E49" w:rsidP="00B20E49">
      <w:pPr>
        <w:spacing w:line="257" w:lineRule="auto"/>
        <w:ind w:right="531"/>
        <w:rPr>
          <w:rFonts w:asciiTheme="minorHAnsi" w:hAnsiTheme="minorHAnsi" w:cs="Arial"/>
          <w:color w:val="FF0000"/>
          <w:sz w:val="24"/>
          <w:szCs w:val="24"/>
        </w:rPr>
      </w:pPr>
    </w:p>
    <w:p w14:paraId="570065FB" w14:textId="77777777" w:rsidR="00B20E49" w:rsidRPr="00B20E49" w:rsidRDefault="00B20E49" w:rsidP="00B20E49">
      <w:pPr>
        <w:spacing w:line="257" w:lineRule="auto"/>
        <w:ind w:right="531"/>
        <w:rPr>
          <w:rFonts w:asciiTheme="minorHAnsi" w:hAnsiTheme="minorHAnsi" w:cs="Arial"/>
          <w:sz w:val="24"/>
          <w:szCs w:val="24"/>
        </w:rPr>
      </w:pPr>
    </w:p>
    <w:p w14:paraId="45554039" w14:textId="77777777" w:rsidR="00B20E49" w:rsidRPr="00B20E49" w:rsidRDefault="00B20E49" w:rsidP="00B20E49">
      <w:pPr>
        <w:spacing w:line="257" w:lineRule="auto"/>
        <w:ind w:right="531"/>
        <w:rPr>
          <w:rFonts w:asciiTheme="minorHAnsi" w:hAnsiTheme="minorHAnsi" w:cs="Arial"/>
          <w:sz w:val="24"/>
          <w:szCs w:val="24"/>
        </w:rPr>
      </w:pPr>
    </w:p>
    <w:p w14:paraId="728DB614" w14:textId="77777777" w:rsidR="00B20E49" w:rsidRPr="00B20E49" w:rsidRDefault="00B20E49" w:rsidP="00B20E49">
      <w:pPr>
        <w:spacing w:line="257" w:lineRule="auto"/>
        <w:ind w:right="531"/>
        <w:rPr>
          <w:rFonts w:asciiTheme="minorHAnsi" w:hAnsiTheme="minorHAnsi" w:cs="Arial"/>
          <w:sz w:val="24"/>
          <w:szCs w:val="24"/>
        </w:rPr>
      </w:pPr>
    </w:p>
    <w:p w14:paraId="418F0245" w14:textId="77777777" w:rsidR="00B20E49" w:rsidRPr="00B20E49" w:rsidRDefault="00B20E49" w:rsidP="00B20E49">
      <w:pPr>
        <w:spacing w:line="257" w:lineRule="auto"/>
        <w:ind w:right="531"/>
        <w:rPr>
          <w:rFonts w:asciiTheme="minorHAnsi" w:hAnsiTheme="minorHAnsi" w:cs="Arial"/>
          <w:color w:val="FF0000"/>
          <w:sz w:val="24"/>
          <w:szCs w:val="24"/>
        </w:rPr>
      </w:pPr>
    </w:p>
    <w:p w14:paraId="2656E536"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However, evidence from Statista (2025) also state that there has been an increase in female police officers who have applied to join the police force. As of 2024, there are approximately 35% female police officers currently working in England and Wales.</w:t>
      </w:r>
      <w:r w:rsidRPr="00B20E49">
        <w:rPr>
          <w:rFonts w:asciiTheme="minorHAnsi" w:hAnsiTheme="minorHAnsi"/>
          <w:sz w:val="24"/>
          <w:szCs w:val="24"/>
        </w:rPr>
        <w:t xml:space="preserve"> </w:t>
      </w:r>
      <w:r w:rsidRPr="00B20E49">
        <w:rPr>
          <w:rFonts w:asciiTheme="minorHAnsi" w:hAnsiTheme="minorHAnsi" w:cs="Arial"/>
          <w:sz w:val="24"/>
          <w:szCs w:val="24"/>
        </w:rPr>
        <w:t xml:space="preserve">Police forces across the UK are now actively seeking members of public to join the police from a variety of different ethnic backgrounds in order to make progress in creating a more diverse workforce. Some police forces have launched recruitment programmes which tailor to support people from diverse backgrounds in applying for the police. </w:t>
      </w:r>
    </w:p>
    <w:p w14:paraId="6EA421C8"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This is positive not only for diversity and inclusivity within the police force but also for members of the public as Schuck (2018) states that according to studies evaluating gender representation, more female police officers can lead to better results in situations of sexual assault and domestic violence (Schuck &amp; Rabe-Hemp, 2005). </w:t>
      </w:r>
    </w:p>
    <w:p w14:paraId="29B0D557" w14:textId="77777777" w:rsidR="00B20E49" w:rsidRPr="00B20E49" w:rsidRDefault="00B20E49" w:rsidP="00B20E49">
      <w:pPr>
        <w:spacing w:line="257" w:lineRule="auto"/>
        <w:ind w:right="531"/>
        <w:rPr>
          <w:rFonts w:asciiTheme="minorHAnsi" w:hAnsiTheme="minorHAnsi" w:cs="Arial"/>
          <w:sz w:val="24"/>
          <w:szCs w:val="24"/>
        </w:rPr>
      </w:pPr>
    </w:p>
    <w:p w14:paraId="7FF542CB"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However, Cordner &amp; Cordner (2011) states that although women are no longer officially restricted to specific roles within policing that cater to stereotyped feminine traits, the “boys club” culture still deters women from entering this field. Institutional factors such as the historically white, male dominated and paramilitary structure of policing have shaped workplace culture and created on going challenges to increasing racial, gender and ethnic representation in the field.</w:t>
      </w:r>
    </w:p>
    <w:p w14:paraId="7F105DED"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This is supported by evidence from Haarr &amp; Morash (1999) who states that female officers or officers from racial and ethnic minority backgrounds have reported feeling harassed and discriminated against at work. This is another deterrent for officers to leave the force and ultimately creating more of a barrier in regard to diversity in the workplace. </w:t>
      </w:r>
    </w:p>
    <w:p w14:paraId="31F05ACA" w14:textId="77777777" w:rsidR="00B20E49" w:rsidRPr="00B20E49" w:rsidRDefault="00B20E49" w:rsidP="00B20E49">
      <w:pPr>
        <w:spacing w:line="257" w:lineRule="auto"/>
        <w:ind w:right="531"/>
        <w:rPr>
          <w:rFonts w:asciiTheme="minorHAnsi" w:hAnsiTheme="minorHAnsi" w:cs="Arial"/>
          <w:sz w:val="24"/>
          <w:szCs w:val="24"/>
          <w:u w:val="single"/>
        </w:rPr>
      </w:pPr>
    </w:p>
    <w:p w14:paraId="6CD7BD70"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Furthermore, the police service regularly engages with members of the community in regard to Stop and Searching individuals. Stop and search is a power that police officers have if they have reasonable grounds to suspect that a person is carrying an item unlawfully, such as drugs or knives (College of policing, 2017). </w:t>
      </w:r>
    </w:p>
    <w:p w14:paraId="2B8B6B86" w14:textId="77777777" w:rsidR="00B20E49" w:rsidRPr="00B20E49" w:rsidRDefault="00B20E49" w:rsidP="00B20E49">
      <w:pPr>
        <w:spacing w:line="257" w:lineRule="auto"/>
        <w:ind w:right="531"/>
        <w:rPr>
          <w:rFonts w:asciiTheme="minorHAnsi" w:hAnsiTheme="minorHAnsi" w:cs="Arial"/>
          <w:sz w:val="24"/>
          <w:szCs w:val="24"/>
        </w:rPr>
      </w:pPr>
    </w:p>
    <w:p w14:paraId="1EA8B4A5"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These powers are widely used to prevent and deter crimes in the communities. However, it has caused controversy due to its application surrounding minority ethnic communities (Rowe, 2002).  A recent study from European Union Agency for Fundamental Rights (2021) shows that during stop searches, over eight percent of people from ethnic minority backgrounds believed that they were stop searched primarily as a result of their ethnic profiling. Evidence from Fitzgerald (1999) suggests the number of stop and search incidents against BME  people is disproportionally high. Black people in Britain are six or seven times more likely than people of any other race to be stopped by police using stop search powers. This can create a negative rapport with diverse communities as they feel they are being mistreated by the police.  In order to combat the issues surrounding diversity and stop search powers, PACE Code of Practise A was updated in 2015 </w:t>
      </w:r>
      <w:r w:rsidRPr="00B20E49">
        <w:rPr>
          <w:rFonts w:asciiTheme="minorHAnsi" w:hAnsiTheme="minorHAnsi" w:cs="Arial"/>
          <w:sz w:val="24"/>
          <w:szCs w:val="24"/>
        </w:rPr>
        <w:lastRenderedPageBreak/>
        <w:t>following a consultation that took place with the home office regarding stop search powers. These modifications required officers to provide an explanation for their stop search in order to document the search. Additionally, the updated policy prevents officers from utilising a person’s characteristics as legitimate grounds for suspicion in order to support a search (GOV.UK, 2023). By utilizing these changes, this has improved engagement with diverse communities as they are aware the police searches are no longer biased based on their ethnic/cultural background.</w:t>
      </w:r>
    </w:p>
    <w:p w14:paraId="4926E3ED" w14:textId="77777777" w:rsidR="00B20E49" w:rsidRPr="00B20E49" w:rsidRDefault="00B20E49" w:rsidP="00B20E49">
      <w:pPr>
        <w:spacing w:line="257" w:lineRule="auto"/>
        <w:ind w:right="531"/>
        <w:rPr>
          <w:rFonts w:asciiTheme="minorHAnsi" w:hAnsiTheme="minorHAnsi" w:cs="Arial"/>
          <w:sz w:val="24"/>
          <w:szCs w:val="24"/>
        </w:rPr>
      </w:pPr>
    </w:p>
    <w:p w14:paraId="7402C799"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In conclusion, diversity in the UK police force is essential for fostering community trust and improving the public’s perception of the police force. Although there has been an improvement, more work is required for the inclusion of officers in regard to hiring and promotions. Accepting diversity improves community safety and cohesiveness as well as the integrity of the police force. </w:t>
      </w:r>
    </w:p>
    <w:p w14:paraId="29B023E2" w14:textId="77777777" w:rsidR="00B20E49" w:rsidRPr="00B20E49" w:rsidRDefault="00B20E49" w:rsidP="00B20E49">
      <w:pPr>
        <w:spacing w:line="257" w:lineRule="auto"/>
        <w:ind w:right="531"/>
        <w:rPr>
          <w:rFonts w:asciiTheme="minorHAnsi" w:hAnsiTheme="minorHAnsi" w:cs="Arial"/>
          <w:sz w:val="24"/>
          <w:szCs w:val="24"/>
        </w:rPr>
      </w:pPr>
    </w:p>
    <w:p w14:paraId="655D4CC5" w14:textId="77777777" w:rsidR="00B20E49" w:rsidRPr="00B20E49" w:rsidRDefault="00B20E49" w:rsidP="00B20E49">
      <w:pPr>
        <w:spacing w:line="257" w:lineRule="auto"/>
        <w:ind w:right="531"/>
        <w:rPr>
          <w:rFonts w:asciiTheme="minorHAnsi" w:hAnsiTheme="minorHAnsi" w:cs="Arial"/>
          <w:sz w:val="24"/>
          <w:szCs w:val="24"/>
        </w:rPr>
      </w:pPr>
    </w:p>
    <w:p w14:paraId="47572032"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Word Count – 979 </w:t>
      </w:r>
    </w:p>
    <w:p w14:paraId="747AF6F4" w14:textId="77777777" w:rsidR="00B20E49" w:rsidRPr="00B20E49" w:rsidRDefault="00B20E49" w:rsidP="00B20E49">
      <w:pPr>
        <w:spacing w:line="257" w:lineRule="auto"/>
        <w:ind w:right="531"/>
        <w:rPr>
          <w:rFonts w:asciiTheme="minorHAnsi" w:hAnsiTheme="minorHAnsi" w:cs="Arial"/>
          <w:sz w:val="24"/>
          <w:szCs w:val="24"/>
        </w:rPr>
      </w:pPr>
    </w:p>
    <w:p w14:paraId="2C60D1D9" w14:textId="77777777" w:rsidR="00B20E49" w:rsidRPr="00B20E49" w:rsidRDefault="00B20E49" w:rsidP="00B20E49">
      <w:pPr>
        <w:spacing w:line="257" w:lineRule="auto"/>
        <w:ind w:right="531"/>
        <w:rPr>
          <w:rFonts w:asciiTheme="minorHAnsi" w:hAnsiTheme="minorHAnsi" w:cs="Arial"/>
          <w:sz w:val="24"/>
          <w:szCs w:val="24"/>
        </w:rPr>
      </w:pPr>
    </w:p>
    <w:p w14:paraId="195F3831" w14:textId="77777777" w:rsidR="00B20E49" w:rsidRPr="00B20E49" w:rsidRDefault="00B20E49" w:rsidP="00B20E49">
      <w:pPr>
        <w:spacing w:line="257" w:lineRule="auto"/>
        <w:ind w:right="531"/>
        <w:rPr>
          <w:rFonts w:asciiTheme="minorHAnsi" w:hAnsiTheme="minorHAnsi" w:cs="Arial"/>
          <w:sz w:val="24"/>
          <w:szCs w:val="24"/>
        </w:rPr>
      </w:pPr>
    </w:p>
    <w:p w14:paraId="74FB78C7" w14:textId="77777777" w:rsidR="00B20E49" w:rsidRPr="00B20E49" w:rsidRDefault="00B20E49" w:rsidP="00B20E49">
      <w:pPr>
        <w:spacing w:line="257" w:lineRule="auto"/>
        <w:ind w:right="531"/>
        <w:rPr>
          <w:rFonts w:asciiTheme="minorHAnsi" w:hAnsiTheme="minorHAnsi" w:cs="Arial"/>
          <w:b/>
          <w:bCs/>
          <w:sz w:val="24"/>
          <w:szCs w:val="24"/>
          <w:u w:val="single"/>
        </w:rPr>
      </w:pPr>
      <w:r w:rsidRPr="00B20E49">
        <w:rPr>
          <w:rFonts w:asciiTheme="minorHAnsi" w:hAnsiTheme="minorHAnsi" w:cs="Arial"/>
          <w:b/>
          <w:bCs/>
          <w:sz w:val="24"/>
          <w:szCs w:val="24"/>
          <w:u w:val="single"/>
        </w:rPr>
        <w:t xml:space="preserve">References </w:t>
      </w:r>
    </w:p>
    <w:p w14:paraId="6E556759" w14:textId="77777777" w:rsidR="00B20E49" w:rsidRPr="00B20E49" w:rsidRDefault="00B20E49" w:rsidP="00B20E49">
      <w:pPr>
        <w:spacing w:line="257" w:lineRule="auto"/>
        <w:ind w:right="531"/>
        <w:rPr>
          <w:rFonts w:asciiTheme="minorHAnsi" w:hAnsiTheme="minorHAnsi" w:cs="Arial"/>
          <w:b/>
          <w:bCs/>
          <w:sz w:val="24"/>
          <w:szCs w:val="24"/>
          <w:u w:val="single"/>
        </w:rPr>
      </w:pPr>
    </w:p>
    <w:p w14:paraId="5D6AA150"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Aleksandra Thomson and Rachael Gooberman-Hill (2024) </w:t>
      </w:r>
      <w:r w:rsidRPr="00B20E49">
        <w:rPr>
          <w:rFonts w:asciiTheme="minorHAnsi" w:hAnsiTheme="minorHAnsi" w:cs="Arial"/>
          <w:i/>
          <w:iCs/>
          <w:sz w:val="24"/>
          <w:szCs w:val="24"/>
        </w:rPr>
        <w:t>Nurturing Equality, Diversity and Inclusion</w:t>
      </w:r>
      <w:r w:rsidRPr="00B20E49">
        <w:rPr>
          <w:rFonts w:ascii="Arial" w:hAnsi="Arial" w:cs="Arial"/>
          <w:i/>
          <w:iCs/>
          <w:sz w:val="24"/>
          <w:szCs w:val="24"/>
        </w:rPr>
        <w:t> </w:t>
      </w:r>
      <w:r w:rsidRPr="00B20E49">
        <w:rPr>
          <w:rFonts w:asciiTheme="minorHAnsi" w:hAnsiTheme="minorHAnsi" w:cs="Arial"/>
          <w:i/>
          <w:iCs/>
          <w:sz w:val="24"/>
          <w:szCs w:val="24"/>
        </w:rPr>
        <w:t>: Support for Research Careers in Health and Biomedicine</w:t>
      </w:r>
      <w:r w:rsidRPr="00B20E49">
        <w:rPr>
          <w:rFonts w:asciiTheme="minorHAnsi" w:hAnsiTheme="minorHAnsi" w:cs="Arial"/>
          <w:sz w:val="24"/>
          <w:szCs w:val="24"/>
        </w:rPr>
        <w:t>. Bristol: Policy Press. Available at: https://research-ebsco-com.ezproxy.uwtsd.ac.uk/linkprocessor/plink?id=6c26f377-e5df-3bf0-83c1-ac012151ebc3 (Accessed: 27 June 2025).</w:t>
      </w:r>
    </w:p>
    <w:p w14:paraId="5EBB6E20" w14:textId="77777777" w:rsidR="00B20E49" w:rsidRPr="00B20E49" w:rsidRDefault="00B20E49" w:rsidP="00B20E49">
      <w:pPr>
        <w:spacing w:line="257" w:lineRule="auto"/>
        <w:ind w:right="531"/>
        <w:rPr>
          <w:rFonts w:asciiTheme="minorHAnsi" w:hAnsiTheme="minorHAnsi" w:cs="Arial"/>
          <w:sz w:val="24"/>
          <w:szCs w:val="24"/>
        </w:rPr>
      </w:pPr>
    </w:p>
    <w:p w14:paraId="577CA953"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College of Policing (2017) </w:t>
      </w:r>
      <w:r w:rsidRPr="00B20E49">
        <w:rPr>
          <w:rFonts w:asciiTheme="minorHAnsi" w:hAnsiTheme="minorHAnsi" w:cs="Arial"/>
          <w:i/>
          <w:iCs/>
          <w:sz w:val="24"/>
          <w:szCs w:val="24"/>
        </w:rPr>
        <w:t>Stop and search | college of policing</w:t>
      </w:r>
      <w:r w:rsidRPr="00B20E49">
        <w:rPr>
          <w:rFonts w:asciiTheme="minorHAnsi" w:hAnsiTheme="minorHAnsi" w:cs="Arial"/>
          <w:sz w:val="24"/>
          <w:szCs w:val="24"/>
        </w:rPr>
        <w:t xml:space="preserve">, </w:t>
      </w:r>
      <w:r w:rsidRPr="00B20E49">
        <w:rPr>
          <w:rFonts w:asciiTheme="minorHAnsi" w:hAnsiTheme="minorHAnsi" w:cs="Arial"/>
          <w:i/>
          <w:iCs/>
          <w:sz w:val="24"/>
          <w:szCs w:val="24"/>
        </w:rPr>
        <w:t>Stop and Search</w:t>
      </w:r>
      <w:r w:rsidRPr="00B20E49">
        <w:rPr>
          <w:rFonts w:asciiTheme="minorHAnsi" w:hAnsiTheme="minorHAnsi" w:cs="Arial"/>
          <w:sz w:val="24"/>
          <w:szCs w:val="24"/>
        </w:rPr>
        <w:t xml:space="preserve">. Available at: https://www.college.police.uk/app/stop-and-search/stop-and-search (Accessed: 30 June 2025). </w:t>
      </w:r>
    </w:p>
    <w:p w14:paraId="6478BDFA" w14:textId="77777777" w:rsidR="00B20E49" w:rsidRPr="00B20E49" w:rsidRDefault="00B20E49" w:rsidP="00B20E49">
      <w:pPr>
        <w:spacing w:line="257" w:lineRule="auto"/>
        <w:ind w:right="531"/>
        <w:rPr>
          <w:rFonts w:asciiTheme="minorHAnsi" w:hAnsiTheme="minorHAnsi" w:cs="Arial"/>
          <w:sz w:val="24"/>
          <w:szCs w:val="24"/>
        </w:rPr>
      </w:pPr>
    </w:p>
    <w:p w14:paraId="071CFE15"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Farrell, C. and Barao, L. (2022) ‘Police officer perceptions of diversity efforts: A disconnect between the goals and the methods’, </w:t>
      </w:r>
      <w:r w:rsidRPr="00B20E49">
        <w:rPr>
          <w:rFonts w:asciiTheme="minorHAnsi" w:hAnsiTheme="minorHAnsi" w:cs="Arial"/>
          <w:i/>
          <w:iCs/>
          <w:sz w:val="24"/>
          <w:szCs w:val="24"/>
        </w:rPr>
        <w:t>Police Practice and Research</w:t>
      </w:r>
      <w:r w:rsidRPr="00B20E49">
        <w:rPr>
          <w:rFonts w:asciiTheme="minorHAnsi" w:hAnsiTheme="minorHAnsi" w:cs="Arial"/>
          <w:sz w:val="24"/>
          <w:szCs w:val="24"/>
        </w:rPr>
        <w:t xml:space="preserve">, 24(2), pp. 216–231. doi:10.1080/15614263.2022.2098127. </w:t>
      </w:r>
    </w:p>
    <w:p w14:paraId="7E4C326F" w14:textId="77777777" w:rsidR="00B20E49" w:rsidRPr="00B20E49" w:rsidRDefault="00B20E49" w:rsidP="00B20E49">
      <w:pPr>
        <w:spacing w:line="257" w:lineRule="auto"/>
        <w:ind w:right="531"/>
        <w:rPr>
          <w:rFonts w:asciiTheme="minorHAnsi" w:hAnsiTheme="minorHAnsi" w:cs="Arial"/>
          <w:sz w:val="24"/>
          <w:szCs w:val="24"/>
        </w:rPr>
      </w:pPr>
    </w:p>
    <w:p w14:paraId="4C37BF1D"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FitzGerald, M., &amp; </w:t>
      </w:r>
      <w:proofErr w:type="spellStart"/>
      <w:r w:rsidRPr="00B20E49">
        <w:rPr>
          <w:rFonts w:asciiTheme="minorHAnsi" w:hAnsiTheme="minorHAnsi" w:cs="Arial"/>
          <w:sz w:val="24"/>
          <w:szCs w:val="24"/>
        </w:rPr>
        <w:t>Sibbit</w:t>
      </w:r>
      <w:proofErr w:type="spellEnd"/>
      <w:r w:rsidRPr="00B20E49">
        <w:rPr>
          <w:rFonts w:asciiTheme="minorHAnsi" w:hAnsiTheme="minorHAnsi" w:cs="Arial"/>
          <w:sz w:val="24"/>
          <w:szCs w:val="24"/>
        </w:rPr>
        <w:t xml:space="preserve">, R. (1997). </w:t>
      </w:r>
      <w:proofErr w:type="spellStart"/>
      <w:r w:rsidRPr="00B20E49">
        <w:rPr>
          <w:rFonts w:asciiTheme="minorHAnsi" w:hAnsiTheme="minorHAnsi" w:cs="Arial"/>
          <w:sz w:val="24"/>
          <w:szCs w:val="24"/>
        </w:rPr>
        <w:t>Ethnicmonitoring</w:t>
      </w:r>
      <w:proofErr w:type="spellEnd"/>
      <w:r w:rsidRPr="00B20E49">
        <w:rPr>
          <w:rFonts w:asciiTheme="minorHAnsi" w:hAnsiTheme="minorHAnsi" w:cs="Arial"/>
          <w:sz w:val="24"/>
          <w:szCs w:val="24"/>
        </w:rPr>
        <w:t xml:space="preserve"> in police forces: </w:t>
      </w:r>
      <w:proofErr w:type="gramStart"/>
      <w:r w:rsidRPr="00B20E49">
        <w:rPr>
          <w:rFonts w:asciiTheme="minorHAnsi" w:hAnsiTheme="minorHAnsi" w:cs="Arial"/>
          <w:sz w:val="24"/>
          <w:szCs w:val="24"/>
        </w:rPr>
        <w:t>A research</w:t>
      </w:r>
      <w:proofErr w:type="gramEnd"/>
      <w:r w:rsidRPr="00B20E49">
        <w:rPr>
          <w:rFonts w:asciiTheme="minorHAnsi" w:hAnsiTheme="minorHAnsi" w:cs="Arial"/>
          <w:sz w:val="24"/>
          <w:szCs w:val="24"/>
        </w:rPr>
        <w:t xml:space="preserve"> </w:t>
      </w:r>
      <w:proofErr w:type="spellStart"/>
      <w:r w:rsidRPr="00B20E49">
        <w:rPr>
          <w:rFonts w:asciiTheme="minorHAnsi" w:hAnsiTheme="minorHAnsi" w:cs="Arial"/>
          <w:sz w:val="24"/>
          <w:szCs w:val="24"/>
        </w:rPr>
        <w:t>beginning,Research</w:t>
      </w:r>
      <w:proofErr w:type="spellEnd"/>
      <w:r w:rsidRPr="00B20E49">
        <w:rPr>
          <w:rFonts w:asciiTheme="minorHAnsi" w:hAnsiTheme="minorHAnsi" w:cs="Arial"/>
          <w:sz w:val="24"/>
          <w:szCs w:val="24"/>
        </w:rPr>
        <w:t xml:space="preserve"> Study 173. London: </w:t>
      </w:r>
      <w:proofErr w:type="spellStart"/>
      <w:r w:rsidRPr="00B20E49">
        <w:rPr>
          <w:rFonts w:asciiTheme="minorHAnsi" w:hAnsiTheme="minorHAnsi" w:cs="Arial"/>
          <w:sz w:val="24"/>
          <w:szCs w:val="24"/>
        </w:rPr>
        <w:t>HomeOfﬁce</w:t>
      </w:r>
      <w:proofErr w:type="spellEnd"/>
    </w:p>
    <w:p w14:paraId="11AB9FDE" w14:textId="77777777" w:rsidR="00B20E49" w:rsidRPr="00B20E49" w:rsidRDefault="00B20E49" w:rsidP="00B20E49">
      <w:pPr>
        <w:spacing w:line="257" w:lineRule="auto"/>
        <w:ind w:right="531"/>
        <w:rPr>
          <w:rFonts w:asciiTheme="minorHAnsi" w:hAnsiTheme="minorHAnsi" w:cs="Arial"/>
          <w:sz w:val="24"/>
          <w:szCs w:val="24"/>
        </w:rPr>
      </w:pPr>
    </w:p>
    <w:p w14:paraId="0020C372"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FRA (2021) </w:t>
      </w:r>
      <w:r w:rsidRPr="00B20E49">
        <w:rPr>
          <w:rFonts w:asciiTheme="minorHAnsi" w:hAnsiTheme="minorHAnsi" w:cs="Arial"/>
          <w:i/>
          <w:iCs/>
          <w:sz w:val="24"/>
          <w:szCs w:val="24"/>
        </w:rPr>
        <w:t>Your Rights Matter: Police Stops (Fundamental Rights Survey)</w:t>
      </w:r>
      <w:r w:rsidRPr="00B20E49">
        <w:rPr>
          <w:rFonts w:asciiTheme="minorHAnsi" w:hAnsiTheme="minorHAnsi" w:cs="Arial"/>
          <w:sz w:val="24"/>
          <w:szCs w:val="24"/>
        </w:rPr>
        <w:t>. Luxembourg: European Union Agency for Fundamental Rights (FRA). Available at: </w:t>
      </w:r>
      <w:hyperlink r:id="rId4" w:history="1">
        <w:r w:rsidRPr="00B20E49">
          <w:rPr>
            <w:rStyle w:val="Hyperlink"/>
            <w:rFonts w:asciiTheme="minorHAnsi" w:hAnsiTheme="minorHAnsi" w:cs="Arial"/>
            <w:sz w:val="24"/>
            <w:szCs w:val="24"/>
          </w:rPr>
          <w:t>https://fra.europa.eu/en/publication/2021/fundamental-rights-survey-police-stops</w:t>
        </w:r>
      </w:hyperlink>
      <w:r w:rsidRPr="00B20E49">
        <w:rPr>
          <w:rFonts w:asciiTheme="minorHAnsi" w:hAnsiTheme="minorHAnsi" w:cs="Arial"/>
          <w:sz w:val="24"/>
          <w:szCs w:val="24"/>
        </w:rPr>
        <w:t>.</w:t>
      </w:r>
    </w:p>
    <w:p w14:paraId="03F69DF2" w14:textId="77777777" w:rsidR="00B20E49" w:rsidRPr="00B20E49" w:rsidRDefault="00B20E49" w:rsidP="00B20E49">
      <w:pPr>
        <w:spacing w:line="257" w:lineRule="auto"/>
        <w:ind w:right="531"/>
        <w:rPr>
          <w:rFonts w:asciiTheme="minorHAnsi" w:hAnsiTheme="minorHAnsi" w:cs="Arial"/>
          <w:sz w:val="24"/>
          <w:szCs w:val="24"/>
        </w:rPr>
      </w:pPr>
    </w:p>
    <w:p w14:paraId="271602DE"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lastRenderedPageBreak/>
        <w:t xml:space="preserve">GOV.UK (2023) </w:t>
      </w:r>
      <w:r w:rsidRPr="00B20E49">
        <w:rPr>
          <w:rFonts w:asciiTheme="minorHAnsi" w:hAnsiTheme="minorHAnsi" w:cs="Arial"/>
          <w:i/>
          <w:iCs/>
          <w:sz w:val="24"/>
          <w:szCs w:val="24"/>
        </w:rPr>
        <w:t>Pace code A 2015</w:t>
      </w:r>
      <w:r w:rsidRPr="00B20E49">
        <w:rPr>
          <w:rFonts w:asciiTheme="minorHAnsi" w:hAnsiTheme="minorHAnsi" w:cs="Arial"/>
          <w:sz w:val="24"/>
          <w:szCs w:val="24"/>
        </w:rPr>
        <w:t xml:space="preserve">, </w:t>
      </w:r>
      <w:r w:rsidRPr="00B20E49">
        <w:rPr>
          <w:rFonts w:asciiTheme="minorHAnsi" w:hAnsiTheme="minorHAnsi" w:cs="Arial"/>
          <w:i/>
          <w:iCs/>
          <w:sz w:val="24"/>
          <w:szCs w:val="24"/>
        </w:rPr>
        <w:t>GOV.UK</w:t>
      </w:r>
      <w:r w:rsidRPr="00B20E49">
        <w:rPr>
          <w:rFonts w:asciiTheme="minorHAnsi" w:hAnsiTheme="minorHAnsi" w:cs="Arial"/>
          <w:sz w:val="24"/>
          <w:szCs w:val="24"/>
        </w:rPr>
        <w:t xml:space="preserve">. Available at: https://www.gov.uk/government/publications/pace-code-a-2015 (Accessed: 30 June 2025). </w:t>
      </w:r>
    </w:p>
    <w:p w14:paraId="1278B81C" w14:textId="77777777" w:rsidR="00B20E49" w:rsidRPr="00B20E49" w:rsidRDefault="00B20E49" w:rsidP="00B20E49">
      <w:pPr>
        <w:spacing w:line="257" w:lineRule="auto"/>
        <w:ind w:right="531"/>
        <w:rPr>
          <w:rFonts w:asciiTheme="minorHAnsi" w:hAnsiTheme="minorHAnsi" w:cs="Arial"/>
          <w:sz w:val="24"/>
          <w:szCs w:val="24"/>
        </w:rPr>
      </w:pPr>
    </w:p>
    <w:p w14:paraId="3C3BB2F9"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Haarr, R. N., &amp; Morash, M. (1999). Gender, race, and strategies of coping with occupational stress in policing. </w:t>
      </w:r>
      <w:r w:rsidRPr="00B20E49">
        <w:rPr>
          <w:rFonts w:asciiTheme="minorHAnsi" w:hAnsiTheme="minorHAnsi" w:cs="Arial"/>
          <w:i/>
          <w:iCs/>
          <w:sz w:val="24"/>
          <w:szCs w:val="24"/>
        </w:rPr>
        <w:t>Justice Quarterly</w:t>
      </w:r>
      <w:r w:rsidRPr="00B20E49">
        <w:rPr>
          <w:rFonts w:asciiTheme="minorHAnsi" w:hAnsiTheme="minorHAnsi" w:cs="Arial"/>
          <w:sz w:val="24"/>
          <w:szCs w:val="24"/>
        </w:rPr>
        <w:t xml:space="preserve">, 16(2), 303–336. </w:t>
      </w:r>
      <w:hyperlink r:id="rId5" w:history="1">
        <w:r w:rsidRPr="00B20E49">
          <w:rPr>
            <w:rStyle w:val="Hyperlink"/>
            <w:rFonts w:asciiTheme="minorHAnsi" w:hAnsiTheme="minorHAnsi" w:cs="Arial"/>
            <w:sz w:val="24"/>
            <w:szCs w:val="24"/>
          </w:rPr>
          <w:t>https://doi-org.ezproxy.uwtsd.ac.uk/10.1080/07418829900094151</w:t>
        </w:r>
      </w:hyperlink>
    </w:p>
    <w:p w14:paraId="594DBD67" w14:textId="77777777" w:rsidR="00B20E49" w:rsidRPr="00B20E49" w:rsidRDefault="00B20E49" w:rsidP="00B20E49">
      <w:pPr>
        <w:spacing w:line="257" w:lineRule="auto"/>
        <w:ind w:right="531"/>
        <w:rPr>
          <w:rFonts w:asciiTheme="minorHAnsi" w:hAnsiTheme="minorHAnsi" w:cs="Arial"/>
          <w:sz w:val="24"/>
          <w:szCs w:val="24"/>
        </w:rPr>
      </w:pPr>
    </w:p>
    <w:p w14:paraId="166810C1"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i/>
          <w:iCs/>
          <w:sz w:val="24"/>
          <w:szCs w:val="24"/>
        </w:rPr>
        <w:t>Police workforce</w:t>
      </w:r>
      <w:r w:rsidRPr="00B20E49">
        <w:rPr>
          <w:rFonts w:asciiTheme="minorHAnsi" w:hAnsiTheme="minorHAnsi" w:cs="Arial"/>
          <w:sz w:val="24"/>
          <w:szCs w:val="24"/>
        </w:rPr>
        <w:t xml:space="preserve"> (2023) </w:t>
      </w:r>
      <w:r w:rsidRPr="00B20E49">
        <w:rPr>
          <w:rFonts w:asciiTheme="minorHAnsi" w:hAnsiTheme="minorHAnsi" w:cs="Arial"/>
          <w:i/>
          <w:iCs/>
          <w:sz w:val="24"/>
          <w:szCs w:val="24"/>
        </w:rPr>
        <w:t>GOV.UK Ethnicity facts and figures</w:t>
      </w:r>
      <w:r w:rsidRPr="00B20E49">
        <w:rPr>
          <w:rFonts w:asciiTheme="minorHAnsi" w:hAnsiTheme="minorHAnsi" w:cs="Arial"/>
          <w:sz w:val="24"/>
          <w:szCs w:val="24"/>
        </w:rPr>
        <w:t>. Available at: https://www.ethnicity-facts-figures.service.gov.uk/workforce-and-business/workforce-diversity/police-workforce/latest/ (Accessed: 30</w:t>
      </w:r>
      <w:r w:rsidRPr="00B20E49">
        <w:rPr>
          <w:rFonts w:asciiTheme="minorHAnsi" w:hAnsiTheme="minorHAnsi" w:cs="Arial"/>
          <w:sz w:val="24"/>
          <w:szCs w:val="24"/>
          <w:vertAlign w:val="superscript"/>
        </w:rPr>
        <w:t>th</w:t>
      </w:r>
      <w:r w:rsidRPr="00B20E49">
        <w:rPr>
          <w:rFonts w:asciiTheme="minorHAnsi" w:hAnsiTheme="minorHAnsi" w:cs="Arial"/>
          <w:sz w:val="24"/>
          <w:szCs w:val="24"/>
        </w:rPr>
        <w:t xml:space="preserve"> June 2025). </w:t>
      </w:r>
    </w:p>
    <w:p w14:paraId="31578B04" w14:textId="77777777" w:rsidR="00B20E49" w:rsidRPr="00B20E49" w:rsidRDefault="00B20E49" w:rsidP="00B20E49">
      <w:pPr>
        <w:spacing w:line="257" w:lineRule="auto"/>
        <w:ind w:right="531"/>
        <w:rPr>
          <w:rFonts w:asciiTheme="minorHAnsi" w:hAnsiTheme="minorHAnsi" w:cs="Arial"/>
          <w:sz w:val="24"/>
          <w:szCs w:val="24"/>
        </w:rPr>
      </w:pPr>
    </w:p>
    <w:p w14:paraId="067CD633"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Rowe, M. (2002) ‘Policing diversity: Themes and concerns from the recent British experience’, </w:t>
      </w:r>
      <w:r w:rsidRPr="00B20E49">
        <w:rPr>
          <w:rFonts w:asciiTheme="minorHAnsi" w:hAnsiTheme="minorHAnsi" w:cs="Arial"/>
          <w:i/>
          <w:iCs/>
          <w:sz w:val="24"/>
          <w:szCs w:val="24"/>
        </w:rPr>
        <w:t>Police Quarterly</w:t>
      </w:r>
      <w:r w:rsidRPr="00B20E49">
        <w:rPr>
          <w:rFonts w:asciiTheme="minorHAnsi" w:hAnsiTheme="minorHAnsi" w:cs="Arial"/>
          <w:sz w:val="24"/>
          <w:szCs w:val="24"/>
        </w:rPr>
        <w:t xml:space="preserve">, 5(4), pp. 424–446. doi:10.1177/109861102237689. </w:t>
      </w:r>
    </w:p>
    <w:p w14:paraId="7E320969"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Schuck, A. M., &amp; Rabe-Hemp, C. (2005). Women police: The use of force by and against female officers. </w:t>
      </w:r>
      <w:r w:rsidRPr="00B20E49">
        <w:rPr>
          <w:rFonts w:asciiTheme="minorHAnsi" w:hAnsiTheme="minorHAnsi" w:cs="Arial"/>
          <w:i/>
          <w:iCs/>
          <w:sz w:val="24"/>
          <w:szCs w:val="24"/>
        </w:rPr>
        <w:t>Women &amp; Criminal Justice</w:t>
      </w:r>
      <w:r w:rsidRPr="00B20E49">
        <w:rPr>
          <w:rFonts w:asciiTheme="minorHAnsi" w:hAnsiTheme="minorHAnsi" w:cs="Arial"/>
          <w:sz w:val="24"/>
          <w:szCs w:val="24"/>
        </w:rPr>
        <w:t xml:space="preserve">, 16(4), 91–117. </w:t>
      </w:r>
      <w:hyperlink r:id="rId6" w:history="1">
        <w:r w:rsidRPr="00B20E49">
          <w:rPr>
            <w:rStyle w:val="Hyperlink"/>
            <w:rFonts w:asciiTheme="minorHAnsi" w:hAnsiTheme="minorHAnsi" w:cs="Arial"/>
            <w:sz w:val="24"/>
            <w:szCs w:val="24"/>
          </w:rPr>
          <w:t>https://doi-org.ezproxy.uwtsd.ac.uk/10.1300/J012v16n04_05</w:t>
        </w:r>
      </w:hyperlink>
    </w:p>
    <w:p w14:paraId="60A00BC3" w14:textId="77777777" w:rsidR="00B20E49" w:rsidRPr="00B20E49" w:rsidRDefault="00B20E49" w:rsidP="00B20E49">
      <w:pPr>
        <w:spacing w:line="257" w:lineRule="auto"/>
        <w:ind w:right="531"/>
        <w:rPr>
          <w:rFonts w:asciiTheme="minorHAnsi" w:hAnsiTheme="minorHAnsi" w:cs="Arial"/>
          <w:sz w:val="24"/>
          <w:szCs w:val="24"/>
        </w:rPr>
      </w:pPr>
    </w:p>
    <w:p w14:paraId="76F0132D"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South Wales Police (2025) </w:t>
      </w:r>
      <w:r w:rsidRPr="00B20E49">
        <w:rPr>
          <w:rFonts w:asciiTheme="minorHAnsi" w:hAnsiTheme="minorHAnsi" w:cs="Arial"/>
          <w:i/>
          <w:iCs/>
          <w:sz w:val="24"/>
          <w:szCs w:val="24"/>
        </w:rPr>
        <w:t>South Wales Police, bursary scheme for ethnic minorities</w:t>
      </w:r>
      <w:r w:rsidRPr="00B20E49">
        <w:rPr>
          <w:rFonts w:asciiTheme="minorHAnsi" w:hAnsiTheme="minorHAnsi" w:cs="Arial"/>
          <w:sz w:val="24"/>
          <w:szCs w:val="24"/>
        </w:rPr>
        <w:t xml:space="preserve"> </w:t>
      </w:r>
      <w:r w:rsidRPr="00B20E49">
        <w:rPr>
          <w:rFonts w:asciiTheme="minorHAnsi" w:hAnsiTheme="minorHAnsi" w:cs="Arial"/>
          <w:i/>
          <w:iCs/>
          <w:sz w:val="24"/>
          <w:szCs w:val="24"/>
        </w:rPr>
        <w:t>South Wales Police, Bursary Scheme for ethnic minorities for the Degree in  Professional Policing</w:t>
      </w:r>
      <w:r w:rsidRPr="00B20E49">
        <w:rPr>
          <w:rFonts w:asciiTheme="minorHAnsi" w:hAnsiTheme="minorHAnsi" w:cs="Arial"/>
          <w:sz w:val="24"/>
          <w:szCs w:val="24"/>
        </w:rPr>
        <w:t xml:space="preserve">. Available at: https://www.south-wales.police.uk/SysSiteAssets/media/downloads/south-wales/about-us/careers/hr-documents/bursary-terms-of-reference-_-privacy-final.pdf (Accessed: 30 June 2025). </w:t>
      </w:r>
    </w:p>
    <w:p w14:paraId="731C8F4B" w14:textId="77777777" w:rsidR="00B20E49" w:rsidRPr="00B20E49" w:rsidRDefault="00B20E49" w:rsidP="00B20E49">
      <w:pPr>
        <w:spacing w:line="257" w:lineRule="auto"/>
        <w:ind w:right="531"/>
        <w:rPr>
          <w:rFonts w:asciiTheme="minorHAnsi" w:hAnsiTheme="minorHAnsi" w:cs="Arial"/>
          <w:sz w:val="24"/>
          <w:szCs w:val="24"/>
        </w:rPr>
      </w:pPr>
    </w:p>
    <w:p w14:paraId="29B22A75"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Statista (2025) </w:t>
      </w:r>
      <w:r w:rsidRPr="00B20E49">
        <w:rPr>
          <w:rFonts w:asciiTheme="minorHAnsi" w:hAnsiTheme="minorHAnsi" w:cs="Arial"/>
          <w:i/>
          <w:iCs/>
          <w:sz w:val="24"/>
          <w:szCs w:val="24"/>
        </w:rPr>
        <w:t>Police rank distribution England and Wales by gender 2024</w:t>
      </w:r>
      <w:r w:rsidRPr="00B20E49">
        <w:rPr>
          <w:rFonts w:asciiTheme="minorHAnsi" w:hAnsiTheme="minorHAnsi" w:cs="Arial"/>
          <w:sz w:val="24"/>
          <w:szCs w:val="24"/>
        </w:rPr>
        <w:t xml:space="preserve">, </w:t>
      </w:r>
      <w:r w:rsidRPr="00B20E49">
        <w:rPr>
          <w:rFonts w:asciiTheme="minorHAnsi" w:hAnsiTheme="minorHAnsi" w:cs="Arial"/>
          <w:i/>
          <w:iCs/>
          <w:sz w:val="24"/>
          <w:szCs w:val="24"/>
        </w:rPr>
        <w:t>Distribution of police ranks in England and Wales in 2024, by gender</w:t>
      </w:r>
      <w:r w:rsidRPr="00B20E49">
        <w:rPr>
          <w:rFonts w:asciiTheme="minorHAnsi" w:hAnsiTheme="minorHAnsi" w:cs="Arial"/>
          <w:sz w:val="24"/>
          <w:szCs w:val="24"/>
        </w:rPr>
        <w:t>. Available at: https://www.statista.com/statistics/382525/share-of-police-officers-in-england-and-wales-gender-rank/ (Accessed: 30</w:t>
      </w:r>
      <w:r w:rsidRPr="00B20E49">
        <w:rPr>
          <w:rFonts w:asciiTheme="minorHAnsi" w:hAnsiTheme="minorHAnsi" w:cs="Arial"/>
          <w:sz w:val="24"/>
          <w:szCs w:val="24"/>
          <w:vertAlign w:val="superscript"/>
        </w:rPr>
        <w:t>th</w:t>
      </w:r>
      <w:r w:rsidRPr="00B20E49">
        <w:rPr>
          <w:rFonts w:asciiTheme="minorHAnsi" w:hAnsiTheme="minorHAnsi" w:cs="Arial"/>
          <w:sz w:val="24"/>
          <w:szCs w:val="24"/>
        </w:rPr>
        <w:t xml:space="preserve"> June 2025). </w:t>
      </w:r>
    </w:p>
    <w:p w14:paraId="331387DF" w14:textId="77777777" w:rsidR="00B20E49" w:rsidRPr="00B20E49" w:rsidRDefault="00B20E49" w:rsidP="00B20E49">
      <w:pPr>
        <w:spacing w:line="257" w:lineRule="auto"/>
        <w:ind w:right="531"/>
        <w:rPr>
          <w:rFonts w:asciiTheme="minorHAnsi" w:hAnsiTheme="minorHAnsi" w:cs="Arial"/>
          <w:sz w:val="24"/>
          <w:szCs w:val="24"/>
        </w:rPr>
      </w:pPr>
    </w:p>
    <w:p w14:paraId="0F5046CA" w14:textId="77777777" w:rsidR="00B20E49" w:rsidRPr="00B20E49" w:rsidRDefault="00B20E49" w:rsidP="00B20E49">
      <w:pPr>
        <w:rPr>
          <w:rFonts w:asciiTheme="minorHAnsi" w:hAnsiTheme="minorHAnsi"/>
          <w:sz w:val="24"/>
          <w:szCs w:val="24"/>
        </w:rPr>
      </w:pPr>
    </w:p>
    <w:p w14:paraId="48E2B7A3" w14:textId="77777777" w:rsidR="000F4DEF" w:rsidRPr="00B20E49" w:rsidRDefault="000F4DEF">
      <w:pPr>
        <w:rPr>
          <w:rFonts w:asciiTheme="minorHAnsi" w:hAnsiTheme="minorHAnsi"/>
          <w:sz w:val="24"/>
          <w:szCs w:val="24"/>
        </w:rPr>
      </w:pPr>
    </w:p>
    <w:p w14:paraId="27406A07" w14:textId="77777777" w:rsidR="00B20E49" w:rsidRPr="00B20E49" w:rsidRDefault="00B20E49">
      <w:pPr>
        <w:rPr>
          <w:rFonts w:asciiTheme="minorHAnsi" w:hAnsiTheme="minorHAnsi"/>
          <w:sz w:val="24"/>
          <w:szCs w:val="24"/>
        </w:rPr>
      </w:pPr>
    </w:p>
    <w:p w14:paraId="72FF21D8" w14:textId="77777777" w:rsidR="00B20E49" w:rsidRPr="00B20E49" w:rsidRDefault="00B20E49">
      <w:pPr>
        <w:rPr>
          <w:rFonts w:asciiTheme="minorHAnsi" w:hAnsiTheme="minorHAnsi"/>
          <w:sz w:val="24"/>
          <w:szCs w:val="24"/>
        </w:rPr>
      </w:pPr>
    </w:p>
    <w:p w14:paraId="77CE4F0F" w14:textId="77777777" w:rsidR="00B20E49" w:rsidRPr="00B20E49" w:rsidRDefault="00B20E49">
      <w:pPr>
        <w:rPr>
          <w:rFonts w:asciiTheme="minorHAnsi" w:hAnsiTheme="minorHAnsi"/>
          <w:sz w:val="24"/>
          <w:szCs w:val="24"/>
        </w:rPr>
      </w:pPr>
    </w:p>
    <w:p w14:paraId="01F48EB9" w14:textId="77777777" w:rsidR="00B20E49" w:rsidRPr="00B20E49" w:rsidRDefault="00B20E49" w:rsidP="00B20E49">
      <w:pPr>
        <w:spacing w:line="257" w:lineRule="auto"/>
        <w:ind w:right="531"/>
        <w:rPr>
          <w:rFonts w:asciiTheme="minorHAnsi" w:hAnsiTheme="minorHAnsi" w:cs="Arial"/>
          <w:b/>
          <w:bCs/>
          <w:sz w:val="24"/>
          <w:szCs w:val="24"/>
        </w:rPr>
      </w:pPr>
      <w:r w:rsidRPr="00B20E49">
        <w:rPr>
          <w:rFonts w:asciiTheme="minorHAnsi" w:hAnsiTheme="minorHAnsi" w:cs="Arial"/>
          <w:b/>
          <w:bCs/>
          <w:sz w:val="24"/>
          <w:szCs w:val="24"/>
        </w:rPr>
        <w:t>Essay two:</w:t>
      </w:r>
    </w:p>
    <w:p w14:paraId="1E140FB9" w14:textId="77777777" w:rsidR="00B20E49" w:rsidRPr="00B20E49" w:rsidRDefault="00B20E49" w:rsidP="00B20E49">
      <w:pPr>
        <w:spacing w:line="257" w:lineRule="auto"/>
        <w:ind w:right="531"/>
        <w:rPr>
          <w:rFonts w:asciiTheme="minorHAnsi" w:eastAsia="Calibri" w:hAnsiTheme="minorHAnsi" w:cs="Arial"/>
          <w:sz w:val="24"/>
          <w:szCs w:val="24"/>
        </w:rPr>
      </w:pPr>
      <w:r w:rsidRPr="00B20E49">
        <w:rPr>
          <w:rFonts w:asciiTheme="minorHAnsi" w:eastAsia="Calibri" w:hAnsiTheme="minorHAnsi" w:cs="Arial"/>
          <w:b/>
          <w:bCs/>
          <w:sz w:val="24"/>
          <w:szCs w:val="24"/>
        </w:rPr>
        <w:t>Response policing – Why is it important to manage mental wellbeing in policing? What can be the consequences if mental wellbeing is not managed appropriately?</w:t>
      </w:r>
    </w:p>
    <w:p w14:paraId="02ABEEC0" w14:textId="77777777" w:rsidR="00B20E49" w:rsidRPr="00B20E49" w:rsidRDefault="00B20E49" w:rsidP="00B20E49">
      <w:pPr>
        <w:rPr>
          <w:rFonts w:asciiTheme="minorHAnsi" w:hAnsiTheme="minorHAnsi" w:cs="Arial"/>
          <w:sz w:val="24"/>
          <w:szCs w:val="24"/>
        </w:rPr>
      </w:pPr>
    </w:p>
    <w:p w14:paraId="18F2EB42" w14:textId="77777777" w:rsidR="00B20E49" w:rsidRPr="00B20E49" w:rsidRDefault="00B20E49" w:rsidP="00B20E49">
      <w:pPr>
        <w:rPr>
          <w:rFonts w:asciiTheme="minorHAnsi" w:hAnsiTheme="minorHAnsi" w:cs="Arial"/>
          <w:sz w:val="24"/>
          <w:szCs w:val="24"/>
        </w:rPr>
      </w:pPr>
    </w:p>
    <w:p w14:paraId="3A37FC99"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In this essay I will be discussing why it is important for police officers to manage mental wellbeing during their duties and the consequences if it is not managed appropriately. </w:t>
      </w:r>
    </w:p>
    <w:p w14:paraId="10E25E37"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Mental health can be described as the ability to manage life’s stressors, realise one’s potential, learn and work effectively, and give back to one’s community and is </w:t>
      </w:r>
      <w:r w:rsidRPr="00B20E49">
        <w:rPr>
          <w:rFonts w:asciiTheme="minorHAnsi" w:hAnsiTheme="minorHAnsi" w:cs="Arial"/>
          <w:sz w:val="24"/>
          <w:szCs w:val="24"/>
        </w:rPr>
        <w:lastRenderedPageBreak/>
        <w:t>determined by a “complex interplay of individual, social and structural stresses and vulnerabilities” (WHO, 2022).</w:t>
      </w:r>
      <w:r w:rsidRPr="00B20E49">
        <w:rPr>
          <w:rFonts w:asciiTheme="minorHAnsi" w:hAnsiTheme="minorHAnsi" w:cs="Open Sans"/>
          <w:sz w:val="24"/>
          <w:szCs w:val="24"/>
          <w:shd w:val="clear" w:color="auto" w:fill="FFFFFF"/>
        </w:rPr>
        <w:t xml:space="preserve"> </w:t>
      </w:r>
      <w:r w:rsidRPr="00B20E49">
        <w:rPr>
          <w:rFonts w:asciiTheme="minorHAnsi" w:hAnsiTheme="minorHAnsi" w:cs="Arial"/>
          <w:sz w:val="24"/>
          <w:szCs w:val="24"/>
        </w:rPr>
        <w:t>The workplace can have a significant impact on an individual’s psychological health (</w:t>
      </w:r>
      <w:hyperlink r:id="rId7" w:anchor="bibr35-1461355720907620" w:history="1">
        <w:r w:rsidRPr="00B20E49">
          <w:rPr>
            <w:rStyle w:val="Hyperlink"/>
            <w:rFonts w:asciiTheme="minorHAnsi" w:hAnsiTheme="minorHAnsi" w:cs="Arial"/>
            <w:color w:val="auto"/>
            <w:sz w:val="24"/>
            <w:szCs w:val="24"/>
            <w:u w:val="none"/>
          </w:rPr>
          <w:t>Johnson et al., 2018</w:t>
        </w:r>
      </w:hyperlink>
      <w:r w:rsidRPr="00B20E49">
        <w:rPr>
          <w:rFonts w:asciiTheme="minorHAnsi" w:hAnsiTheme="minorHAnsi" w:cs="Arial"/>
          <w:sz w:val="24"/>
          <w:szCs w:val="24"/>
        </w:rPr>
        <w:t xml:space="preserve">) and therefore it is important for individuals to manage their mental wellbeing accordingly. </w:t>
      </w:r>
    </w:p>
    <w:p w14:paraId="57451548" w14:textId="77777777" w:rsidR="00B20E49" w:rsidRPr="00B20E49" w:rsidRDefault="00B20E49" w:rsidP="00B20E49">
      <w:pPr>
        <w:rPr>
          <w:rFonts w:asciiTheme="minorHAnsi" w:hAnsiTheme="minorHAnsi" w:cs="Arial"/>
          <w:sz w:val="24"/>
          <w:szCs w:val="24"/>
        </w:rPr>
      </w:pPr>
    </w:p>
    <w:p w14:paraId="104E58EE"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According to academic researchers, psychologists and medical experts, policing is one of the most stressful professions (</w:t>
      </w:r>
      <w:proofErr w:type="spellStart"/>
      <w:r w:rsidRPr="00B20E49">
        <w:rPr>
          <w:rFonts w:asciiTheme="minorHAnsi" w:hAnsiTheme="minorHAnsi" w:cs="Arial"/>
          <w:sz w:val="24"/>
          <w:szCs w:val="24"/>
        </w:rPr>
        <w:t>Purba</w:t>
      </w:r>
      <w:proofErr w:type="spellEnd"/>
      <w:r w:rsidRPr="00B20E49">
        <w:rPr>
          <w:rFonts w:asciiTheme="minorHAnsi" w:hAnsiTheme="minorHAnsi" w:cs="Arial"/>
          <w:sz w:val="24"/>
          <w:szCs w:val="24"/>
        </w:rPr>
        <w:t xml:space="preserve"> &amp; </w:t>
      </w:r>
      <w:proofErr w:type="spellStart"/>
      <w:r w:rsidRPr="00B20E49">
        <w:rPr>
          <w:rFonts w:asciiTheme="minorHAnsi" w:hAnsiTheme="minorHAnsi" w:cs="Arial"/>
          <w:sz w:val="24"/>
          <w:szCs w:val="24"/>
        </w:rPr>
        <w:t>Demou</w:t>
      </w:r>
      <w:proofErr w:type="spellEnd"/>
      <w:r w:rsidRPr="00B20E49">
        <w:rPr>
          <w:rFonts w:asciiTheme="minorHAnsi" w:hAnsiTheme="minorHAnsi" w:cs="Arial"/>
          <w:sz w:val="24"/>
          <w:szCs w:val="24"/>
        </w:rPr>
        <w:t xml:space="preserve">, 2019). Therefore, managing mental wellbeing is vital in policing to be able to manage and cope in the workplace to maintain a healthy lifestyle. Police officers are exposed to numerous traumatic incidents day to day and therefore at risk of developing health issues such as Post traumatic stress disorder (PTSD), anxiety and depression. Jackman et al., (2020) reiterates this by stating that being in a difficult job such as policing can put officers and workers at risk for mental health issues such as depression and anxiety. </w:t>
      </w:r>
      <w:proofErr w:type="spellStart"/>
      <w:r w:rsidRPr="00B20E49">
        <w:rPr>
          <w:rFonts w:asciiTheme="minorHAnsi" w:hAnsiTheme="minorHAnsi" w:cs="Arial"/>
          <w:sz w:val="24"/>
          <w:szCs w:val="24"/>
        </w:rPr>
        <w:t>Purba</w:t>
      </w:r>
      <w:proofErr w:type="spellEnd"/>
      <w:r w:rsidRPr="00B20E49">
        <w:rPr>
          <w:rFonts w:asciiTheme="minorHAnsi" w:hAnsiTheme="minorHAnsi" w:cs="Arial"/>
          <w:sz w:val="24"/>
          <w:szCs w:val="24"/>
        </w:rPr>
        <w:t xml:space="preserve"> &amp; </w:t>
      </w:r>
      <w:proofErr w:type="spellStart"/>
      <w:r w:rsidRPr="00B20E49">
        <w:rPr>
          <w:rFonts w:asciiTheme="minorHAnsi" w:hAnsiTheme="minorHAnsi" w:cs="Arial"/>
          <w:sz w:val="24"/>
          <w:szCs w:val="24"/>
        </w:rPr>
        <w:t>Demou</w:t>
      </w:r>
      <w:proofErr w:type="spellEnd"/>
      <w:r w:rsidRPr="00B20E49">
        <w:rPr>
          <w:rFonts w:asciiTheme="minorHAnsi" w:hAnsiTheme="minorHAnsi" w:cs="Arial"/>
          <w:sz w:val="24"/>
          <w:szCs w:val="24"/>
        </w:rPr>
        <w:t xml:space="preserve"> (2019) states that one of the main causes of chronic work incapacity and sick leave is mental health. There were numerous exposures and occupational stresses in the police work environment which can raise the risk of mental health issues.</w:t>
      </w:r>
    </w:p>
    <w:p w14:paraId="28B659E9" w14:textId="77777777" w:rsidR="00B20E49" w:rsidRPr="00B20E49" w:rsidRDefault="00B20E49" w:rsidP="00B20E49">
      <w:pPr>
        <w:rPr>
          <w:rFonts w:asciiTheme="minorHAnsi" w:hAnsiTheme="minorHAnsi" w:cs="Arial"/>
          <w:sz w:val="24"/>
          <w:szCs w:val="24"/>
        </w:rPr>
      </w:pPr>
    </w:p>
    <w:p w14:paraId="76A40301"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Territo &amp; Vetter (1981) suggest that there are four categories that could be used to classify the pressure that police officers face, these are: organisational practises and characteristics, criminal justice system practises and characteristics, public practises and general police work. These four categories can then be further divided into operational and organisation stressors. Operational and organisational  pressures have led to an increase in research on the factors influencing police officers’ mental health (McCreary &amp; Thompson, 2006). </w:t>
      </w:r>
    </w:p>
    <w:p w14:paraId="0D142285" w14:textId="77777777" w:rsidR="00B20E49" w:rsidRPr="00B20E49" w:rsidRDefault="00B20E49" w:rsidP="00B20E49">
      <w:pPr>
        <w:rPr>
          <w:rFonts w:asciiTheme="minorHAnsi" w:hAnsiTheme="minorHAnsi" w:cs="Arial"/>
          <w:sz w:val="24"/>
          <w:szCs w:val="24"/>
        </w:rPr>
      </w:pPr>
    </w:p>
    <w:p w14:paraId="587D042F"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In addition to this, another consequence of poor mental wellbeing in the workplace is that mental health issues have a number of socioeconomic repercussions because of things like absenteeism, presenteeism, lost productivity and early retirement due to illness (</w:t>
      </w:r>
      <w:proofErr w:type="spellStart"/>
      <w:r w:rsidRPr="00B20E49">
        <w:rPr>
          <w:rFonts w:asciiTheme="minorHAnsi" w:hAnsiTheme="minorHAnsi" w:cs="Arial"/>
          <w:sz w:val="24"/>
          <w:szCs w:val="24"/>
        </w:rPr>
        <w:t>Demou</w:t>
      </w:r>
      <w:proofErr w:type="spellEnd"/>
      <w:r w:rsidRPr="00B20E49">
        <w:rPr>
          <w:rFonts w:asciiTheme="minorHAnsi" w:hAnsiTheme="minorHAnsi" w:cs="Arial"/>
          <w:sz w:val="24"/>
          <w:szCs w:val="24"/>
        </w:rPr>
        <w:t xml:space="preserve"> et al, 2020). Along with financial costs, personal consequences to the person and their families include somatization, diminished self-esteem and a detrimental effect on social and familial relationships (</w:t>
      </w:r>
      <w:proofErr w:type="spellStart"/>
      <w:r w:rsidRPr="00B20E49">
        <w:rPr>
          <w:rFonts w:asciiTheme="minorHAnsi" w:hAnsiTheme="minorHAnsi" w:cs="Arial"/>
          <w:sz w:val="24"/>
          <w:szCs w:val="24"/>
        </w:rPr>
        <w:t>Demou</w:t>
      </w:r>
      <w:proofErr w:type="spellEnd"/>
      <w:r w:rsidRPr="00B20E49">
        <w:rPr>
          <w:rFonts w:asciiTheme="minorHAnsi" w:hAnsiTheme="minorHAnsi" w:cs="Arial"/>
          <w:sz w:val="24"/>
          <w:szCs w:val="24"/>
        </w:rPr>
        <w:t xml:space="preserve"> et al, 2020). This shows that poor mental health can have a long term and permanent impact on police officers’ lives by loss of finances and breakdown of relationships. </w:t>
      </w:r>
    </w:p>
    <w:p w14:paraId="4F165DEF" w14:textId="77777777" w:rsidR="00B20E49" w:rsidRPr="00B20E49" w:rsidRDefault="00B20E49" w:rsidP="00B20E49">
      <w:pPr>
        <w:rPr>
          <w:rFonts w:asciiTheme="minorHAnsi" w:hAnsiTheme="minorHAnsi" w:cs="Arial"/>
          <w:sz w:val="24"/>
          <w:szCs w:val="24"/>
        </w:rPr>
      </w:pPr>
    </w:p>
    <w:p w14:paraId="281E7204"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There have been numerous campaigns that have been aimed at supporting police officers and their mental wellbeing within the job. A recent campaign from the Police Federation of England and Wales (2020) stated that “more than twenty police officers took their own life each year”. Because of this, they had launched  the Hear “Man Up” Think “Man Down” campaign, the Police Federation of England and Wales (2020) recently underlined the significance of mental health in policing and urged officers and staff to keep an eye out for coworkers who could need support. The Police Federation of England and Wales contends that efforts must continue to provide earlier, better and more regular support notwithstanding the notable attention and advancements in officer welfare (Phythian </w:t>
      </w:r>
      <w:r w:rsidRPr="00B20E49">
        <w:rPr>
          <w:rFonts w:asciiTheme="minorHAnsi" w:hAnsiTheme="minorHAnsi" w:cs="Arial"/>
          <w:i/>
          <w:iCs/>
          <w:sz w:val="24"/>
          <w:szCs w:val="24"/>
        </w:rPr>
        <w:t>et al</w:t>
      </w:r>
      <w:r w:rsidRPr="00B20E49">
        <w:rPr>
          <w:rFonts w:asciiTheme="minorHAnsi" w:hAnsiTheme="minorHAnsi" w:cs="Arial"/>
          <w:sz w:val="24"/>
          <w:szCs w:val="24"/>
        </w:rPr>
        <w:t>., 2022).</w:t>
      </w:r>
    </w:p>
    <w:p w14:paraId="3308D547"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However, research from Bell &amp; Eski (2016) argues that the macho culture, cynicism and lack of empathy that have been linked to policing cultures discourage conversations about mental health issues and access to support, supporting the notion that </w:t>
      </w:r>
      <w:r w:rsidRPr="00B20E49">
        <w:rPr>
          <w:rFonts w:asciiTheme="minorHAnsi" w:hAnsiTheme="minorHAnsi" w:cs="Arial"/>
          <w:sz w:val="24"/>
          <w:szCs w:val="24"/>
        </w:rPr>
        <w:lastRenderedPageBreak/>
        <w:t xml:space="preserve">disclosing mental health issues destroys one’s career. Therefore, implying that police officers do not seek early help or intervention in regard to their mental health, which in turn causes further issues later down the line. This suggests that campaigns aiming to support mental health are not being regarded as being beneficial in supporting mental wellbeing in the police. </w:t>
      </w:r>
    </w:p>
    <w:p w14:paraId="74EAC5C1" w14:textId="77777777" w:rsidR="00B20E49" w:rsidRPr="00B20E49" w:rsidRDefault="00B20E49" w:rsidP="00B20E49">
      <w:pPr>
        <w:rPr>
          <w:rFonts w:asciiTheme="minorHAnsi" w:hAnsiTheme="minorHAnsi" w:cs="Arial"/>
          <w:sz w:val="24"/>
          <w:szCs w:val="24"/>
        </w:rPr>
      </w:pPr>
    </w:p>
    <w:p w14:paraId="6DB16975"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Furthermore, people actively influence their stress reaction, which is influenced by their assessments and coping mechanisms. This helps to explain why two police officers may encounter the same pressures yet react in different ways (Mark &amp; Smith, 2008). This means that one officer may experience mental health issues earlier on in their career whereas, it may take another officer longer to process their stress reaction and therefore experience mental health issues later on in their career. Cox &amp; Griffiths (2010) suggested that people who are unable to adequately control their stress are more likely to experience adverse health consequences. Police officers who may take longer to process their stress reaction may be at an increased risk of experiencing PTSD due to their delayed response to stress. </w:t>
      </w:r>
    </w:p>
    <w:p w14:paraId="4A27A085" w14:textId="77777777" w:rsidR="00B20E49" w:rsidRPr="00B20E49" w:rsidRDefault="00B20E49" w:rsidP="00B20E49">
      <w:pPr>
        <w:rPr>
          <w:rFonts w:asciiTheme="minorHAnsi" w:hAnsiTheme="minorHAnsi" w:cs="Arial"/>
          <w:sz w:val="24"/>
          <w:szCs w:val="24"/>
        </w:rPr>
      </w:pPr>
    </w:p>
    <w:p w14:paraId="6D45E142"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In order to manage mental wellbeing in a policing environment it is important to maintain social support. Karasek &amp; Theorell (1990) state that</w:t>
      </w:r>
      <w:r w:rsidRPr="00B20E49">
        <w:rPr>
          <w:rFonts w:asciiTheme="minorHAnsi" w:hAnsiTheme="minorHAnsi" w:cs="Arial"/>
          <w:color w:val="FF0000"/>
          <w:sz w:val="24"/>
          <w:szCs w:val="24"/>
        </w:rPr>
        <w:t xml:space="preserve"> </w:t>
      </w:r>
      <w:r w:rsidRPr="00B20E49">
        <w:rPr>
          <w:rFonts w:asciiTheme="minorHAnsi" w:hAnsiTheme="minorHAnsi" w:cs="Arial"/>
          <w:sz w:val="24"/>
          <w:szCs w:val="24"/>
        </w:rPr>
        <w:t xml:space="preserve">“Social support in the workplace refers to the overall level help and support provided through social interactions with coworkers and supervisors”. Social support has been linked to lower PTSD symptoms, better overall mental health, higher job satisfaction and lower perceptions of organisational stress. Work colleagues can operate as crucial support providers and can frequently supply valuable knowledge that allows an individual to nurture a sense of control which can then boost psychological wellness (Jackman </w:t>
      </w:r>
      <w:r w:rsidRPr="00B20E49">
        <w:rPr>
          <w:rFonts w:asciiTheme="minorHAnsi" w:hAnsiTheme="minorHAnsi" w:cs="Arial"/>
          <w:i/>
          <w:iCs/>
          <w:sz w:val="24"/>
          <w:szCs w:val="24"/>
        </w:rPr>
        <w:t>et al</w:t>
      </w:r>
      <w:r w:rsidRPr="00B20E49">
        <w:rPr>
          <w:rFonts w:asciiTheme="minorHAnsi" w:hAnsiTheme="minorHAnsi" w:cs="Arial"/>
          <w:sz w:val="24"/>
          <w:szCs w:val="24"/>
        </w:rPr>
        <w:t>., 2020).</w:t>
      </w:r>
    </w:p>
    <w:p w14:paraId="2CDFA41A" w14:textId="77777777" w:rsidR="00B20E49" w:rsidRPr="00B20E49" w:rsidRDefault="00B20E49" w:rsidP="00B20E49">
      <w:pPr>
        <w:rPr>
          <w:rFonts w:asciiTheme="minorHAnsi" w:hAnsiTheme="minorHAnsi" w:cs="Arial"/>
          <w:color w:val="FF0000"/>
          <w:sz w:val="24"/>
          <w:szCs w:val="24"/>
        </w:rPr>
      </w:pPr>
    </w:p>
    <w:p w14:paraId="1AA74E7E"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To conclude, managing mental wellbeing in the police is vital due to the traumatic events that officers see daily and day to day pressures of the job. Not managing officers’ mental wellbeing early on can have a long term impact on their mental health such as PTSD and depression. Early intervention through social support is important as regular exposure to these incidents within the policing role as a whole can affect decision making and officer performance in the job. There are many support systems in place such as campaigns within the police force which aims to target officers struggling with mental health however research shows they are not being utilised appropriately due to the ideology that asking for help regarding mental health may ruin </w:t>
      </w:r>
      <w:proofErr w:type="gramStart"/>
      <w:r w:rsidRPr="00B20E49">
        <w:rPr>
          <w:rFonts w:asciiTheme="minorHAnsi" w:hAnsiTheme="minorHAnsi" w:cs="Arial"/>
          <w:sz w:val="24"/>
          <w:szCs w:val="24"/>
        </w:rPr>
        <w:t>ones</w:t>
      </w:r>
      <w:proofErr w:type="gramEnd"/>
      <w:r w:rsidRPr="00B20E49">
        <w:rPr>
          <w:rFonts w:asciiTheme="minorHAnsi" w:hAnsiTheme="minorHAnsi" w:cs="Arial"/>
          <w:sz w:val="24"/>
          <w:szCs w:val="24"/>
        </w:rPr>
        <w:t xml:space="preserve"> career. </w:t>
      </w:r>
    </w:p>
    <w:p w14:paraId="1F7AF178" w14:textId="77777777" w:rsidR="00B20E49" w:rsidRPr="00B20E49" w:rsidRDefault="00B20E49" w:rsidP="00B20E49">
      <w:pPr>
        <w:rPr>
          <w:rFonts w:asciiTheme="minorHAnsi" w:hAnsiTheme="minorHAnsi" w:cs="Arial"/>
          <w:color w:val="FF0000"/>
          <w:sz w:val="24"/>
          <w:szCs w:val="24"/>
        </w:rPr>
      </w:pPr>
    </w:p>
    <w:p w14:paraId="4A8E5D30" w14:textId="77777777" w:rsidR="00B20E49" w:rsidRPr="00B20E49" w:rsidRDefault="00B20E49" w:rsidP="00B20E49">
      <w:pPr>
        <w:rPr>
          <w:rFonts w:asciiTheme="minorHAnsi" w:hAnsiTheme="minorHAnsi" w:cs="Arial"/>
          <w:color w:val="FF0000"/>
          <w:sz w:val="24"/>
          <w:szCs w:val="24"/>
        </w:rPr>
      </w:pPr>
    </w:p>
    <w:p w14:paraId="5299D70C"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Word count – 994 </w:t>
      </w:r>
    </w:p>
    <w:p w14:paraId="72DBD4AD" w14:textId="77777777" w:rsidR="00B20E49" w:rsidRPr="00B20E49" w:rsidRDefault="00B20E49" w:rsidP="00B20E49">
      <w:pPr>
        <w:rPr>
          <w:rFonts w:asciiTheme="minorHAnsi" w:hAnsiTheme="minorHAnsi" w:cs="Arial"/>
          <w:sz w:val="24"/>
          <w:szCs w:val="24"/>
        </w:rPr>
      </w:pPr>
    </w:p>
    <w:p w14:paraId="767AF192" w14:textId="77777777" w:rsidR="00B20E49" w:rsidRPr="00B20E49" w:rsidRDefault="00B20E49" w:rsidP="00B20E49">
      <w:pPr>
        <w:rPr>
          <w:rFonts w:asciiTheme="minorHAnsi" w:hAnsiTheme="minorHAnsi" w:cs="Arial"/>
          <w:color w:val="FF0000"/>
          <w:sz w:val="24"/>
          <w:szCs w:val="24"/>
        </w:rPr>
      </w:pPr>
    </w:p>
    <w:p w14:paraId="659270A3" w14:textId="77777777" w:rsidR="00B20E49" w:rsidRPr="00B20E49" w:rsidRDefault="00B20E49" w:rsidP="00B20E49">
      <w:pPr>
        <w:rPr>
          <w:rFonts w:asciiTheme="minorHAnsi" w:hAnsiTheme="minorHAnsi" w:cs="Arial"/>
          <w:b/>
          <w:bCs/>
          <w:sz w:val="24"/>
          <w:szCs w:val="24"/>
          <w:u w:val="single"/>
        </w:rPr>
      </w:pPr>
    </w:p>
    <w:p w14:paraId="3DF80E22" w14:textId="77777777" w:rsidR="00B20E49" w:rsidRPr="00B20E49" w:rsidRDefault="00B20E49" w:rsidP="00B20E49">
      <w:pPr>
        <w:rPr>
          <w:rFonts w:asciiTheme="minorHAnsi" w:hAnsiTheme="minorHAnsi" w:cs="Arial"/>
          <w:b/>
          <w:bCs/>
          <w:sz w:val="24"/>
          <w:szCs w:val="24"/>
          <w:u w:val="single"/>
        </w:rPr>
      </w:pPr>
    </w:p>
    <w:p w14:paraId="7042FDEC" w14:textId="77777777" w:rsidR="00B20E49" w:rsidRPr="00B20E49" w:rsidRDefault="00B20E49" w:rsidP="00B20E49">
      <w:pPr>
        <w:rPr>
          <w:rFonts w:asciiTheme="minorHAnsi" w:hAnsiTheme="minorHAnsi" w:cs="Arial"/>
          <w:b/>
          <w:bCs/>
          <w:sz w:val="24"/>
          <w:szCs w:val="24"/>
          <w:u w:val="single"/>
        </w:rPr>
      </w:pPr>
      <w:r w:rsidRPr="00B20E49">
        <w:rPr>
          <w:rFonts w:asciiTheme="minorHAnsi" w:hAnsiTheme="minorHAnsi" w:cs="Arial"/>
          <w:b/>
          <w:bCs/>
          <w:sz w:val="24"/>
          <w:szCs w:val="24"/>
          <w:u w:val="single"/>
        </w:rPr>
        <w:t xml:space="preserve">References </w:t>
      </w:r>
    </w:p>
    <w:p w14:paraId="55144330" w14:textId="77777777" w:rsidR="00B20E49" w:rsidRPr="00B20E49" w:rsidRDefault="00B20E49" w:rsidP="00B20E49">
      <w:pPr>
        <w:rPr>
          <w:rFonts w:asciiTheme="minorHAnsi" w:hAnsiTheme="minorHAnsi" w:cs="Arial"/>
          <w:sz w:val="24"/>
          <w:szCs w:val="24"/>
        </w:rPr>
      </w:pPr>
    </w:p>
    <w:p w14:paraId="05627D68"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lastRenderedPageBreak/>
        <w:t>Bell, S., &amp; Eski, Y. (2016). ‘Break a Leg-It’s all in the mind’: Police Officers’ attitudes towards colleagues with mental health issues. Policing-a Journal of Policy and Practice, 10(2), 95–101. doi:10.1093/police/pav041</w:t>
      </w:r>
    </w:p>
    <w:p w14:paraId="2E71A0A6" w14:textId="77777777" w:rsidR="00B20E49" w:rsidRPr="00B20E49" w:rsidRDefault="00B20E49" w:rsidP="00B20E49">
      <w:pPr>
        <w:rPr>
          <w:rFonts w:asciiTheme="minorHAnsi" w:hAnsiTheme="minorHAnsi" w:cs="Arial"/>
          <w:sz w:val="24"/>
          <w:szCs w:val="24"/>
        </w:rPr>
      </w:pPr>
    </w:p>
    <w:p w14:paraId="582CDE0A"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Cox, T., &amp; Griffiths, A. (2010). Work-related stress: A theoretical perspective. In S. Leka, &amp; J. </w:t>
      </w:r>
      <w:proofErr w:type="spellStart"/>
      <w:r w:rsidRPr="00B20E49">
        <w:rPr>
          <w:rFonts w:asciiTheme="minorHAnsi" w:hAnsiTheme="minorHAnsi" w:cs="Arial"/>
          <w:sz w:val="24"/>
          <w:szCs w:val="24"/>
        </w:rPr>
        <w:t>Houdmont</w:t>
      </w:r>
      <w:proofErr w:type="spellEnd"/>
      <w:r w:rsidRPr="00B20E49">
        <w:rPr>
          <w:rFonts w:asciiTheme="minorHAnsi" w:hAnsiTheme="minorHAnsi" w:cs="Arial"/>
          <w:sz w:val="24"/>
          <w:szCs w:val="24"/>
        </w:rPr>
        <w:t xml:space="preserve"> (Eds.), Occupational Health Psychology . Wiley-Blackwell.</w:t>
      </w:r>
    </w:p>
    <w:p w14:paraId="4C4F0863"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br/>
      </w:r>
      <w:proofErr w:type="spellStart"/>
      <w:r w:rsidRPr="00B20E49">
        <w:rPr>
          <w:rFonts w:asciiTheme="minorHAnsi" w:hAnsiTheme="minorHAnsi" w:cs="Arial"/>
          <w:sz w:val="24"/>
          <w:szCs w:val="24"/>
        </w:rPr>
        <w:t>Demou</w:t>
      </w:r>
      <w:proofErr w:type="spellEnd"/>
      <w:r w:rsidRPr="00B20E49">
        <w:rPr>
          <w:rFonts w:asciiTheme="minorHAnsi" w:hAnsiTheme="minorHAnsi" w:cs="Arial"/>
          <w:sz w:val="24"/>
          <w:szCs w:val="24"/>
        </w:rPr>
        <w:t xml:space="preserve">, E., Hale, H., &amp; Hunt, K. (2020). Understanding the mental health and wellbeing needs of police officers and staff in Scotland. Police Practice and Research: An International Journal , 21 (6), 1–15. </w:t>
      </w:r>
      <w:hyperlink r:id="rId8" w:history="1">
        <w:r w:rsidRPr="00B20E49">
          <w:rPr>
            <w:rStyle w:val="Hyperlink"/>
            <w:rFonts w:asciiTheme="minorHAnsi" w:hAnsiTheme="minorHAnsi" w:cs="Arial"/>
            <w:sz w:val="24"/>
            <w:szCs w:val="24"/>
          </w:rPr>
          <w:t>https://doi.org/10.1080/15614263.2020.1772782</w:t>
        </w:r>
      </w:hyperlink>
    </w:p>
    <w:p w14:paraId="0F01A73E" w14:textId="77777777" w:rsidR="00B20E49" w:rsidRPr="00B20E49" w:rsidRDefault="00B20E49" w:rsidP="00B20E49">
      <w:pPr>
        <w:rPr>
          <w:rFonts w:asciiTheme="minorHAnsi" w:hAnsiTheme="minorHAnsi" w:cs="Arial"/>
          <w:sz w:val="24"/>
          <w:szCs w:val="24"/>
        </w:rPr>
      </w:pPr>
    </w:p>
    <w:p w14:paraId="4D79B0DE"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Jackman, P. C., Henderson, H., Clay, C., &amp; Coussens, A. H. (2020). The relationship between psychological wellbeing, social support, and personality in an English police force. International Journal of Police Science &amp; Management, 22 , 183–193</w:t>
      </w:r>
    </w:p>
    <w:p w14:paraId="50830918" w14:textId="77777777" w:rsidR="00B20E49" w:rsidRPr="00B20E49" w:rsidRDefault="00B20E49" w:rsidP="00B20E49">
      <w:pPr>
        <w:rPr>
          <w:rFonts w:asciiTheme="minorHAnsi" w:hAnsiTheme="minorHAnsi" w:cs="Arial"/>
          <w:sz w:val="24"/>
          <w:szCs w:val="24"/>
        </w:rPr>
      </w:pPr>
    </w:p>
    <w:p w14:paraId="4E00AC65" w14:textId="77777777" w:rsidR="00B20E49" w:rsidRPr="00B20E49" w:rsidRDefault="00B20E49" w:rsidP="00B20E49">
      <w:pPr>
        <w:rPr>
          <w:rFonts w:asciiTheme="minorHAnsi" w:hAnsiTheme="minorHAnsi" w:cs="Arial"/>
          <w:sz w:val="24"/>
          <w:szCs w:val="24"/>
        </w:rPr>
      </w:pPr>
      <w:r w:rsidRPr="00BC58C0">
        <w:rPr>
          <w:rFonts w:asciiTheme="minorHAnsi" w:hAnsiTheme="minorHAnsi" w:cs="Arial"/>
          <w:sz w:val="24"/>
          <w:szCs w:val="24"/>
        </w:rPr>
        <w:t>Johnson S, Robertson I, Cooper CL (2018) </w:t>
      </w:r>
      <w:r w:rsidRPr="00BC58C0">
        <w:rPr>
          <w:rFonts w:asciiTheme="minorHAnsi" w:hAnsiTheme="minorHAnsi" w:cs="Arial"/>
          <w:i/>
          <w:iCs/>
          <w:sz w:val="24"/>
          <w:szCs w:val="24"/>
        </w:rPr>
        <w:t>Well-Being: Productivity and Happiness at Work</w:t>
      </w:r>
      <w:r w:rsidRPr="00BC58C0">
        <w:rPr>
          <w:rFonts w:asciiTheme="minorHAnsi" w:hAnsiTheme="minorHAnsi" w:cs="Arial"/>
          <w:sz w:val="24"/>
          <w:szCs w:val="24"/>
        </w:rPr>
        <w:t>. Cham, Switzerland: Palgrave Macmillan.</w:t>
      </w:r>
    </w:p>
    <w:p w14:paraId="0AE26DE5" w14:textId="77777777" w:rsidR="00B20E49" w:rsidRPr="00BC58C0" w:rsidRDefault="00B20E49" w:rsidP="00B20E49">
      <w:pPr>
        <w:rPr>
          <w:rFonts w:asciiTheme="minorHAnsi" w:hAnsiTheme="minorHAnsi" w:cs="Arial"/>
          <w:sz w:val="24"/>
          <w:szCs w:val="24"/>
        </w:rPr>
      </w:pPr>
    </w:p>
    <w:p w14:paraId="2B9E9D72" w14:textId="77777777" w:rsidR="00B20E49" w:rsidRPr="00B20E49" w:rsidRDefault="00B20E49" w:rsidP="00B20E49">
      <w:pPr>
        <w:rPr>
          <w:rFonts w:asciiTheme="minorHAnsi" w:hAnsiTheme="minorHAnsi" w:cs="Arial"/>
          <w:b/>
          <w:bCs/>
          <w:sz w:val="24"/>
          <w:szCs w:val="24"/>
          <w:u w:val="single"/>
        </w:rPr>
      </w:pPr>
      <w:r w:rsidRPr="000F1A6E">
        <w:rPr>
          <w:rFonts w:asciiTheme="minorHAnsi" w:hAnsiTheme="minorHAnsi" w:cs="Arial"/>
          <w:sz w:val="24"/>
          <w:szCs w:val="24"/>
        </w:rPr>
        <w:t>Karasek R, Theorell T (1990) </w:t>
      </w:r>
      <w:r w:rsidRPr="000F1A6E">
        <w:rPr>
          <w:rFonts w:asciiTheme="minorHAnsi" w:hAnsiTheme="minorHAnsi" w:cs="Arial"/>
          <w:i/>
          <w:iCs/>
          <w:sz w:val="24"/>
          <w:szCs w:val="24"/>
        </w:rPr>
        <w:t>Healthy Work: Stress, Productivity, and the Reconstruction of Working Life</w:t>
      </w:r>
      <w:r w:rsidRPr="000F1A6E">
        <w:rPr>
          <w:rFonts w:asciiTheme="minorHAnsi" w:hAnsiTheme="minorHAnsi" w:cs="Arial"/>
          <w:sz w:val="24"/>
          <w:szCs w:val="24"/>
        </w:rPr>
        <w:t>. New York: Basic Books</w:t>
      </w:r>
      <w:r w:rsidRPr="000F1A6E">
        <w:rPr>
          <w:rFonts w:asciiTheme="minorHAnsi" w:hAnsiTheme="minorHAnsi" w:cs="Arial"/>
          <w:b/>
          <w:bCs/>
          <w:sz w:val="24"/>
          <w:szCs w:val="24"/>
          <w:u w:val="single"/>
        </w:rPr>
        <w:t>.</w:t>
      </w:r>
    </w:p>
    <w:p w14:paraId="7F0ADB2D" w14:textId="77777777" w:rsidR="00B20E49" w:rsidRPr="000F1A6E" w:rsidRDefault="00B20E49" w:rsidP="00B20E49">
      <w:pPr>
        <w:rPr>
          <w:rFonts w:asciiTheme="minorHAnsi" w:hAnsiTheme="minorHAnsi" w:cs="Arial"/>
          <w:b/>
          <w:bCs/>
          <w:sz w:val="24"/>
          <w:szCs w:val="24"/>
          <w:u w:val="single"/>
        </w:rPr>
      </w:pPr>
    </w:p>
    <w:p w14:paraId="5E875976"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Mark, G. M., &amp; Smith, A. P. (2008). Stress models: A review and suggested new direction. In J. </w:t>
      </w:r>
      <w:proofErr w:type="spellStart"/>
      <w:r w:rsidRPr="00B20E49">
        <w:rPr>
          <w:rFonts w:asciiTheme="minorHAnsi" w:hAnsiTheme="minorHAnsi" w:cs="Arial"/>
          <w:sz w:val="24"/>
          <w:szCs w:val="24"/>
        </w:rPr>
        <w:t>Houdmont</w:t>
      </w:r>
      <w:proofErr w:type="spellEnd"/>
      <w:r w:rsidRPr="00B20E49">
        <w:rPr>
          <w:rFonts w:asciiTheme="minorHAnsi" w:hAnsiTheme="minorHAnsi" w:cs="Arial"/>
          <w:sz w:val="24"/>
          <w:szCs w:val="24"/>
        </w:rPr>
        <w:t>, &amp; S. Leka (Eds.), Occupational Health Psychology: European Perspectives on Research, Education and Practice (3 vol.). Nottingham University Press.</w:t>
      </w:r>
    </w:p>
    <w:p w14:paraId="097FF77C" w14:textId="77777777" w:rsidR="00B20E49" w:rsidRPr="00B20E49" w:rsidRDefault="00B20E49" w:rsidP="00B20E49">
      <w:pPr>
        <w:rPr>
          <w:rFonts w:asciiTheme="minorHAnsi" w:hAnsiTheme="minorHAnsi" w:cs="Arial"/>
          <w:sz w:val="24"/>
          <w:szCs w:val="24"/>
        </w:rPr>
      </w:pPr>
    </w:p>
    <w:p w14:paraId="0D460DF1"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McCreary, D. R., &amp; Thompson, M. M. (2006). Development of two reliable and valid measures of stressors in policing: The operational and organizational police stress questionnaires. International Journal of Stress Management , 13 , 494–518.</w:t>
      </w:r>
    </w:p>
    <w:p w14:paraId="53918B60" w14:textId="77777777" w:rsidR="00B20E49" w:rsidRPr="00B20E49" w:rsidRDefault="00B20E49" w:rsidP="00B20E49">
      <w:pPr>
        <w:rPr>
          <w:rFonts w:asciiTheme="minorHAnsi" w:hAnsiTheme="minorHAnsi" w:cs="Arial"/>
          <w:sz w:val="24"/>
          <w:szCs w:val="24"/>
        </w:rPr>
      </w:pPr>
    </w:p>
    <w:p w14:paraId="119CBDE4" w14:textId="77777777" w:rsidR="00B20E49" w:rsidRPr="00B20E49" w:rsidRDefault="00B20E49" w:rsidP="00B20E49">
      <w:pPr>
        <w:rPr>
          <w:rFonts w:asciiTheme="minorHAnsi" w:hAnsiTheme="minorHAnsi" w:cs="Arial"/>
          <w:sz w:val="24"/>
          <w:szCs w:val="24"/>
        </w:rPr>
      </w:pPr>
      <w:r w:rsidRPr="00B2653E">
        <w:rPr>
          <w:rFonts w:asciiTheme="minorHAnsi" w:hAnsiTheme="minorHAnsi" w:cs="Arial"/>
          <w:i/>
          <w:iCs/>
          <w:sz w:val="24"/>
          <w:szCs w:val="24"/>
        </w:rPr>
        <w:t>Mental health</w:t>
      </w:r>
      <w:r w:rsidRPr="00B2653E">
        <w:rPr>
          <w:rFonts w:asciiTheme="minorHAnsi" w:hAnsiTheme="minorHAnsi" w:cs="Arial"/>
          <w:sz w:val="24"/>
          <w:szCs w:val="24"/>
        </w:rPr>
        <w:t xml:space="preserve"> (2022) </w:t>
      </w:r>
      <w:r w:rsidRPr="00B2653E">
        <w:rPr>
          <w:rFonts w:asciiTheme="minorHAnsi" w:hAnsiTheme="minorHAnsi" w:cs="Arial"/>
          <w:i/>
          <w:iCs/>
          <w:sz w:val="24"/>
          <w:szCs w:val="24"/>
        </w:rPr>
        <w:t>World Health Organization</w:t>
      </w:r>
      <w:r w:rsidRPr="00B2653E">
        <w:rPr>
          <w:rFonts w:asciiTheme="minorHAnsi" w:hAnsiTheme="minorHAnsi" w:cs="Arial"/>
          <w:sz w:val="24"/>
          <w:szCs w:val="24"/>
        </w:rPr>
        <w:t xml:space="preserve">. Available at: https://www.who.int/news-room/fact-sheets/detail/mental-health-strengthening-our-response (Accessed: 30 June 2025). </w:t>
      </w:r>
    </w:p>
    <w:p w14:paraId="452D8967" w14:textId="77777777" w:rsidR="00B20E49" w:rsidRPr="00B20E49" w:rsidRDefault="00B20E49" w:rsidP="00B20E49">
      <w:pPr>
        <w:rPr>
          <w:rFonts w:asciiTheme="minorHAnsi" w:hAnsiTheme="minorHAnsi" w:cs="Arial"/>
          <w:sz w:val="24"/>
          <w:szCs w:val="24"/>
        </w:rPr>
      </w:pPr>
    </w:p>
    <w:p w14:paraId="7EFD0962" w14:textId="77777777" w:rsidR="00B20E49" w:rsidRPr="00045BAB" w:rsidRDefault="00B20E49" w:rsidP="00B20E49">
      <w:pPr>
        <w:rPr>
          <w:rFonts w:asciiTheme="minorHAnsi" w:hAnsiTheme="minorHAnsi" w:cs="Arial"/>
          <w:sz w:val="24"/>
          <w:szCs w:val="24"/>
        </w:rPr>
      </w:pPr>
      <w:r w:rsidRPr="00045BAB">
        <w:rPr>
          <w:rFonts w:asciiTheme="minorHAnsi" w:hAnsiTheme="minorHAnsi" w:cs="Arial"/>
          <w:sz w:val="24"/>
          <w:szCs w:val="24"/>
        </w:rPr>
        <w:t>Police Federation (</w:t>
      </w:r>
      <w:r w:rsidRPr="00B20E49">
        <w:rPr>
          <w:rFonts w:asciiTheme="minorHAnsi" w:hAnsiTheme="minorHAnsi" w:cs="Arial"/>
          <w:sz w:val="24"/>
          <w:szCs w:val="24"/>
        </w:rPr>
        <w:t>2020</w:t>
      </w:r>
      <w:r w:rsidRPr="00045BAB">
        <w:rPr>
          <w:rFonts w:asciiTheme="minorHAnsi" w:hAnsiTheme="minorHAnsi" w:cs="Arial"/>
          <w:sz w:val="24"/>
          <w:szCs w:val="24"/>
        </w:rPr>
        <w:t xml:space="preserve">) </w:t>
      </w:r>
      <w:r w:rsidRPr="00045BAB">
        <w:rPr>
          <w:rFonts w:asciiTheme="minorHAnsi" w:hAnsiTheme="minorHAnsi" w:cs="Arial"/>
          <w:i/>
          <w:iCs/>
          <w:sz w:val="24"/>
          <w:szCs w:val="24"/>
        </w:rPr>
        <w:t>Hear ‘man up’, think ‘man down’</w:t>
      </w:r>
      <w:r w:rsidRPr="00045BAB">
        <w:rPr>
          <w:rFonts w:asciiTheme="minorHAnsi" w:hAnsiTheme="minorHAnsi" w:cs="Arial"/>
          <w:sz w:val="24"/>
          <w:szCs w:val="24"/>
        </w:rPr>
        <w:t xml:space="preserve">, </w:t>
      </w:r>
      <w:r w:rsidRPr="00045BAB">
        <w:rPr>
          <w:rFonts w:asciiTheme="minorHAnsi" w:hAnsiTheme="minorHAnsi" w:cs="Arial"/>
          <w:i/>
          <w:iCs/>
          <w:sz w:val="24"/>
          <w:szCs w:val="24"/>
        </w:rPr>
        <w:t>Police Federation of England &amp; Wales</w:t>
      </w:r>
      <w:r w:rsidRPr="00045BAB">
        <w:rPr>
          <w:rFonts w:asciiTheme="minorHAnsi" w:hAnsiTheme="minorHAnsi" w:cs="Arial"/>
          <w:sz w:val="24"/>
          <w:szCs w:val="24"/>
        </w:rPr>
        <w:t xml:space="preserve">. Available at: https://www.polfed.org/wasc/about-us/campaigns/hear-man-up-think-man-down/ (Accessed: 30 June 2025). </w:t>
      </w:r>
    </w:p>
    <w:p w14:paraId="4C5DF40E" w14:textId="77777777" w:rsidR="00B20E49" w:rsidRPr="00B20E49" w:rsidRDefault="00B20E49" w:rsidP="00B20E49">
      <w:pPr>
        <w:rPr>
          <w:rFonts w:asciiTheme="minorHAnsi" w:hAnsiTheme="minorHAnsi" w:cs="Arial"/>
          <w:sz w:val="24"/>
          <w:szCs w:val="24"/>
        </w:rPr>
      </w:pPr>
    </w:p>
    <w:p w14:paraId="4B6895E0"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Phythian, R., Birdsall, N., Kirby, S., Cooper, E., Posner, Z., &amp; Boulton, L. (2022). Developments in UK police wellbeing: A review of blue light wellbeing frameworks. </w:t>
      </w:r>
      <w:r w:rsidRPr="00B20E49">
        <w:rPr>
          <w:rFonts w:asciiTheme="minorHAnsi" w:hAnsiTheme="minorHAnsi" w:cs="Arial"/>
          <w:i/>
          <w:iCs/>
          <w:sz w:val="24"/>
          <w:szCs w:val="24"/>
        </w:rPr>
        <w:t>The Police Journal</w:t>
      </w:r>
      <w:r w:rsidRPr="00B20E49">
        <w:rPr>
          <w:rFonts w:asciiTheme="minorHAnsi" w:hAnsiTheme="minorHAnsi" w:cs="Arial"/>
          <w:sz w:val="24"/>
          <w:szCs w:val="24"/>
        </w:rPr>
        <w:t>, </w:t>
      </w:r>
      <w:r w:rsidRPr="00B20E49">
        <w:rPr>
          <w:rFonts w:asciiTheme="minorHAnsi" w:hAnsiTheme="minorHAnsi" w:cs="Arial"/>
          <w:i/>
          <w:iCs/>
          <w:sz w:val="24"/>
          <w:szCs w:val="24"/>
        </w:rPr>
        <w:t>95</w:t>
      </w:r>
      <w:r w:rsidRPr="00B20E49">
        <w:rPr>
          <w:rFonts w:asciiTheme="minorHAnsi" w:hAnsiTheme="minorHAnsi" w:cs="Arial"/>
          <w:sz w:val="24"/>
          <w:szCs w:val="24"/>
        </w:rPr>
        <w:t>(1), 24-49. </w:t>
      </w:r>
      <w:hyperlink r:id="rId9" w:history="1">
        <w:r w:rsidRPr="00B20E49">
          <w:rPr>
            <w:rStyle w:val="Hyperlink"/>
            <w:rFonts w:asciiTheme="minorHAnsi" w:hAnsiTheme="minorHAnsi" w:cs="Arial"/>
            <w:color w:val="auto"/>
            <w:sz w:val="24"/>
            <w:szCs w:val="24"/>
            <w:u w:val="none"/>
          </w:rPr>
          <w:t>https://doiorg.ezproxy.uwtsd.ac.uk/10.1177/0032258X211073003</w:t>
        </w:r>
      </w:hyperlink>
      <w:r w:rsidRPr="00B20E49">
        <w:rPr>
          <w:rFonts w:asciiTheme="minorHAnsi" w:hAnsiTheme="minorHAnsi" w:cs="Arial"/>
          <w:sz w:val="24"/>
          <w:szCs w:val="24"/>
        </w:rPr>
        <w:t> </w:t>
      </w:r>
    </w:p>
    <w:p w14:paraId="064A9595" w14:textId="77777777" w:rsidR="00B20E49" w:rsidRPr="00B2653E" w:rsidRDefault="00B20E49" w:rsidP="00B20E49">
      <w:pPr>
        <w:rPr>
          <w:rFonts w:asciiTheme="minorHAnsi" w:hAnsiTheme="minorHAnsi" w:cs="Arial"/>
          <w:sz w:val="24"/>
          <w:szCs w:val="24"/>
        </w:rPr>
      </w:pPr>
    </w:p>
    <w:p w14:paraId="76593B7C"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Territo L, Vetter HJ. Stress and police personnel. J Police Sci Adm. 1981;9(2):195–208.</w:t>
      </w:r>
    </w:p>
    <w:p w14:paraId="06D1518D" w14:textId="77777777" w:rsidR="00B20E49" w:rsidRPr="00B20E49" w:rsidRDefault="00B20E49">
      <w:pPr>
        <w:rPr>
          <w:rFonts w:asciiTheme="minorHAnsi" w:hAnsiTheme="minorHAnsi"/>
        </w:rPr>
      </w:pPr>
    </w:p>
    <w:sectPr w:rsidR="00B20E49" w:rsidRPr="00B20E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E49"/>
    <w:rsid w:val="000F4DEF"/>
    <w:rsid w:val="00271037"/>
    <w:rsid w:val="00463A04"/>
    <w:rsid w:val="005F1AFE"/>
    <w:rsid w:val="00B20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D8490"/>
  <w15:chartTrackingRefBased/>
  <w15:docId w15:val="{C779F584-4DAB-4286-ABAB-A17F8F4E1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E4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20E4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20E4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20E49"/>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20E49"/>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20E49"/>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20E49"/>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20E49"/>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20E49"/>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20E49"/>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E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E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E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E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E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E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E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E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E49"/>
    <w:rPr>
      <w:rFonts w:eastAsiaTheme="majorEastAsia" w:cstheme="majorBidi"/>
      <w:color w:val="272727" w:themeColor="text1" w:themeTint="D8"/>
    </w:rPr>
  </w:style>
  <w:style w:type="paragraph" w:styleId="Title">
    <w:name w:val="Title"/>
    <w:basedOn w:val="Normal"/>
    <w:next w:val="Normal"/>
    <w:link w:val="TitleChar"/>
    <w:uiPriority w:val="10"/>
    <w:qFormat/>
    <w:rsid w:val="00B20E4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20E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E4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20E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E49"/>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20E49"/>
    <w:rPr>
      <w:i/>
      <w:iCs/>
      <w:color w:val="404040" w:themeColor="text1" w:themeTint="BF"/>
    </w:rPr>
  </w:style>
  <w:style w:type="paragraph" w:styleId="ListParagraph">
    <w:name w:val="List Paragraph"/>
    <w:basedOn w:val="Normal"/>
    <w:uiPriority w:val="34"/>
    <w:qFormat/>
    <w:rsid w:val="00B20E49"/>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20E49"/>
    <w:rPr>
      <w:i/>
      <w:iCs/>
      <w:color w:val="0F4761" w:themeColor="accent1" w:themeShade="BF"/>
    </w:rPr>
  </w:style>
  <w:style w:type="paragraph" w:styleId="IntenseQuote">
    <w:name w:val="Intense Quote"/>
    <w:basedOn w:val="Normal"/>
    <w:next w:val="Normal"/>
    <w:link w:val="IntenseQuoteChar"/>
    <w:uiPriority w:val="30"/>
    <w:qFormat/>
    <w:rsid w:val="00B20E4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20E49"/>
    <w:rPr>
      <w:i/>
      <w:iCs/>
      <w:color w:val="0F4761" w:themeColor="accent1" w:themeShade="BF"/>
    </w:rPr>
  </w:style>
  <w:style w:type="character" w:styleId="IntenseReference">
    <w:name w:val="Intense Reference"/>
    <w:basedOn w:val="DefaultParagraphFont"/>
    <w:uiPriority w:val="32"/>
    <w:qFormat/>
    <w:rsid w:val="00B20E49"/>
    <w:rPr>
      <w:b/>
      <w:bCs/>
      <w:smallCaps/>
      <w:color w:val="0F4761" w:themeColor="accent1" w:themeShade="BF"/>
      <w:spacing w:val="5"/>
    </w:rPr>
  </w:style>
  <w:style w:type="character" w:styleId="Hyperlink">
    <w:name w:val="Hyperlink"/>
    <w:basedOn w:val="DefaultParagraphFont"/>
    <w:uiPriority w:val="99"/>
    <w:unhideWhenUsed/>
    <w:rsid w:val="00B20E4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614263.2020.1772782" TargetMode="External"/><Relationship Id="rId3" Type="http://schemas.openxmlformats.org/officeDocument/2006/relationships/webSettings" Target="webSettings.xml"/><Relationship Id="rId7" Type="http://schemas.openxmlformats.org/officeDocument/2006/relationships/hyperlink" Target="https://journals-sagepub-com.ezproxy.uwtsd.ac.uk/doi/full/10.1177/14613557209076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300/J012v16n04_05" TargetMode="External"/><Relationship Id="rId11" Type="http://schemas.openxmlformats.org/officeDocument/2006/relationships/theme" Target="theme/theme1.xml"/><Relationship Id="rId5" Type="http://schemas.openxmlformats.org/officeDocument/2006/relationships/hyperlink" Target="https://doi-org.ezproxy.uwtsd.ac.uk/10.1080/07418829900094151" TargetMode="External"/><Relationship Id="rId10" Type="http://schemas.openxmlformats.org/officeDocument/2006/relationships/fontTable" Target="fontTable.xml"/><Relationship Id="rId4" Type="http://schemas.openxmlformats.org/officeDocument/2006/relationships/hyperlink" Target="https://fra.europa.eu/en/publication/2021/fundamental-rights-survey-police-stops" TargetMode="External"/><Relationship Id="rId9" Type="http://schemas.openxmlformats.org/officeDocument/2006/relationships/hyperlink" Target="https://doiorg.ezproxy.uwtsd.ac.uk/10.1177/0032258X211073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2807</Words>
  <Characters>16006</Characters>
  <Application>Microsoft Office Word</Application>
  <DocSecurity>0</DocSecurity>
  <Lines>133</Lines>
  <Paragraphs>37</Paragraphs>
  <ScaleCrop>false</ScaleCrop>
  <Company>South Wales Police</Company>
  <LinksUpToDate>false</LinksUpToDate>
  <CharactersWithSpaces>18776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Ryan,Laura swp8790</dc:creator>
  <cp:keywords/>
  <dc:description/>
  <cp:lastModifiedBy>Ryan,Laura swp8790</cp:lastModifiedBy>
  <cp:revision>1</cp:revision>
  <dcterms:created xsi:type="dcterms:W3CDTF">2025-07-02T19:12:00Z</dcterms:created>
  <dcterms:modified xsi:type="dcterms:W3CDTF">2025-07-02T19:14:00Z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2025-07-02T19:14:02Z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e96f9330-2063-4488-b23a-c1f4d4fdd2f3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