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EA559" w14:textId="3717C792" w:rsidR="007F4B32" w:rsidRPr="0065706A" w:rsidRDefault="007F4B32">
      <w:pPr>
        <w:rPr>
          <w:rStyle w:val="ui-provider"/>
          <w:rFonts w:cstheme="minorHAnsi"/>
          <w:sz w:val="20"/>
          <w:szCs w:val="20"/>
          <w:u w:val="single"/>
        </w:rPr>
      </w:pPr>
      <w:r w:rsidRPr="0065706A">
        <w:rPr>
          <w:rStyle w:val="ui-provider"/>
          <w:rFonts w:cstheme="minorHAnsi"/>
          <w:sz w:val="20"/>
          <w:szCs w:val="20"/>
          <w:u w:val="single"/>
        </w:rPr>
        <w:t>Talent management assignment</w:t>
      </w:r>
    </w:p>
    <w:p w14:paraId="7C33073E" w14:textId="77777777" w:rsidR="007F4B32" w:rsidRPr="0065706A" w:rsidRDefault="007F4B32">
      <w:pPr>
        <w:rPr>
          <w:rStyle w:val="ui-provider"/>
          <w:rFonts w:cstheme="minorHAnsi"/>
          <w:sz w:val="20"/>
          <w:szCs w:val="20"/>
        </w:rPr>
      </w:pPr>
    </w:p>
    <w:p w14:paraId="4694D5A9" w14:textId="26EA0E4A" w:rsidR="0080717D" w:rsidRPr="0065706A" w:rsidRDefault="0080717D">
      <w:pPr>
        <w:rPr>
          <w:rStyle w:val="ui-provider"/>
          <w:rFonts w:cstheme="minorHAnsi"/>
          <w:sz w:val="20"/>
          <w:szCs w:val="20"/>
        </w:rPr>
      </w:pPr>
      <w:r w:rsidRPr="0065706A">
        <w:rPr>
          <w:rStyle w:val="ui-provider"/>
          <w:rFonts w:cstheme="minorHAnsi"/>
          <w:sz w:val="20"/>
          <w:szCs w:val="20"/>
        </w:rPr>
        <w:t>AC 1.1</w:t>
      </w:r>
    </w:p>
    <w:p w14:paraId="6459E0CB" w14:textId="165B95C9" w:rsidR="00385B1D" w:rsidRPr="0065706A" w:rsidRDefault="00385B1D" w:rsidP="00A0728A">
      <w:pPr>
        <w:pStyle w:val="NormalWeb"/>
        <w:rPr>
          <w:rFonts w:asciiTheme="minorHAnsi" w:hAnsiTheme="minorHAnsi" w:cstheme="minorHAnsi"/>
          <w:sz w:val="20"/>
          <w:szCs w:val="20"/>
        </w:rPr>
      </w:pPr>
      <w:r w:rsidRPr="0065706A">
        <w:rPr>
          <w:rFonts w:asciiTheme="minorHAnsi" w:hAnsiTheme="minorHAnsi" w:cstheme="minorHAnsi"/>
          <w:sz w:val="20"/>
          <w:szCs w:val="20"/>
        </w:rPr>
        <w:t xml:space="preserve">As competition in the labour market intensifies due to new entrants in the parcel delivery sector, </w:t>
      </w:r>
      <w:proofErr w:type="spellStart"/>
      <w:r w:rsidRPr="0065706A">
        <w:rPr>
          <w:rFonts w:asciiTheme="minorHAnsi" w:hAnsiTheme="minorHAnsi" w:cstheme="minorHAnsi"/>
          <w:sz w:val="20"/>
          <w:szCs w:val="20"/>
        </w:rPr>
        <w:t>ParcelCare</w:t>
      </w:r>
      <w:proofErr w:type="spellEnd"/>
      <w:r w:rsidRPr="0065706A">
        <w:rPr>
          <w:rFonts w:asciiTheme="minorHAnsi" w:hAnsiTheme="minorHAnsi" w:cstheme="minorHAnsi"/>
          <w:sz w:val="20"/>
          <w:szCs w:val="20"/>
        </w:rPr>
        <w:t xml:space="preserve"> must adopt a strategic approach to strengthen its position as an employer of choice. From a human resources perspective, this involves enhancing the organisation’s employer brand by promoting a positive workplace culture, development opportunities, and competitive benefits that appeal to today’s workforce</w:t>
      </w:r>
      <w:r w:rsidR="0048486D" w:rsidRPr="0065706A">
        <w:rPr>
          <w:rFonts w:asciiTheme="minorHAnsi" w:hAnsiTheme="minorHAnsi" w:cstheme="minorHAnsi"/>
          <w:sz w:val="20"/>
          <w:szCs w:val="20"/>
        </w:rPr>
        <w:t xml:space="preserve"> (Taylor, 2025)</w:t>
      </w:r>
      <w:r w:rsidRPr="0065706A">
        <w:rPr>
          <w:rFonts w:asciiTheme="minorHAnsi" w:hAnsiTheme="minorHAnsi" w:cstheme="minorHAnsi"/>
          <w:sz w:val="20"/>
          <w:szCs w:val="20"/>
        </w:rPr>
        <w:t>. Offering flexible working arrangements and investing in employee training and career progression can help attract and retain high-quality candidates</w:t>
      </w:r>
      <w:r w:rsidR="005B121F" w:rsidRPr="0065706A">
        <w:rPr>
          <w:rFonts w:asciiTheme="minorHAnsi" w:hAnsiTheme="minorHAnsi" w:cstheme="minorHAnsi"/>
          <w:sz w:val="20"/>
          <w:szCs w:val="20"/>
        </w:rPr>
        <w:t xml:space="preserve"> (Taylor, 2025).</w:t>
      </w:r>
      <w:r w:rsidR="00AC4307" w:rsidRPr="0065706A">
        <w:rPr>
          <w:rFonts w:asciiTheme="minorHAnsi" w:hAnsiTheme="minorHAnsi" w:cstheme="minorHAnsi"/>
          <w:sz w:val="20"/>
          <w:szCs w:val="20"/>
        </w:rPr>
        <w:t xml:space="preserve"> </w:t>
      </w:r>
      <w:r w:rsidRPr="0065706A">
        <w:rPr>
          <w:rFonts w:asciiTheme="minorHAnsi" w:hAnsiTheme="minorHAnsi" w:cstheme="minorHAnsi"/>
          <w:sz w:val="20"/>
          <w:szCs w:val="20"/>
        </w:rPr>
        <w:t xml:space="preserve">Additionally, broadening recruitment efforts to include underrepresented or overlooked talent pools—such as returners to work or older workers—can help expand the candidate base. Utilising data-driven HR practices to monitor labour market trends and adapt recruitment strategies will also support more effective decision-making. By aligning these initiatives with a coherent talent strategy, </w:t>
      </w:r>
      <w:proofErr w:type="spellStart"/>
      <w:r w:rsidRPr="0065706A">
        <w:rPr>
          <w:rFonts w:asciiTheme="minorHAnsi" w:hAnsiTheme="minorHAnsi" w:cstheme="minorHAnsi"/>
          <w:sz w:val="20"/>
          <w:szCs w:val="20"/>
        </w:rPr>
        <w:t>ParcelCare</w:t>
      </w:r>
      <w:proofErr w:type="spellEnd"/>
      <w:r w:rsidRPr="0065706A">
        <w:rPr>
          <w:rFonts w:asciiTheme="minorHAnsi" w:hAnsiTheme="minorHAnsi" w:cstheme="minorHAnsi"/>
          <w:sz w:val="20"/>
          <w:szCs w:val="20"/>
        </w:rPr>
        <w:t xml:space="preserve"> can improve its competitive standing and secure a resilient, engaged workforce</w:t>
      </w:r>
      <w:r w:rsidR="00A0728A" w:rsidRPr="0065706A">
        <w:rPr>
          <w:rFonts w:asciiTheme="minorHAnsi" w:hAnsiTheme="minorHAnsi" w:cstheme="minorHAnsi"/>
          <w:sz w:val="20"/>
          <w:szCs w:val="20"/>
        </w:rPr>
        <w:t xml:space="preserve"> (Rees, 2023).</w:t>
      </w:r>
    </w:p>
    <w:p w14:paraId="3B851DC2" w14:textId="6337E2E3" w:rsidR="00385B1D" w:rsidRPr="0065706A" w:rsidRDefault="00385B1D" w:rsidP="002E6B65">
      <w:pPr>
        <w:rPr>
          <w:rFonts w:cstheme="minorHAnsi"/>
          <w:sz w:val="20"/>
          <w:szCs w:val="20"/>
        </w:rPr>
      </w:pPr>
      <w:r w:rsidRPr="0065706A">
        <w:rPr>
          <w:rFonts w:cstheme="minorHAnsi"/>
          <w:sz w:val="20"/>
          <w:szCs w:val="20"/>
        </w:rPr>
        <w:t xml:space="preserve">A key strategy </w:t>
      </w:r>
      <w:proofErr w:type="spellStart"/>
      <w:r w:rsidRPr="0065706A">
        <w:rPr>
          <w:rFonts w:cstheme="minorHAnsi"/>
          <w:sz w:val="20"/>
          <w:szCs w:val="20"/>
        </w:rPr>
        <w:t>ParcelCare</w:t>
      </w:r>
      <w:proofErr w:type="spellEnd"/>
      <w:r w:rsidRPr="0065706A">
        <w:rPr>
          <w:rFonts w:cstheme="minorHAnsi"/>
          <w:sz w:val="20"/>
          <w:szCs w:val="20"/>
        </w:rPr>
        <w:t xml:space="preserve"> could implement is a </w:t>
      </w:r>
      <w:r w:rsidRPr="0065706A">
        <w:rPr>
          <w:rStyle w:val="Strong"/>
          <w:rFonts w:cstheme="minorHAnsi"/>
          <w:b w:val="0"/>
          <w:bCs w:val="0"/>
          <w:sz w:val="20"/>
          <w:szCs w:val="20"/>
        </w:rPr>
        <w:t>talent attraction and retention programme</w:t>
      </w:r>
      <w:r w:rsidRPr="0065706A">
        <w:rPr>
          <w:rFonts w:cstheme="minorHAnsi"/>
          <w:sz w:val="20"/>
          <w:szCs w:val="20"/>
        </w:rPr>
        <w:t xml:space="preserve"> focused on employer value proposition and workforce flexibility</w:t>
      </w:r>
      <w:r w:rsidR="000C75A7" w:rsidRPr="0065706A">
        <w:rPr>
          <w:rFonts w:cstheme="minorHAnsi"/>
          <w:sz w:val="20"/>
          <w:szCs w:val="20"/>
        </w:rPr>
        <w:t xml:space="preserve"> (Taylor, 2025)</w:t>
      </w:r>
      <w:r w:rsidRPr="0065706A">
        <w:rPr>
          <w:rFonts w:cstheme="minorHAnsi"/>
          <w:sz w:val="20"/>
          <w:szCs w:val="20"/>
        </w:rPr>
        <w:t xml:space="preserve">. This would involve defining what makes </w:t>
      </w:r>
      <w:proofErr w:type="spellStart"/>
      <w:r w:rsidRPr="0065706A">
        <w:rPr>
          <w:rFonts w:cstheme="minorHAnsi"/>
          <w:sz w:val="20"/>
          <w:szCs w:val="20"/>
        </w:rPr>
        <w:t>ParcelCare</w:t>
      </w:r>
      <w:proofErr w:type="spellEnd"/>
      <w:r w:rsidRPr="0065706A">
        <w:rPr>
          <w:rFonts w:cstheme="minorHAnsi"/>
          <w:sz w:val="20"/>
          <w:szCs w:val="20"/>
        </w:rPr>
        <w:t xml:space="preserve"> a unique and attractive place to work, such as clear career development paths, wellbeing support, and performance-based incentives</w:t>
      </w:r>
      <w:r w:rsidR="006138DA" w:rsidRPr="0065706A">
        <w:rPr>
          <w:rFonts w:cstheme="minorHAnsi"/>
          <w:sz w:val="20"/>
          <w:szCs w:val="20"/>
        </w:rPr>
        <w:t xml:space="preserve"> (CIPD, 2024)</w:t>
      </w:r>
      <w:r w:rsidRPr="0065706A">
        <w:rPr>
          <w:rFonts w:cstheme="minorHAnsi"/>
          <w:sz w:val="20"/>
          <w:szCs w:val="20"/>
        </w:rPr>
        <w:t xml:space="preserve">. To monitor the effectiveness of this strategy, HR can utilise practices such as </w:t>
      </w:r>
      <w:r w:rsidRPr="0065706A">
        <w:rPr>
          <w:rStyle w:val="Strong"/>
          <w:rFonts w:cstheme="minorHAnsi"/>
          <w:b w:val="0"/>
          <w:bCs w:val="0"/>
          <w:sz w:val="20"/>
          <w:szCs w:val="20"/>
        </w:rPr>
        <w:t>workforce analytics</w:t>
      </w:r>
      <w:r w:rsidRPr="0065706A">
        <w:rPr>
          <w:rFonts w:cstheme="minorHAnsi"/>
          <w:b/>
          <w:bCs/>
          <w:sz w:val="20"/>
          <w:szCs w:val="20"/>
        </w:rPr>
        <w:t xml:space="preserve">, </w:t>
      </w:r>
      <w:r w:rsidRPr="0065706A">
        <w:rPr>
          <w:rStyle w:val="Strong"/>
          <w:rFonts w:cstheme="minorHAnsi"/>
          <w:b w:val="0"/>
          <w:bCs w:val="0"/>
          <w:sz w:val="20"/>
          <w:szCs w:val="20"/>
        </w:rPr>
        <w:t>employee engagement surveys</w:t>
      </w:r>
      <w:r w:rsidRPr="0065706A">
        <w:rPr>
          <w:rFonts w:cstheme="minorHAnsi"/>
          <w:sz w:val="20"/>
          <w:szCs w:val="20"/>
        </w:rPr>
        <w:t xml:space="preserve">, and </w:t>
      </w:r>
      <w:r w:rsidRPr="0065706A">
        <w:rPr>
          <w:rStyle w:val="Strong"/>
          <w:rFonts w:cstheme="minorHAnsi"/>
          <w:b w:val="0"/>
          <w:bCs w:val="0"/>
          <w:sz w:val="20"/>
          <w:szCs w:val="20"/>
        </w:rPr>
        <w:t>exit interviews</w:t>
      </w:r>
      <w:r w:rsidRPr="0065706A">
        <w:rPr>
          <w:rFonts w:cstheme="minorHAnsi"/>
          <w:sz w:val="20"/>
          <w:szCs w:val="20"/>
        </w:rPr>
        <w:t xml:space="preserve"> to gather data on staff satisfaction, turnover trends, and reasons for leaving. Additionally, using </w:t>
      </w:r>
      <w:r w:rsidRPr="0065706A">
        <w:rPr>
          <w:rStyle w:val="Strong"/>
          <w:rFonts w:cstheme="minorHAnsi"/>
          <w:b w:val="0"/>
          <w:bCs w:val="0"/>
          <w:sz w:val="20"/>
          <w:szCs w:val="20"/>
        </w:rPr>
        <w:t>applicant tracking systems (ATS)</w:t>
      </w:r>
      <w:r w:rsidRPr="0065706A">
        <w:rPr>
          <w:rFonts w:cstheme="minorHAnsi"/>
          <w:sz w:val="20"/>
          <w:szCs w:val="20"/>
        </w:rPr>
        <w:t xml:space="preserve"> and recruitment metrics—such as time-to-hire, offer acceptance rates, and source effectiveness—can help assess how well the company is competing for talent</w:t>
      </w:r>
      <w:r w:rsidR="00CB6050" w:rsidRPr="0065706A">
        <w:rPr>
          <w:rFonts w:cstheme="minorHAnsi"/>
          <w:sz w:val="20"/>
          <w:szCs w:val="20"/>
        </w:rPr>
        <w:t xml:space="preserve"> (Indeed, 2025)</w:t>
      </w:r>
      <w:r w:rsidRPr="0065706A">
        <w:rPr>
          <w:rFonts w:cstheme="minorHAnsi"/>
          <w:sz w:val="20"/>
          <w:szCs w:val="20"/>
        </w:rPr>
        <w:t xml:space="preserve">. Regular benchmarking against industry standards will also ensure </w:t>
      </w:r>
      <w:proofErr w:type="spellStart"/>
      <w:r w:rsidRPr="0065706A">
        <w:rPr>
          <w:rFonts w:cstheme="minorHAnsi"/>
          <w:sz w:val="20"/>
          <w:szCs w:val="20"/>
        </w:rPr>
        <w:t>ParcelCare</w:t>
      </w:r>
      <w:proofErr w:type="spellEnd"/>
      <w:r w:rsidRPr="0065706A">
        <w:rPr>
          <w:rFonts w:cstheme="minorHAnsi"/>
          <w:sz w:val="20"/>
          <w:szCs w:val="20"/>
        </w:rPr>
        <w:t xml:space="preserve"> remains competitive and responsive in a rapidly evolving labour market.</w:t>
      </w:r>
    </w:p>
    <w:p w14:paraId="71467265" w14:textId="66EC18F8" w:rsidR="00385B1D" w:rsidRPr="005422D6" w:rsidRDefault="005422D6">
      <w:pPr>
        <w:rPr>
          <w:rFonts w:cstheme="minorHAnsi"/>
          <w:color w:val="EE0000"/>
          <w:sz w:val="20"/>
          <w:szCs w:val="20"/>
        </w:rPr>
      </w:pPr>
      <w:r w:rsidRPr="005422D6">
        <w:rPr>
          <w:rFonts w:cstheme="minorHAnsi"/>
          <w:color w:val="EE0000"/>
          <w:sz w:val="20"/>
          <w:szCs w:val="20"/>
        </w:rPr>
        <w:t xml:space="preserve">Another important step for </w:t>
      </w:r>
      <w:proofErr w:type="spellStart"/>
      <w:r w:rsidRPr="005422D6">
        <w:rPr>
          <w:rFonts w:cstheme="minorHAnsi"/>
          <w:color w:val="EE0000"/>
          <w:sz w:val="20"/>
          <w:szCs w:val="20"/>
        </w:rPr>
        <w:t>ParcelCare</w:t>
      </w:r>
      <w:proofErr w:type="spellEnd"/>
      <w:r w:rsidRPr="005422D6">
        <w:rPr>
          <w:rFonts w:cstheme="minorHAnsi"/>
          <w:color w:val="EE0000"/>
          <w:sz w:val="20"/>
          <w:szCs w:val="20"/>
        </w:rPr>
        <w:t xml:space="preserve"> is to look closely at what competitors in the parcel delivery market are doing to attract and keep staff. This means carrying out competitor analysis to see what pay, benefits, and working conditions other companies are offering. For example, if rivals are offering faster career progression or better work-life balance, </w:t>
      </w:r>
      <w:proofErr w:type="spellStart"/>
      <w:r w:rsidRPr="005422D6">
        <w:rPr>
          <w:rFonts w:cstheme="minorHAnsi"/>
          <w:color w:val="EE0000"/>
          <w:sz w:val="20"/>
          <w:szCs w:val="20"/>
        </w:rPr>
        <w:t>ParcelCare</w:t>
      </w:r>
      <w:proofErr w:type="spellEnd"/>
      <w:r w:rsidRPr="005422D6">
        <w:rPr>
          <w:rFonts w:cstheme="minorHAnsi"/>
          <w:color w:val="EE0000"/>
          <w:sz w:val="20"/>
          <w:szCs w:val="20"/>
        </w:rPr>
        <w:t xml:space="preserve"> needs to match or improve on that to stay </w:t>
      </w:r>
      <w:r w:rsidRPr="00642E45">
        <w:rPr>
          <w:rFonts w:cstheme="minorHAnsi"/>
          <w:color w:val="EE0000"/>
          <w:sz w:val="20"/>
          <w:szCs w:val="20"/>
        </w:rPr>
        <w:t>attractive</w:t>
      </w:r>
      <w:r w:rsidR="00642E45" w:rsidRPr="00642E45">
        <w:rPr>
          <w:rFonts w:cstheme="minorHAnsi"/>
          <w:color w:val="EE0000"/>
          <w:sz w:val="20"/>
          <w:szCs w:val="20"/>
        </w:rPr>
        <w:t xml:space="preserve"> </w:t>
      </w:r>
      <w:r w:rsidR="00642E45" w:rsidRPr="00642E45">
        <w:rPr>
          <w:rFonts w:ascii="Calibri" w:hAnsi="Calibri" w:cs="Calibri"/>
          <w:color w:val="EE0000"/>
          <w:sz w:val="20"/>
          <w:szCs w:val="20"/>
        </w:rPr>
        <w:t>(Jones and Perkins, 2024).</w:t>
      </w:r>
      <w:r w:rsidRPr="00642E45">
        <w:rPr>
          <w:rFonts w:cstheme="minorHAnsi"/>
          <w:color w:val="EE0000"/>
          <w:sz w:val="20"/>
          <w:szCs w:val="20"/>
        </w:rPr>
        <w:t xml:space="preserve"> Checking reviews on job sites like </w:t>
      </w:r>
      <w:r w:rsidRPr="00642E45">
        <w:rPr>
          <w:rFonts w:cstheme="minorHAnsi"/>
          <w:color w:val="EE0000"/>
          <w:sz w:val="20"/>
          <w:szCs w:val="20"/>
        </w:rPr>
        <w:t>Indeed</w:t>
      </w:r>
      <w:r w:rsidRPr="00642E45">
        <w:rPr>
          <w:rFonts w:cstheme="minorHAnsi"/>
          <w:color w:val="EE0000"/>
          <w:sz w:val="20"/>
          <w:szCs w:val="20"/>
        </w:rPr>
        <w:t xml:space="preserve"> or monitoring social media feedback can also help HR understand how other employers are viewed. This research can then feed into </w:t>
      </w:r>
      <w:proofErr w:type="spellStart"/>
      <w:r w:rsidRPr="00642E45">
        <w:rPr>
          <w:rFonts w:cstheme="minorHAnsi"/>
          <w:color w:val="EE0000"/>
          <w:sz w:val="20"/>
          <w:szCs w:val="20"/>
        </w:rPr>
        <w:t>ParcelCare’s</w:t>
      </w:r>
      <w:proofErr w:type="spellEnd"/>
      <w:r w:rsidRPr="00642E45">
        <w:rPr>
          <w:rFonts w:cstheme="minorHAnsi"/>
          <w:color w:val="EE0000"/>
          <w:sz w:val="20"/>
          <w:szCs w:val="20"/>
        </w:rPr>
        <w:t xml:space="preserve"> own employer branding. To truly become an employer of choice, the company needs to build a reputation as a place where people feel valued, supported, and proud to work</w:t>
      </w:r>
      <w:r w:rsidR="00642E45">
        <w:rPr>
          <w:rFonts w:cstheme="minorHAnsi"/>
          <w:color w:val="EE0000"/>
          <w:sz w:val="20"/>
          <w:szCs w:val="20"/>
        </w:rPr>
        <w:t xml:space="preserve"> </w:t>
      </w:r>
      <w:r w:rsidR="00642E45" w:rsidRPr="00642E45">
        <w:rPr>
          <w:color w:val="EE0000"/>
        </w:rPr>
        <w:t>(</w:t>
      </w:r>
      <w:r w:rsidR="00642E45" w:rsidRPr="00642E45">
        <w:rPr>
          <w:rFonts w:ascii="Calibri" w:hAnsi="Calibri" w:cs="Calibri"/>
          <w:color w:val="EE0000"/>
          <w:sz w:val="20"/>
          <w:szCs w:val="20"/>
        </w:rPr>
        <w:t>Taylor, 2025</w:t>
      </w:r>
      <w:r w:rsidR="00642E45">
        <w:rPr>
          <w:rFonts w:cstheme="minorHAnsi"/>
          <w:color w:val="EE0000"/>
          <w:sz w:val="20"/>
          <w:szCs w:val="20"/>
        </w:rPr>
        <w:t>)</w:t>
      </w:r>
      <w:r w:rsidRPr="00642E45">
        <w:rPr>
          <w:rFonts w:cstheme="minorHAnsi"/>
          <w:color w:val="EE0000"/>
          <w:sz w:val="20"/>
          <w:szCs w:val="20"/>
        </w:rPr>
        <w:t xml:space="preserve">. That means promoting what makes it stand </w:t>
      </w:r>
      <w:r w:rsidRPr="005422D6">
        <w:rPr>
          <w:rFonts w:cstheme="minorHAnsi"/>
          <w:color w:val="EE0000"/>
          <w:sz w:val="20"/>
          <w:szCs w:val="20"/>
        </w:rPr>
        <w:t xml:space="preserve">out — like strong team spirit, flexible hours, fair treatment, and a focus on wellbeing. Sharing real stories from staff and highlighting positive experiences on social media or during recruitment can help show what the culture is really like. Being seen as a top employer makes it more likely that the best candidates will choose </w:t>
      </w:r>
      <w:proofErr w:type="spellStart"/>
      <w:r w:rsidRPr="005422D6">
        <w:rPr>
          <w:rFonts w:cstheme="minorHAnsi"/>
          <w:color w:val="EE0000"/>
          <w:sz w:val="20"/>
          <w:szCs w:val="20"/>
        </w:rPr>
        <w:t>ParcelCare</w:t>
      </w:r>
      <w:proofErr w:type="spellEnd"/>
      <w:r w:rsidRPr="005422D6">
        <w:rPr>
          <w:rFonts w:cstheme="minorHAnsi"/>
          <w:color w:val="EE0000"/>
          <w:sz w:val="20"/>
          <w:szCs w:val="20"/>
        </w:rPr>
        <w:t xml:space="preserve"> over the competition.</w:t>
      </w:r>
    </w:p>
    <w:p w14:paraId="38B382D6" w14:textId="3C04490B" w:rsidR="00385B1D" w:rsidRPr="0065706A" w:rsidRDefault="0080717D">
      <w:pPr>
        <w:rPr>
          <w:rStyle w:val="ui-provider"/>
          <w:rFonts w:cstheme="minorHAnsi"/>
          <w:sz w:val="20"/>
          <w:szCs w:val="20"/>
        </w:rPr>
      </w:pPr>
      <w:r w:rsidRPr="0065706A">
        <w:rPr>
          <w:rStyle w:val="ui-provider"/>
          <w:rFonts w:cstheme="minorHAnsi"/>
          <w:sz w:val="20"/>
          <w:szCs w:val="20"/>
        </w:rPr>
        <w:t>AC 1.2</w:t>
      </w:r>
    </w:p>
    <w:p w14:paraId="027F77E2" w14:textId="5B744244" w:rsidR="00385B1D" w:rsidRPr="0065706A" w:rsidRDefault="00385B1D" w:rsidP="00385B1D">
      <w:pPr>
        <w:pStyle w:val="NormalWeb"/>
        <w:rPr>
          <w:rFonts w:asciiTheme="minorHAnsi" w:hAnsiTheme="minorHAnsi" w:cstheme="minorHAnsi"/>
          <w:sz w:val="20"/>
          <w:szCs w:val="20"/>
        </w:rPr>
      </w:pPr>
      <w:r w:rsidRPr="0065706A">
        <w:rPr>
          <w:rFonts w:asciiTheme="minorHAnsi" w:hAnsiTheme="minorHAnsi" w:cstheme="minorHAnsi"/>
          <w:sz w:val="20"/>
          <w:szCs w:val="20"/>
        </w:rPr>
        <w:t xml:space="preserve">Changing labour market conditions have a significant impact on resourcing decisions at </w:t>
      </w:r>
      <w:proofErr w:type="spellStart"/>
      <w:r w:rsidRPr="0065706A">
        <w:rPr>
          <w:rFonts w:asciiTheme="minorHAnsi" w:hAnsiTheme="minorHAnsi" w:cstheme="minorHAnsi"/>
          <w:sz w:val="20"/>
          <w:szCs w:val="20"/>
        </w:rPr>
        <w:t>ParcelCare</w:t>
      </w:r>
      <w:proofErr w:type="spellEnd"/>
      <w:r w:rsidRPr="0065706A">
        <w:rPr>
          <w:rFonts w:asciiTheme="minorHAnsi" w:hAnsiTheme="minorHAnsi" w:cstheme="minorHAnsi"/>
          <w:sz w:val="20"/>
          <w:szCs w:val="20"/>
        </w:rPr>
        <w:t>. The emergence of new competitors in the parcel delivery sector has increased demand for experienced delivery personnel, making it more difficult and costly to attract and retain talent</w:t>
      </w:r>
      <w:r w:rsidR="00A44BF1" w:rsidRPr="0065706A">
        <w:rPr>
          <w:rFonts w:asciiTheme="minorHAnsi" w:hAnsiTheme="minorHAnsi" w:cstheme="minorHAnsi"/>
          <w:sz w:val="20"/>
          <w:szCs w:val="20"/>
        </w:rPr>
        <w:t xml:space="preserve"> (Bennett, Prior and </w:t>
      </w:r>
      <w:proofErr w:type="spellStart"/>
      <w:r w:rsidR="00A44BF1" w:rsidRPr="0065706A">
        <w:rPr>
          <w:rFonts w:asciiTheme="minorHAnsi" w:hAnsiTheme="minorHAnsi" w:cstheme="minorHAnsi"/>
          <w:sz w:val="20"/>
          <w:szCs w:val="20"/>
        </w:rPr>
        <w:t>Saundry</w:t>
      </w:r>
      <w:proofErr w:type="spellEnd"/>
      <w:r w:rsidR="00A44BF1" w:rsidRPr="0065706A">
        <w:rPr>
          <w:rFonts w:asciiTheme="minorHAnsi" w:hAnsiTheme="minorHAnsi" w:cstheme="minorHAnsi"/>
          <w:sz w:val="20"/>
          <w:szCs w:val="20"/>
        </w:rPr>
        <w:t>, 2024)</w:t>
      </w:r>
      <w:r w:rsidRPr="0065706A">
        <w:rPr>
          <w:rFonts w:asciiTheme="minorHAnsi" w:hAnsiTheme="minorHAnsi" w:cstheme="minorHAnsi"/>
          <w:sz w:val="20"/>
          <w:szCs w:val="20"/>
        </w:rPr>
        <w:t xml:space="preserve">. As a result, </w:t>
      </w:r>
      <w:proofErr w:type="spellStart"/>
      <w:r w:rsidRPr="0065706A">
        <w:rPr>
          <w:rFonts w:asciiTheme="minorHAnsi" w:hAnsiTheme="minorHAnsi" w:cstheme="minorHAnsi"/>
          <w:sz w:val="20"/>
          <w:szCs w:val="20"/>
        </w:rPr>
        <w:t>ParcelCare</w:t>
      </w:r>
      <w:proofErr w:type="spellEnd"/>
      <w:r w:rsidRPr="0065706A">
        <w:rPr>
          <w:rFonts w:asciiTheme="minorHAnsi" w:hAnsiTheme="minorHAnsi" w:cstheme="minorHAnsi"/>
          <w:sz w:val="20"/>
          <w:szCs w:val="20"/>
        </w:rPr>
        <w:t xml:space="preserve"> must reassess salary benchmarks and potentially increase wages or benefits to remain competitive. Additionally, a shortage of available workers may require the company to explore alternative resourcing options, such as part-time contracts, agency staff, or zero-hours contracts to maintain operational capacity</w:t>
      </w:r>
      <w:r w:rsidR="00A81225" w:rsidRPr="0065706A">
        <w:rPr>
          <w:rFonts w:asciiTheme="minorHAnsi" w:hAnsiTheme="minorHAnsi" w:cstheme="minorHAnsi"/>
          <w:sz w:val="20"/>
          <w:szCs w:val="20"/>
        </w:rPr>
        <w:t xml:space="preserve"> (Perkins and Jones, 2020</w:t>
      </w:r>
      <w:proofErr w:type="gramStart"/>
      <w:r w:rsidR="00A81225" w:rsidRPr="0065706A">
        <w:rPr>
          <w:rFonts w:asciiTheme="minorHAnsi" w:hAnsiTheme="minorHAnsi" w:cstheme="minorHAnsi"/>
          <w:sz w:val="20"/>
          <w:szCs w:val="20"/>
        </w:rPr>
        <w:t xml:space="preserve">) </w:t>
      </w:r>
      <w:r w:rsidRPr="0065706A">
        <w:rPr>
          <w:rFonts w:asciiTheme="minorHAnsi" w:hAnsiTheme="minorHAnsi" w:cstheme="minorHAnsi"/>
          <w:sz w:val="20"/>
          <w:szCs w:val="20"/>
        </w:rPr>
        <w:t>.</w:t>
      </w:r>
      <w:proofErr w:type="gramEnd"/>
    </w:p>
    <w:p w14:paraId="3DCE0396" w14:textId="5653EAF9" w:rsidR="00385B1D" w:rsidRPr="0065706A" w:rsidRDefault="00385B1D" w:rsidP="00385B1D">
      <w:pPr>
        <w:pStyle w:val="NormalWeb"/>
        <w:rPr>
          <w:rFonts w:asciiTheme="minorHAnsi" w:hAnsiTheme="minorHAnsi" w:cstheme="minorHAnsi"/>
          <w:sz w:val="20"/>
          <w:szCs w:val="20"/>
        </w:rPr>
      </w:pPr>
      <w:r w:rsidRPr="0065706A">
        <w:rPr>
          <w:rFonts w:asciiTheme="minorHAnsi" w:hAnsiTheme="minorHAnsi" w:cstheme="minorHAnsi"/>
          <w:sz w:val="20"/>
          <w:szCs w:val="20"/>
        </w:rPr>
        <w:t xml:space="preserve">The shift towards more flexible working expectations, particularly post-pandemic, also influences resourcing. </w:t>
      </w:r>
      <w:proofErr w:type="spellStart"/>
      <w:r w:rsidRPr="0065706A">
        <w:rPr>
          <w:rFonts w:asciiTheme="minorHAnsi" w:hAnsiTheme="minorHAnsi" w:cstheme="minorHAnsi"/>
          <w:sz w:val="20"/>
          <w:szCs w:val="20"/>
        </w:rPr>
        <w:t>ParcelCare</w:t>
      </w:r>
      <w:proofErr w:type="spellEnd"/>
      <w:r w:rsidRPr="0065706A">
        <w:rPr>
          <w:rFonts w:asciiTheme="minorHAnsi" w:hAnsiTheme="minorHAnsi" w:cstheme="minorHAnsi"/>
          <w:sz w:val="20"/>
          <w:szCs w:val="20"/>
        </w:rPr>
        <w:t xml:space="preserve"> may need to adapt its working patterns—such as offering flexible start times or remote </w:t>
      </w:r>
      <w:r w:rsidRPr="0065706A">
        <w:rPr>
          <w:rFonts w:asciiTheme="minorHAnsi" w:hAnsiTheme="minorHAnsi" w:cstheme="minorHAnsi"/>
          <w:sz w:val="20"/>
          <w:szCs w:val="20"/>
        </w:rPr>
        <w:lastRenderedPageBreak/>
        <w:t>administrative roles—to appeal to a broader talent pool</w:t>
      </w:r>
      <w:r w:rsidR="0011012E" w:rsidRPr="0065706A">
        <w:rPr>
          <w:rFonts w:asciiTheme="minorHAnsi" w:hAnsiTheme="minorHAnsi" w:cstheme="minorHAnsi"/>
          <w:sz w:val="20"/>
          <w:szCs w:val="20"/>
        </w:rPr>
        <w:t xml:space="preserve"> (Dale, 2020)</w:t>
      </w:r>
      <w:r w:rsidRPr="0065706A">
        <w:rPr>
          <w:rFonts w:asciiTheme="minorHAnsi" w:hAnsiTheme="minorHAnsi" w:cstheme="minorHAnsi"/>
          <w:sz w:val="20"/>
          <w:szCs w:val="20"/>
        </w:rPr>
        <w:t>. Furthermore, demographic changes, such as an ageing workforce or increased participation from diverse groups, will require more inclusive and accessible recruitment practices</w:t>
      </w:r>
      <w:r w:rsidR="00954D6C" w:rsidRPr="0065706A">
        <w:rPr>
          <w:rFonts w:asciiTheme="minorHAnsi" w:hAnsiTheme="minorHAnsi" w:cstheme="minorHAnsi"/>
          <w:sz w:val="20"/>
          <w:szCs w:val="20"/>
        </w:rPr>
        <w:t xml:space="preserve"> (Taylor, 2025). </w:t>
      </w:r>
      <w:r w:rsidRPr="0065706A">
        <w:rPr>
          <w:rFonts w:asciiTheme="minorHAnsi" w:hAnsiTheme="minorHAnsi" w:cstheme="minorHAnsi"/>
          <w:sz w:val="20"/>
          <w:szCs w:val="20"/>
        </w:rPr>
        <w:t>To respond to these changing conditions, HR must regularly analyse labour market data, review internal workforce planning forecasts, and align recruitment strategies accordingly. This may include upskilling existing staff, implementing talent pipelines through apprenticeships or partnerships, and investing in employer branding to improve attraction and retention in a more competitive environment</w:t>
      </w:r>
      <w:r w:rsidR="00AC5E06" w:rsidRPr="0065706A">
        <w:rPr>
          <w:rFonts w:asciiTheme="minorHAnsi" w:hAnsiTheme="minorHAnsi" w:cstheme="minorHAnsi"/>
          <w:sz w:val="20"/>
          <w:szCs w:val="20"/>
        </w:rPr>
        <w:t xml:space="preserve"> </w:t>
      </w:r>
      <w:r w:rsidR="00217F60" w:rsidRPr="0065706A">
        <w:rPr>
          <w:rFonts w:asciiTheme="minorHAnsi" w:hAnsiTheme="minorHAnsi" w:cstheme="minorHAnsi"/>
          <w:sz w:val="20"/>
          <w:szCs w:val="20"/>
        </w:rPr>
        <w:t>(Daniels, 2022)</w:t>
      </w:r>
      <w:r w:rsidR="00AC5E06" w:rsidRPr="0065706A">
        <w:rPr>
          <w:rFonts w:asciiTheme="minorHAnsi" w:hAnsiTheme="minorHAnsi" w:cstheme="minorHAnsi"/>
          <w:sz w:val="20"/>
          <w:szCs w:val="20"/>
        </w:rPr>
        <w:t>.</w:t>
      </w:r>
    </w:p>
    <w:p w14:paraId="76B7ABE7" w14:textId="49804103" w:rsidR="00954D6C" w:rsidRPr="0065706A" w:rsidRDefault="0091615A" w:rsidP="00385B1D">
      <w:pPr>
        <w:pStyle w:val="NormalWeb"/>
        <w:rPr>
          <w:rFonts w:asciiTheme="minorHAnsi" w:hAnsiTheme="minorHAnsi" w:cstheme="minorHAnsi"/>
          <w:sz w:val="20"/>
          <w:szCs w:val="20"/>
        </w:rPr>
      </w:pPr>
      <w:r w:rsidRPr="0065706A">
        <w:rPr>
          <w:rFonts w:asciiTheme="minorHAnsi" w:hAnsiTheme="minorHAnsi" w:cstheme="minorHAnsi"/>
          <w:sz w:val="20"/>
          <w:szCs w:val="20"/>
        </w:rPr>
        <w:t xml:space="preserve">In addition to these strategies, </w:t>
      </w:r>
      <w:proofErr w:type="spellStart"/>
      <w:r w:rsidRPr="0065706A">
        <w:rPr>
          <w:rFonts w:asciiTheme="minorHAnsi" w:hAnsiTheme="minorHAnsi" w:cstheme="minorHAnsi"/>
          <w:sz w:val="20"/>
          <w:szCs w:val="20"/>
        </w:rPr>
        <w:t>ParcelCare</w:t>
      </w:r>
      <w:proofErr w:type="spellEnd"/>
      <w:r w:rsidRPr="0065706A">
        <w:rPr>
          <w:rFonts w:asciiTheme="minorHAnsi" w:hAnsiTheme="minorHAnsi" w:cstheme="minorHAnsi"/>
          <w:sz w:val="20"/>
          <w:szCs w:val="20"/>
        </w:rPr>
        <w:t xml:space="preserve"> must also focus on leveraging technology to enhance recruitment and retention efforts. Digital platforms and social media offer cost-effective channels to reach potential candidates, especially younger workers who are more likely to engage with online job adverts and employer branding content (Indeed, 2024). Furthermore, data analytics can help identify trends in candidate behaviour and predict future hiring needs, allowing HR to act proactively rather than reactively. </w:t>
      </w:r>
      <w:proofErr w:type="spellStart"/>
      <w:r w:rsidRPr="0065706A">
        <w:rPr>
          <w:rFonts w:asciiTheme="minorHAnsi" w:hAnsiTheme="minorHAnsi" w:cstheme="minorHAnsi"/>
          <w:sz w:val="20"/>
          <w:szCs w:val="20"/>
        </w:rPr>
        <w:t>ParcelCare</w:t>
      </w:r>
      <w:proofErr w:type="spellEnd"/>
      <w:r w:rsidRPr="0065706A">
        <w:rPr>
          <w:rFonts w:asciiTheme="minorHAnsi" w:hAnsiTheme="minorHAnsi" w:cstheme="minorHAnsi"/>
          <w:sz w:val="20"/>
          <w:szCs w:val="20"/>
        </w:rPr>
        <w:t xml:space="preserve"> could also consider implementing employee referral programmes, which often yield higher-quality hires and improve retention by encouraging current employees to bring in trusted contacts. Another key consideration is supporting workforce diversity and inclusion, which not only broadens the talent pool but also fosters innovation and better decision-making within the company (CIPD, 2024). By embracing these modern recruitment and retention tools alongside flexible working and competitive pay, </w:t>
      </w:r>
      <w:proofErr w:type="spellStart"/>
      <w:r w:rsidRPr="0065706A">
        <w:rPr>
          <w:rFonts w:asciiTheme="minorHAnsi" w:hAnsiTheme="minorHAnsi" w:cstheme="minorHAnsi"/>
          <w:sz w:val="20"/>
          <w:szCs w:val="20"/>
        </w:rPr>
        <w:t>ParcelCare</w:t>
      </w:r>
      <w:proofErr w:type="spellEnd"/>
      <w:r w:rsidRPr="0065706A">
        <w:rPr>
          <w:rFonts w:asciiTheme="minorHAnsi" w:hAnsiTheme="minorHAnsi" w:cstheme="minorHAnsi"/>
          <w:sz w:val="20"/>
          <w:szCs w:val="20"/>
        </w:rPr>
        <w:t xml:space="preserve"> will be better positioned to navigate the complexities of a changing labour market.</w:t>
      </w:r>
    </w:p>
    <w:p w14:paraId="13A2483B" w14:textId="0D23C065" w:rsidR="00385B1D" w:rsidRPr="0065706A" w:rsidRDefault="0080717D" w:rsidP="007F7E83">
      <w:pPr>
        <w:rPr>
          <w:rStyle w:val="ui-provider"/>
          <w:rFonts w:cstheme="minorHAnsi"/>
          <w:sz w:val="20"/>
          <w:szCs w:val="20"/>
        </w:rPr>
      </w:pPr>
      <w:r w:rsidRPr="0065706A">
        <w:rPr>
          <w:rStyle w:val="ui-provider"/>
          <w:rFonts w:cstheme="minorHAnsi"/>
          <w:sz w:val="20"/>
          <w:szCs w:val="20"/>
        </w:rPr>
        <w:t xml:space="preserve">AC </w:t>
      </w:r>
      <w:r w:rsidR="004D271E" w:rsidRPr="0065706A">
        <w:rPr>
          <w:rStyle w:val="ui-provider"/>
          <w:rFonts w:cstheme="minorHAnsi"/>
          <w:sz w:val="20"/>
          <w:szCs w:val="20"/>
        </w:rPr>
        <w:t>2.1</w:t>
      </w:r>
    </w:p>
    <w:p w14:paraId="196F807A" w14:textId="77777777" w:rsidR="00B10453" w:rsidRPr="0065706A" w:rsidRDefault="00B10453" w:rsidP="00B10453">
      <w:pPr>
        <w:pStyle w:val="NormalWeb"/>
        <w:rPr>
          <w:rFonts w:asciiTheme="minorHAnsi" w:hAnsiTheme="minorHAnsi" w:cstheme="minorHAnsi"/>
          <w:sz w:val="20"/>
          <w:szCs w:val="20"/>
        </w:rPr>
      </w:pPr>
      <w:r w:rsidRPr="0065706A">
        <w:rPr>
          <w:rFonts w:asciiTheme="minorHAnsi" w:hAnsiTheme="minorHAnsi" w:cstheme="minorHAnsi"/>
          <w:sz w:val="20"/>
          <w:szCs w:val="20"/>
        </w:rPr>
        <w:t xml:space="preserve">Changing labour market conditions significantly impact resourcing decisions at </w:t>
      </w:r>
      <w:proofErr w:type="spellStart"/>
      <w:r w:rsidRPr="0065706A">
        <w:rPr>
          <w:rFonts w:asciiTheme="minorHAnsi" w:hAnsiTheme="minorHAnsi" w:cstheme="minorHAnsi"/>
          <w:sz w:val="20"/>
          <w:szCs w:val="20"/>
        </w:rPr>
        <w:t>ParcelCare</w:t>
      </w:r>
      <w:proofErr w:type="spellEnd"/>
      <w:r w:rsidRPr="0065706A">
        <w:rPr>
          <w:rFonts w:asciiTheme="minorHAnsi" w:hAnsiTheme="minorHAnsi" w:cstheme="minorHAnsi"/>
          <w:sz w:val="20"/>
          <w:szCs w:val="20"/>
        </w:rPr>
        <w:t xml:space="preserve">. New competitors have increased demand for experienced delivery personnel, making it harder and more expensive to attract and retain talent (Bennett, Prior and </w:t>
      </w:r>
      <w:proofErr w:type="spellStart"/>
      <w:r w:rsidRPr="0065706A">
        <w:rPr>
          <w:rFonts w:asciiTheme="minorHAnsi" w:hAnsiTheme="minorHAnsi" w:cstheme="minorHAnsi"/>
          <w:sz w:val="20"/>
          <w:szCs w:val="20"/>
        </w:rPr>
        <w:t>Saundry</w:t>
      </w:r>
      <w:proofErr w:type="spellEnd"/>
      <w:r w:rsidRPr="0065706A">
        <w:rPr>
          <w:rFonts w:asciiTheme="minorHAnsi" w:hAnsiTheme="minorHAnsi" w:cstheme="minorHAnsi"/>
          <w:sz w:val="20"/>
          <w:szCs w:val="20"/>
        </w:rPr>
        <w:t xml:space="preserve">, 2024). </w:t>
      </w:r>
      <w:proofErr w:type="spellStart"/>
      <w:r w:rsidRPr="0065706A">
        <w:rPr>
          <w:rFonts w:asciiTheme="minorHAnsi" w:hAnsiTheme="minorHAnsi" w:cstheme="minorHAnsi"/>
          <w:sz w:val="20"/>
          <w:szCs w:val="20"/>
        </w:rPr>
        <w:t>ParcelCare</w:t>
      </w:r>
      <w:proofErr w:type="spellEnd"/>
      <w:r w:rsidRPr="0065706A">
        <w:rPr>
          <w:rFonts w:asciiTheme="minorHAnsi" w:hAnsiTheme="minorHAnsi" w:cstheme="minorHAnsi"/>
          <w:sz w:val="20"/>
          <w:szCs w:val="20"/>
        </w:rPr>
        <w:t xml:space="preserve"> may need to increase wages or benefits to stay competitive. A shortage of workers could mean using part-time, agency, or zero-hours contracts to keep operations running (Perkins and Jones, 2020).</w:t>
      </w:r>
    </w:p>
    <w:p w14:paraId="57F69B93" w14:textId="6EE99916" w:rsidR="00B10453" w:rsidRPr="0065706A" w:rsidRDefault="00B10453" w:rsidP="00B10453">
      <w:pPr>
        <w:pStyle w:val="NormalWeb"/>
        <w:rPr>
          <w:rFonts w:asciiTheme="minorHAnsi" w:hAnsiTheme="minorHAnsi" w:cstheme="minorHAnsi"/>
          <w:sz w:val="20"/>
          <w:szCs w:val="20"/>
        </w:rPr>
      </w:pPr>
      <w:r w:rsidRPr="0065706A">
        <w:rPr>
          <w:rFonts w:asciiTheme="minorHAnsi" w:hAnsiTheme="minorHAnsi" w:cstheme="minorHAnsi"/>
          <w:sz w:val="20"/>
          <w:szCs w:val="20"/>
        </w:rPr>
        <w:t xml:space="preserve">Flexible working expectations, especially post-pandemic, influence recruitment. </w:t>
      </w:r>
      <w:proofErr w:type="spellStart"/>
      <w:r w:rsidRPr="0065706A">
        <w:rPr>
          <w:rFonts w:asciiTheme="minorHAnsi" w:hAnsiTheme="minorHAnsi" w:cstheme="minorHAnsi"/>
          <w:sz w:val="20"/>
          <w:szCs w:val="20"/>
        </w:rPr>
        <w:t>ParcelCare</w:t>
      </w:r>
      <w:proofErr w:type="spellEnd"/>
      <w:r w:rsidRPr="0065706A">
        <w:rPr>
          <w:rFonts w:asciiTheme="minorHAnsi" w:hAnsiTheme="minorHAnsi" w:cstheme="minorHAnsi"/>
          <w:sz w:val="20"/>
          <w:szCs w:val="20"/>
        </w:rPr>
        <w:t xml:space="preserve"> might offer flexible hours or remote roles to attract a wider talent pool (Dale, 2020). Demographic shifts, like an ageing workforce and greater diversity, require inclusive recruitment practices (Taylor, 2025). HR must regularly review labour market data, workforce forecasts, and update recruitment </w:t>
      </w:r>
      <w:proofErr w:type="gramStart"/>
      <w:r w:rsidR="0065706A" w:rsidRPr="0065706A">
        <w:rPr>
          <w:rFonts w:asciiTheme="minorHAnsi" w:hAnsiTheme="minorHAnsi" w:cstheme="minorHAnsi"/>
          <w:sz w:val="20"/>
          <w:szCs w:val="20"/>
        </w:rPr>
        <w:t>strategies</w:t>
      </w:r>
      <w:proofErr w:type="gramEnd"/>
      <w:r w:rsidR="0065706A" w:rsidRPr="0065706A">
        <w:rPr>
          <w:rFonts w:asciiTheme="minorHAnsi" w:hAnsiTheme="minorHAnsi" w:cstheme="minorHAnsi"/>
          <w:sz w:val="20"/>
          <w:szCs w:val="20"/>
        </w:rPr>
        <w:t xml:space="preserve"> </w:t>
      </w:r>
      <w:r w:rsidRPr="0065706A">
        <w:rPr>
          <w:rFonts w:asciiTheme="minorHAnsi" w:hAnsiTheme="minorHAnsi" w:cstheme="minorHAnsi"/>
          <w:sz w:val="20"/>
          <w:szCs w:val="20"/>
        </w:rPr>
        <w:t>accordingly, including upskilling, apprenticeships, and investing in employer branding (Daniels, 2022).</w:t>
      </w:r>
      <w:r w:rsidR="005864C9">
        <w:rPr>
          <w:rFonts w:asciiTheme="minorHAnsi" w:hAnsiTheme="minorHAnsi" w:cstheme="minorHAnsi"/>
          <w:sz w:val="20"/>
          <w:szCs w:val="20"/>
        </w:rPr>
        <w:t xml:space="preserve"> </w:t>
      </w:r>
      <w:r w:rsidRPr="0065706A">
        <w:rPr>
          <w:rStyle w:val="Strong"/>
          <w:rFonts w:asciiTheme="minorHAnsi" w:eastAsiaTheme="majorEastAsia" w:hAnsiTheme="minorHAnsi" w:cstheme="minorHAnsi"/>
          <w:b w:val="0"/>
          <w:bCs w:val="0"/>
          <w:sz w:val="20"/>
          <w:szCs w:val="20"/>
        </w:rPr>
        <w:t>PESTLE</w:t>
      </w:r>
      <w:r w:rsidR="00DA3774" w:rsidRPr="0065706A">
        <w:rPr>
          <w:rStyle w:val="Strong"/>
          <w:rFonts w:asciiTheme="minorHAnsi" w:eastAsiaTheme="majorEastAsia" w:hAnsiTheme="minorHAnsi" w:cstheme="minorHAnsi"/>
          <w:b w:val="0"/>
          <w:bCs w:val="0"/>
          <w:sz w:val="20"/>
          <w:szCs w:val="20"/>
        </w:rPr>
        <w:t xml:space="preserve"> can</w:t>
      </w:r>
      <w:r w:rsidRPr="0065706A">
        <w:rPr>
          <w:rFonts w:asciiTheme="minorHAnsi" w:hAnsiTheme="minorHAnsi" w:cstheme="minorHAnsi"/>
          <w:sz w:val="20"/>
          <w:szCs w:val="20"/>
        </w:rPr>
        <w:t xml:space="preserve"> also</w:t>
      </w:r>
      <w:r w:rsidR="00463A30">
        <w:rPr>
          <w:rFonts w:asciiTheme="minorHAnsi" w:hAnsiTheme="minorHAnsi" w:cstheme="minorHAnsi"/>
          <w:sz w:val="20"/>
          <w:szCs w:val="20"/>
        </w:rPr>
        <w:t xml:space="preserve"> be</w:t>
      </w:r>
      <w:r w:rsidRPr="0065706A">
        <w:rPr>
          <w:rFonts w:asciiTheme="minorHAnsi" w:hAnsiTheme="minorHAnsi" w:cstheme="minorHAnsi"/>
          <w:sz w:val="20"/>
          <w:szCs w:val="20"/>
        </w:rPr>
        <w:t xml:space="preserve"> affect</w:t>
      </w:r>
      <w:r w:rsidR="00463A30">
        <w:rPr>
          <w:rFonts w:asciiTheme="minorHAnsi" w:hAnsiTheme="minorHAnsi" w:cstheme="minorHAnsi"/>
          <w:sz w:val="20"/>
          <w:szCs w:val="20"/>
        </w:rPr>
        <w:t>ive in</w:t>
      </w:r>
      <w:r w:rsidRPr="0065706A">
        <w:rPr>
          <w:rFonts w:asciiTheme="minorHAnsi" w:hAnsiTheme="minorHAnsi" w:cstheme="minorHAnsi"/>
          <w:sz w:val="20"/>
          <w:szCs w:val="20"/>
        </w:rPr>
        <w:t xml:space="preserve"> decisions: political changes in employment law or immigration policies, economic pressures like inflation and recessions, social trends towards work-life balance and diversity, technological hiring tools, legal regulations around contracts and worker rights, and environmental concerns influencing company reputation and attraction.</w:t>
      </w:r>
    </w:p>
    <w:p w14:paraId="2ABB3B7B" w14:textId="77777777" w:rsidR="00B10453" w:rsidRPr="0065706A" w:rsidRDefault="00B10453" w:rsidP="00B10453">
      <w:pPr>
        <w:pStyle w:val="NormalWeb"/>
        <w:rPr>
          <w:rFonts w:asciiTheme="minorHAnsi" w:hAnsiTheme="minorHAnsi" w:cstheme="minorHAnsi"/>
          <w:sz w:val="20"/>
          <w:szCs w:val="20"/>
        </w:rPr>
      </w:pPr>
      <w:r w:rsidRPr="0065706A">
        <w:rPr>
          <w:rFonts w:asciiTheme="minorHAnsi" w:hAnsiTheme="minorHAnsi" w:cstheme="minorHAnsi"/>
          <w:sz w:val="20"/>
          <w:szCs w:val="20"/>
        </w:rPr>
        <w:t>A</w:t>
      </w:r>
      <w:r w:rsidRPr="0065706A">
        <w:rPr>
          <w:rFonts w:asciiTheme="minorHAnsi" w:hAnsiTheme="minorHAnsi" w:cstheme="minorHAnsi"/>
          <w:i/>
          <w:iCs/>
          <w:sz w:val="20"/>
          <w:szCs w:val="20"/>
        </w:rPr>
        <w:t xml:space="preserve"> </w:t>
      </w:r>
      <w:r w:rsidRPr="0065706A">
        <w:rPr>
          <w:rStyle w:val="Emphasis"/>
          <w:rFonts w:asciiTheme="minorHAnsi" w:eastAsiaTheme="majorEastAsia" w:hAnsiTheme="minorHAnsi" w:cstheme="minorHAnsi"/>
          <w:i w:val="0"/>
          <w:iCs w:val="0"/>
          <w:sz w:val="20"/>
          <w:szCs w:val="20"/>
        </w:rPr>
        <w:t>tight labour market</w:t>
      </w:r>
      <w:r w:rsidRPr="0065706A">
        <w:rPr>
          <w:rFonts w:asciiTheme="minorHAnsi" w:hAnsiTheme="minorHAnsi" w:cstheme="minorHAnsi"/>
          <w:sz w:val="20"/>
          <w:szCs w:val="20"/>
        </w:rPr>
        <w:t xml:space="preserve"> means there are more job vacancies than workers, causing competition and higher wages. </w:t>
      </w:r>
      <w:r w:rsidRPr="0065706A">
        <w:rPr>
          <w:rFonts w:asciiTheme="minorHAnsi" w:hAnsiTheme="minorHAnsi" w:cstheme="minorHAnsi"/>
          <w:i/>
          <w:iCs/>
          <w:sz w:val="20"/>
          <w:szCs w:val="20"/>
        </w:rPr>
        <w:t xml:space="preserve">A </w:t>
      </w:r>
      <w:r w:rsidRPr="0065706A">
        <w:rPr>
          <w:rStyle w:val="Emphasis"/>
          <w:rFonts w:asciiTheme="minorHAnsi" w:eastAsiaTheme="majorEastAsia" w:hAnsiTheme="minorHAnsi" w:cstheme="minorHAnsi"/>
          <w:i w:val="0"/>
          <w:iCs w:val="0"/>
          <w:sz w:val="20"/>
          <w:szCs w:val="20"/>
        </w:rPr>
        <w:t>loose labour market</w:t>
      </w:r>
      <w:r w:rsidRPr="0065706A">
        <w:rPr>
          <w:rFonts w:asciiTheme="minorHAnsi" w:hAnsiTheme="minorHAnsi" w:cstheme="minorHAnsi"/>
          <w:sz w:val="20"/>
          <w:szCs w:val="20"/>
        </w:rPr>
        <w:t xml:space="preserve"> means more workers than jobs, giving employers more choice and often reducing wage pressures.</w:t>
      </w:r>
    </w:p>
    <w:p w14:paraId="6BE5B8CB" w14:textId="77777777" w:rsidR="00B10453" w:rsidRDefault="00B10453" w:rsidP="00B10453">
      <w:pPr>
        <w:pStyle w:val="NormalWeb"/>
        <w:rPr>
          <w:rFonts w:asciiTheme="minorHAnsi" w:hAnsiTheme="minorHAnsi" w:cstheme="minorHAnsi"/>
          <w:sz w:val="20"/>
          <w:szCs w:val="20"/>
        </w:rPr>
      </w:pPr>
      <w:proofErr w:type="spellStart"/>
      <w:r w:rsidRPr="0065706A">
        <w:rPr>
          <w:rFonts w:asciiTheme="minorHAnsi" w:hAnsiTheme="minorHAnsi" w:cstheme="minorHAnsi"/>
          <w:sz w:val="20"/>
          <w:szCs w:val="20"/>
        </w:rPr>
        <w:t>ParcelCare</w:t>
      </w:r>
      <w:proofErr w:type="spellEnd"/>
      <w:r w:rsidRPr="0065706A">
        <w:rPr>
          <w:rFonts w:asciiTheme="minorHAnsi" w:hAnsiTheme="minorHAnsi" w:cstheme="minorHAnsi"/>
          <w:sz w:val="20"/>
          <w:szCs w:val="20"/>
        </w:rPr>
        <w:t xml:space="preserve"> should also use digital platforms, data analytics, and employee referral programmes to improve recruitment and retention. Supporting workforce diversity not only broadens the talent pool but also fosters innovation and better decision-making (CIPD, 2024). Combining these strategies with flexible working and competitive pay will better position </w:t>
      </w:r>
      <w:proofErr w:type="spellStart"/>
      <w:r w:rsidRPr="0065706A">
        <w:rPr>
          <w:rFonts w:asciiTheme="minorHAnsi" w:hAnsiTheme="minorHAnsi" w:cstheme="minorHAnsi"/>
          <w:sz w:val="20"/>
          <w:szCs w:val="20"/>
        </w:rPr>
        <w:t>ParcelCare</w:t>
      </w:r>
      <w:proofErr w:type="spellEnd"/>
      <w:r w:rsidRPr="0065706A">
        <w:rPr>
          <w:rFonts w:asciiTheme="minorHAnsi" w:hAnsiTheme="minorHAnsi" w:cstheme="minorHAnsi"/>
          <w:sz w:val="20"/>
          <w:szCs w:val="20"/>
        </w:rPr>
        <w:t xml:space="preserve"> in a changing labour market.</w:t>
      </w:r>
    </w:p>
    <w:p w14:paraId="627AC348" w14:textId="2B47A9AD" w:rsidR="00DC66D3" w:rsidRPr="00E17140" w:rsidRDefault="00DC66D3" w:rsidP="00B10453">
      <w:pPr>
        <w:pStyle w:val="NormalWeb"/>
        <w:rPr>
          <w:rFonts w:asciiTheme="minorHAnsi" w:hAnsiTheme="minorHAnsi" w:cstheme="minorHAnsi"/>
          <w:color w:val="EE0000"/>
          <w:sz w:val="20"/>
          <w:szCs w:val="20"/>
        </w:rPr>
      </w:pPr>
      <w:r w:rsidRPr="00DC66D3">
        <w:rPr>
          <w:rFonts w:asciiTheme="minorHAnsi" w:hAnsiTheme="minorHAnsi" w:cstheme="minorHAnsi"/>
          <w:color w:val="EE0000"/>
          <w:sz w:val="20"/>
          <w:szCs w:val="20"/>
        </w:rPr>
        <w:t xml:space="preserve">Workforce planning is all about making sure the business has the right number of people, with the right skills, in the right roles at the right time. If </w:t>
      </w:r>
      <w:proofErr w:type="spellStart"/>
      <w:r w:rsidRPr="00DC66D3">
        <w:rPr>
          <w:rFonts w:asciiTheme="minorHAnsi" w:hAnsiTheme="minorHAnsi" w:cstheme="minorHAnsi"/>
          <w:color w:val="EE0000"/>
          <w:sz w:val="20"/>
          <w:szCs w:val="20"/>
        </w:rPr>
        <w:t>ParcelCare</w:t>
      </w:r>
      <w:proofErr w:type="spellEnd"/>
      <w:r w:rsidRPr="00DC66D3">
        <w:rPr>
          <w:rFonts w:asciiTheme="minorHAnsi" w:hAnsiTheme="minorHAnsi" w:cstheme="minorHAnsi"/>
          <w:color w:val="EE0000"/>
          <w:sz w:val="20"/>
          <w:szCs w:val="20"/>
        </w:rPr>
        <w:t xml:space="preserve"> does this well, it can help the company stay organised and ready for future challenges. For example, </w:t>
      </w:r>
      <w:proofErr w:type="gramStart"/>
      <w:r w:rsidRPr="00DC66D3">
        <w:rPr>
          <w:rFonts w:asciiTheme="minorHAnsi" w:hAnsiTheme="minorHAnsi" w:cstheme="minorHAnsi"/>
          <w:color w:val="EE0000"/>
          <w:sz w:val="20"/>
          <w:szCs w:val="20"/>
        </w:rPr>
        <w:t>planning ahead</w:t>
      </w:r>
      <w:proofErr w:type="gramEnd"/>
      <w:r w:rsidRPr="00DC66D3">
        <w:rPr>
          <w:rFonts w:asciiTheme="minorHAnsi" w:hAnsiTheme="minorHAnsi" w:cstheme="minorHAnsi"/>
          <w:color w:val="EE0000"/>
          <w:sz w:val="20"/>
          <w:szCs w:val="20"/>
        </w:rPr>
        <w:t xml:space="preserve"> means HR can spot skills gaps early and deal with them by offering training or hiring before it becomes a problem</w:t>
      </w:r>
      <w:r w:rsidR="00642E45">
        <w:rPr>
          <w:rFonts w:asciiTheme="minorHAnsi" w:hAnsiTheme="minorHAnsi" w:cstheme="minorHAnsi"/>
          <w:color w:val="EE0000"/>
          <w:sz w:val="20"/>
          <w:szCs w:val="20"/>
        </w:rPr>
        <w:t xml:space="preserve"> </w:t>
      </w:r>
      <w:r w:rsidR="00642E45" w:rsidRPr="00642E45">
        <w:rPr>
          <w:rFonts w:ascii="Calibri" w:hAnsi="Calibri" w:cs="Calibri"/>
          <w:color w:val="EE0000"/>
          <w:sz w:val="20"/>
          <w:szCs w:val="20"/>
        </w:rPr>
        <w:t>(Taylor and Woodhams, 2022).</w:t>
      </w:r>
      <w:r w:rsidRPr="00642E45">
        <w:rPr>
          <w:rFonts w:asciiTheme="minorHAnsi" w:hAnsiTheme="minorHAnsi" w:cstheme="minorHAnsi"/>
          <w:color w:val="EE0000"/>
          <w:sz w:val="20"/>
          <w:szCs w:val="20"/>
        </w:rPr>
        <w:t xml:space="preserve"> It can also reduce labour costs by avoiding overstaffing or having to hire in a rush. Good workforce planning helps </w:t>
      </w:r>
      <w:proofErr w:type="spellStart"/>
      <w:r w:rsidRPr="00642E45">
        <w:rPr>
          <w:rFonts w:asciiTheme="minorHAnsi" w:hAnsiTheme="minorHAnsi" w:cstheme="minorHAnsi"/>
          <w:color w:val="EE0000"/>
          <w:sz w:val="20"/>
          <w:szCs w:val="20"/>
        </w:rPr>
        <w:t>ParcelCare</w:t>
      </w:r>
      <w:proofErr w:type="spellEnd"/>
      <w:r w:rsidRPr="00642E45">
        <w:rPr>
          <w:rFonts w:asciiTheme="minorHAnsi" w:hAnsiTheme="minorHAnsi" w:cstheme="minorHAnsi"/>
          <w:color w:val="EE0000"/>
          <w:sz w:val="20"/>
          <w:szCs w:val="20"/>
        </w:rPr>
        <w:t xml:space="preserve"> stay flexible too – being able to adjust staffing levels during busy periods without </w:t>
      </w:r>
      <w:r w:rsidRPr="00DC66D3">
        <w:rPr>
          <w:rFonts w:asciiTheme="minorHAnsi" w:hAnsiTheme="minorHAnsi" w:cstheme="minorHAnsi"/>
          <w:color w:val="EE0000"/>
          <w:sz w:val="20"/>
          <w:szCs w:val="20"/>
        </w:rPr>
        <w:t xml:space="preserve">overworking people. It also supports better decision-making because managers have a clear picture of what skills and resources are available. Overall, it means </w:t>
      </w:r>
      <w:proofErr w:type="spellStart"/>
      <w:r w:rsidRPr="00DC66D3">
        <w:rPr>
          <w:rFonts w:asciiTheme="minorHAnsi" w:hAnsiTheme="minorHAnsi" w:cstheme="minorHAnsi"/>
          <w:color w:val="EE0000"/>
          <w:sz w:val="20"/>
          <w:szCs w:val="20"/>
        </w:rPr>
        <w:t>ParcelCare</w:t>
      </w:r>
      <w:proofErr w:type="spellEnd"/>
      <w:r w:rsidRPr="00DC66D3">
        <w:rPr>
          <w:rFonts w:asciiTheme="minorHAnsi" w:hAnsiTheme="minorHAnsi" w:cstheme="minorHAnsi"/>
          <w:color w:val="EE0000"/>
          <w:sz w:val="20"/>
          <w:szCs w:val="20"/>
        </w:rPr>
        <w:t xml:space="preserve"> is less likely to face delays or disruption and more likely to keep staff happy, which can improve retention and save money in the long </w:t>
      </w:r>
      <w:r w:rsidRPr="00E17140">
        <w:rPr>
          <w:rFonts w:asciiTheme="minorHAnsi" w:hAnsiTheme="minorHAnsi" w:cstheme="minorHAnsi"/>
          <w:color w:val="EE0000"/>
          <w:sz w:val="20"/>
          <w:szCs w:val="20"/>
        </w:rPr>
        <w:t>run</w:t>
      </w:r>
      <w:r w:rsidR="00E17140" w:rsidRPr="00E17140">
        <w:rPr>
          <w:rFonts w:asciiTheme="minorHAnsi" w:hAnsiTheme="minorHAnsi" w:cstheme="minorHAnsi"/>
          <w:color w:val="EE0000"/>
          <w:sz w:val="20"/>
          <w:szCs w:val="20"/>
        </w:rPr>
        <w:t xml:space="preserve"> </w:t>
      </w:r>
      <w:r w:rsidR="00E17140" w:rsidRPr="00E17140">
        <w:rPr>
          <w:rFonts w:ascii="Calibri" w:hAnsi="Calibri" w:cs="Calibri"/>
          <w:color w:val="EE0000"/>
          <w:sz w:val="20"/>
          <w:szCs w:val="20"/>
        </w:rPr>
        <w:t>(Marchington et al., 2021).</w:t>
      </w:r>
    </w:p>
    <w:p w14:paraId="6AB667DF" w14:textId="77777777" w:rsidR="00DC66D3" w:rsidRPr="0065706A" w:rsidRDefault="00DC66D3" w:rsidP="00B10453">
      <w:pPr>
        <w:pStyle w:val="NormalWeb"/>
        <w:rPr>
          <w:rFonts w:asciiTheme="minorHAnsi" w:hAnsiTheme="minorHAnsi" w:cstheme="minorHAnsi"/>
          <w:sz w:val="20"/>
          <w:szCs w:val="20"/>
        </w:rPr>
      </w:pPr>
    </w:p>
    <w:p w14:paraId="742694D8" w14:textId="77777777" w:rsidR="00380EED" w:rsidRPr="0065706A" w:rsidRDefault="00380EED" w:rsidP="007F7E83">
      <w:pPr>
        <w:rPr>
          <w:rFonts w:cstheme="minorHAnsi"/>
          <w:sz w:val="20"/>
          <w:szCs w:val="20"/>
        </w:rPr>
      </w:pPr>
    </w:p>
    <w:p w14:paraId="1B4919FC" w14:textId="06ED2C53" w:rsidR="00385B1D" w:rsidRPr="0065706A" w:rsidRDefault="0080717D">
      <w:pPr>
        <w:rPr>
          <w:rStyle w:val="ui-provider"/>
          <w:rFonts w:cstheme="minorHAnsi"/>
          <w:sz w:val="20"/>
          <w:szCs w:val="20"/>
        </w:rPr>
      </w:pPr>
      <w:r w:rsidRPr="0065706A">
        <w:rPr>
          <w:rStyle w:val="ui-provider"/>
          <w:rFonts w:cstheme="minorHAnsi"/>
          <w:sz w:val="20"/>
          <w:szCs w:val="20"/>
        </w:rPr>
        <w:t xml:space="preserve">AC </w:t>
      </w:r>
      <w:r w:rsidR="00E67BCF" w:rsidRPr="0065706A">
        <w:rPr>
          <w:rStyle w:val="ui-provider"/>
          <w:rFonts w:cstheme="minorHAnsi"/>
          <w:sz w:val="20"/>
          <w:szCs w:val="20"/>
        </w:rPr>
        <w:t>2.2</w:t>
      </w:r>
    </w:p>
    <w:p w14:paraId="11F61D5D" w14:textId="77777777" w:rsidR="00503F32" w:rsidRPr="0065706A" w:rsidRDefault="00503F32" w:rsidP="00503F32">
      <w:pPr>
        <w:pStyle w:val="NormalWeb"/>
        <w:rPr>
          <w:rFonts w:asciiTheme="minorHAnsi" w:hAnsiTheme="minorHAnsi" w:cstheme="minorHAnsi"/>
          <w:sz w:val="20"/>
          <w:szCs w:val="20"/>
        </w:rPr>
      </w:pPr>
      <w:r w:rsidRPr="0065706A">
        <w:rPr>
          <w:rFonts w:asciiTheme="minorHAnsi" w:hAnsiTheme="minorHAnsi" w:cstheme="minorHAnsi"/>
          <w:sz w:val="20"/>
          <w:szCs w:val="20"/>
        </w:rPr>
        <w:t xml:space="preserve">To strengthen the case for introducing workforce planning at </w:t>
      </w:r>
      <w:proofErr w:type="spellStart"/>
      <w:r w:rsidRPr="0065706A">
        <w:rPr>
          <w:rFonts w:asciiTheme="minorHAnsi" w:hAnsiTheme="minorHAnsi" w:cstheme="minorHAnsi"/>
          <w:sz w:val="20"/>
          <w:szCs w:val="20"/>
        </w:rPr>
        <w:t>ParcelCare</w:t>
      </w:r>
      <w:proofErr w:type="spellEnd"/>
      <w:r w:rsidRPr="0065706A">
        <w:rPr>
          <w:rFonts w:asciiTheme="minorHAnsi" w:hAnsiTheme="minorHAnsi" w:cstheme="minorHAnsi"/>
          <w:sz w:val="20"/>
          <w:szCs w:val="20"/>
        </w:rPr>
        <w:t xml:space="preserve">, several key techniques can be effectively utilised. Conducting a workforce supply and demand analysis allows HR to identify current staffing levels and compare them with future business needs, helping to highlight gaps in capacity or skills (CIPD, 2024). </w:t>
      </w:r>
    </w:p>
    <w:p w14:paraId="5A426500" w14:textId="77777777" w:rsidR="00503F32" w:rsidRPr="0065706A" w:rsidRDefault="00503F32" w:rsidP="00503F32">
      <w:pPr>
        <w:pStyle w:val="NormalWeb"/>
        <w:rPr>
          <w:rFonts w:asciiTheme="minorHAnsi" w:hAnsiTheme="minorHAnsi" w:cstheme="minorHAnsi"/>
          <w:sz w:val="20"/>
          <w:szCs w:val="20"/>
        </w:rPr>
      </w:pPr>
      <w:r w:rsidRPr="0065706A">
        <w:rPr>
          <w:rFonts w:asciiTheme="minorHAnsi" w:hAnsiTheme="minorHAnsi" w:cstheme="minorHAnsi"/>
          <w:sz w:val="20"/>
          <w:szCs w:val="20"/>
        </w:rPr>
        <w:t>A skills gap analysis further supports this by pinpointing areas where training or recruitment is required to meet operational goals. Scenario planning enables the organisation to prepare for fluctuations in demand, such as peak delivery periods, by modelling different workforce outcomes (</w:t>
      </w:r>
      <w:proofErr w:type="spellStart"/>
      <w:r w:rsidRPr="0065706A">
        <w:rPr>
          <w:rFonts w:asciiTheme="minorHAnsi" w:hAnsiTheme="minorHAnsi" w:cstheme="minorHAnsi"/>
          <w:sz w:val="20"/>
          <w:szCs w:val="20"/>
        </w:rPr>
        <w:t>Nüsing</w:t>
      </w:r>
      <w:proofErr w:type="spellEnd"/>
      <w:r w:rsidRPr="0065706A">
        <w:rPr>
          <w:rFonts w:asciiTheme="minorHAnsi" w:hAnsiTheme="minorHAnsi" w:cstheme="minorHAnsi"/>
          <w:sz w:val="20"/>
          <w:szCs w:val="20"/>
        </w:rPr>
        <w:t xml:space="preserve">, 2023). Turnover and attrition analysis can uncover patterns in employee departures, informing targeted retention strategies. </w:t>
      </w:r>
    </w:p>
    <w:p w14:paraId="74CD1337" w14:textId="2AA1138D" w:rsidR="001C28E8" w:rsidRPr="0065706A" w:rsidRDefault="00503F32" w:rsidP="0065706A">
      <w:pPr>
        <w:pStyle w:val="NormalWeb"/>
        <w:rPr>
          <w:rStyle w:val="ui-provider"/>
          <w:rFonts w:asciiTheme="minorHAnsi" w:hAnsiTheme="minorHAnsi" w:cstheme="minorHAnsi"/>
          <w:sz w:val="20"/>
          <w:szCs w:val="20"/>
        </w:rPr>
      </w:pPr>
      <w:r w:rsidRPr="0065706A">
        <w:rPr>
          <w:rFonts w:asciiTheme="minorHAnsi" w:hAnsiTheme="minorHAnsi" w:cstheme="minorHAnsi"/>
          <w:sz w:val="20"/>
          <w:szCs w:val="20"/>
        </w:rPr>
        <w:t xml:space="preserve">Additionally, succession planning ensures continuity in key roles by identifying and developing internal talent (CIPD, 2024). These techniques are supported by workforce analytics and HR information systems, which provide real-time data to inform strategic decisions. Together, these approaches ensure that </w:t>
      </w:r>
      <w:proofErr w:type="spellStart"/>
      <w:r w:rsidRPr="0065706A">
        <w:rPr>
          <w:rFonts w:asciiTheme="minorHAnsi" w:hAnsiTheme="minorHAnsi" w:cstheme="minorHAnsi"/>
          <w:sz w:val="20"/>
          <w:szCs w:val="20"/>
        </w:rPr>
        <w:t>ParcelCare</w:t>
      </w:r>
      <w:proofErr w:type="spellEnd"/>
      <w:r w:rsidRPr="0065706A">
        <w:rPr>
          <w:rFonts w:asciiTheme="minorHAnsi" w:hAnsiTheme="minorHAnsi" w:cstheme="minorHAnsi"/>
          <w:sz w:val="20"/>
          <w:szCs w:val="20"/>
        </w:rPr>
        <w:t xml:space="preserve"> can proactively manage its workforce, maintain service standards, and adapt to changing business needs, ultimately improving operational efficiency and reducing costly staffing issues. Another important aspect of workforce planning at </w:t>
      </w:r>
      <w:proofErr w:type="spellStart"/>
      <w:r w:rsidRPr="0065706A">
        <w:rPr>
          <w:rFonts w:asciiTheme="minorHAnsi" w:hAnsiTheme="minorHAnsi" w:cstheme="minorHAnsi"/>
          <w:sz w:val="20"/>
          <w:szCs w:val="20"/>
        </w:rPr>
        <w:t>ParcelCare</w:t>
      </w:r>
      <w:proofErr w:type="spellEnd"/>
      <w:r w:rsidRPr="0065706A">
        <w:rPr>
          <w:rFonts w:asciiTheme="minorHAnsi" w:hAnsiTheme="minorHAnsi" w:cstheme="minorHAnsi"/>
          <w:sz w:val="20"/>
          <w:szCs w:val="20"/>
        </w:rPr>
        <w:t xml:space="preserve"> is employee engagement and well-being. Keeping staff motivated and satisfied can significantly reduce turnover rates, which in turn helps maintain a stable and skilled workforce (CIPD, 2022). Regular feedback sessions and opportunities for career development make employees feel valued and invested in the company’s success. This creates a positive workplace culture that supports retention and productivity. Furthermore, flexible working arrangements, such as part-time or remote options, can cater to diverse employee needs and improve work-life balance (ACAS, 2025). This is particularly important in logistics and delivery sectors, where shift patterns and physical demands can lead to burnout if not managed carefully. By integrating these human-centred approaches with traditional workforce planning techniques, </w:t>
      </w:r>
      <w:proofErr w:type="spellStart"/>
      <w:r w:rsidRPr="0065706A">
        <w:rPr>
          <w:rFonts w:asciiTheme="minorHAnsi" w:hAnsiTheme="minorHAnsi" w:cstheme="minorHAnsi"/>
          <w:sz w:val="20"/>
          <w:szCs w:val="20"/>
        </w:rPr>
        <w:t>ParcelCare</w:t>
      </w:r>
      <w:proofErr w:type="spellEnd"/>
      <w:r w:rsidRPr="0065706A">
        <w:rPr>
          <w:rFonts w:asciiTheme="minorHAnsi" w:hAnsiTheme="minorHAnsi" w:cstheme="minorHAnsi"/>
          <w:sz w:val="20"/>
          <w:szCs w:val="20"/>
        </w:rPr>
        <w:t xml:space="preserve"> can build a resilient workforce that is better prepared to meet future challenges and maintain high-quality service delivery.</w:t>
      </w:r>
    </w:p>
    <w:p w14:paraId="082B0E39" w14:textId="75EED92A" w:rsidR="00385B1D" w:rsidRPr="0065706A" w:rsidRDefault="0080717D">
      <w:pPr>
        <w:rPr>
          <w:rStyle w:val="ui-provider"/>
          <w:rFonts w:cstheme="minorHAnsi"/>
          <w:sz w:val="20"/>
          <w:szCs w:val="20"/>
        </w:rPr>
      </w:pPr>
      <w:r w:rsidRPr="0065706A">
        <w:rPr>
          <w:rStyle w:val="ui-provider"/>
          <w:rFonts w:cstheme="minorHAnsi"/>
          <w:sz w:val="20"/>
          <w:szCs w:val="20"/>
        </w:rPr>
        <w:t xml:space="preserve">AC </w:t>
      </w:r>
      <w:r w:rsidR="00E67BCF" w:rsidRPr="0065706A">
        <w:rPr>
          <w:rStyle w:val="ui-provider"/>
          <w:rFonts w:cstheme="minorHAnsi"/>
          <w:sz w:val="20"/>
          <w:szCs w:val="20"/>
        </w:rPr>
        <w:t>2.3</w:t>
      </w:r>
    </w:p>
    <w:p w14:paraId="617CE92C" w14:textId="77777777" w:rsidR="00EF5EA9" w:rsidRPr="0065706A" w:rsidRDefault="00EF5EA9" w:rsidP="00EF5EA9">
      <w:pPr>
        <w:pStyle w:val="NormalWeb"/>
        <w:rPr>
          <w:rFonts w:asciiTheme="minorHAnsi" w:hAnsiTheme="minorHAnsi" w:cstheme="minorHAnsi"/>
          <w:b/>
          <w:bCs/>
          <w:sz w:val="20"/>
          <w:szCs w:val="20"/>
        </w:rPr>
      </w:pPr>
      <w:r w:rsidRPr="0065706A">
        <w:rPr>
          <w:rFonts w:asciiTheme="minorHAnsi" w:hAnsiTheme="minorHAnsi" w:cstheme="minorHAnsi"/>
          <w:sz w:val="20"/>
          <w:szCs w:val="20"/>
        </w:rPr>
        <w:t xml:space="preserve">To broaden </w:t>
      </w:r>
      <w:proofErr w:type="spellStart"/>
      <w:r w:rsidRPr="0065706A">
        <w:rPr>
          <w:rFonts w:asciiTheme="minorHAnsi" w:hAnsiTheme="minorHAnsi" w:cstheme="minorHAnsi"/>
          <w:sz w:val="20"/>
          <w:szCs w:val="20"/>
        </w:rPr>
        <w:t>ParcelCare’s</w:t>
      </w:r>
      <w:proofErr w:type="spellEnd"/>
      <w:r w:rsidRPr="0065706A">
        <w:rPr>
          <w:rFonts w:asciiTheme="minorHAnsi" w:hAnsiTheme="minorHAnsi" w:cstheme="minorHAnsi"/>
          <w:sz w:val="20"/>
          <w:szCs w:val="20"/>
        </w:rPr>
        <w:t xml:space="preserve"> recruitment and selection methods beyond website advertising and manager-led interviews, two additional approaches can be evaluated for their potential benefits and limitations. Using job boards such as Indeed, social media or Totaljobs can significantly increase the reach of job adverts, attracting a diverse pool of candidates quickly and cost-effectively (ACAS, 2024</w:t>
      </w:r>
      <w:r w:rsidRPr="0065706A">
        <w:rPr>
          <w:rFonts w:asciiTheme="minorHAnsi" w:hAnsiTheme="minorHAnsi" w:cstheme="minorHAnsi"/>
          <w:b/>
          <w:bCs/>
          <w:sz w:val="20"/>
          <w:szCs w:val="20"/>
        </w:rPr>
        <w:t xml:space="preserve">). </w:t>
      </w:r>
      <w:r w:rsidRPr="0065706A">
        <w:rPr>
          <w:rStyle w:val="Strong"/>
          <w:rFonts w:asciiTheme="minorHAnsi" w:eastAsiaTheme="majorEastAsia" w:hAnsiTheme="minorHAnsi" w:cstheme="minorHAnsi"/>
          <w:b w:val="0"/>
          <w:bCs w:val="0"/>
          <w:sz w:val="20"/>
          <w:szCs w:val="20"/>
        </w:rPr>
        <w:t xml:space="preserve">These platforms also allow for easy tracking of applications and performance analytics, helping HR teams understand what’s working. Social media platforms like LinkedIn or Facebook can target specific job roles and locations, which is ideal for a logistics company like </w:t>
      </w:r>
      <w:proofErr w:type="spellStart"/>
      <w:r w:rsidRPr="0065706A">
        <w:rPr>
          <w:rStyle w:val="Strong"/>
          <w:rFonts w:asciiTheme="minorHAnsi" w:eastAsiaTheme="majorEastAsia" w:hAnsiTheme="minorHAnsi" w:cstheme="minorHAnsi"/>
          <w:b w:val="0"/>
          <w:bCs w:val="0"/>
          <w:sz w:val="20"/>
          <w:szCs w:val="20"/>
        </w:rPr>
        <w:t>ParcelCare</w:t>
      </w:r>
      <w:proofErr w:type="spellEnd"/>
      <w:r w:rsidRPr="0065706A">
        <w:rPr>
          <w:rStyle w:val="Strong"/>
          <w:rFonts w:asciiTheme="minorHAnsi" w:eastAsiaTheme="majorEastAsia" w:hAnsiTheme="minorHAnsi" w:cstheme="minorHAnsi"/>
          <w:b w:val="0"/>
          <w:bCs w:val="0"/>
          <w:sz w:val="20"/>
          <w:szCs w:val="20"/>
        </w:rPr>
        <w:t xml:space="preserve"> needing drivers or warehouse staff in specific areas.</w:t>
      </w:r>
      <w:r w:rsidRPr="0065706A">
        <w:rPr>
          <w:rFonts w:asciiTheme="minorHAnsi" w:hAnsiTheme="minorHAnsi" w:cstheme="minorHAnsi"/>
          <w:sz w:val="20"/>
          <w:szCs w:val="20"/>
        </w:rPr>
        <w:t xml:space="preserve"> However, this method can also lead to high volumes of unsuitable applicants, increasing the burden on HR for shortlisting. </w:t>
      </w:r>
      <w:r w:rsidRPr="0065706A">
        <w:rPr>
          <w:rStyle w:val="Strong"/>
          <w:rFonts w:asciiTheme="minorHAnsi" w:eastAsiaTheme="majorEastAsia" w:hAnsiTheme="minorHAnsi" w:cstheme="minorHAnsi"/>
          <w:b w:val="0"/>
          <w:bCs w:val="0"/>
          <w:sz w:val="20"/>
          <w:szCs w:val="20"/>
        </w:rPr>
        <w:t>Filtering tools and automated CV screeners may help manage this, but there’s still a risk of overlooking potentially strong candidates due to automation limitations.</w:t>
      </w:r>
    </w:p>
    <w:p w14:paraId="100A2AFB" w14:textId="77777777" w:rsidR="00EF5EA9" w:rsidRPr="0065706A" w:rsidRDefault="00EF5EA9" w:rsidP="00EF5EA9">
      <w:pPr>
        <w:pStyle w:val="NormalWeb"/>
        <w:rPr>
          <w:rFonts w:asciiTheme="minorHAnsi" w:hAnsiTheme="minorHAnsi" w:cstheme="minorHAnsi"/>
          <w:b/>
          <w:bCs/>
          <w:sz w:val="20"/>
          <w:szCs w:val="20"/>
        </w:rPr>
      </w:pPr>
      <w:r w:rsidRPr="0065706A">
        <w:rPr>
          <w:rFonts w:asciiTheme="minorHAnsi" w:hAnsiTheme="minorHAnsi" w:cstheme="minorHAnsi"/>
          <w:sz w:val="20"/>
          <w:szCs w:val="20"/>
        </w:rPr>
        <w:t xml:space="preserve">Employee referral schemes, by contrast, often result in better cultural fit and higher retention, but they may limit diversity and risk perceptions of bias if not managed carefully. </w:t>
      </w:r>
      <w:r w:rsidRPr="0065706A">
        <w:rPr>
          <w:rStyle w:val="Strong"/>
          <w:rFonts w:asciiTheme="minorHAnsi" w:eastAsiaTheme="majorEastAsia" w:hAnsiTheme="minorHAnsi" w:cstheme="minorHAnsi"/>
          <w:b w:val="0"/>
          <w:bCs w:val="0"/>
          <w:sz w:val="20"/>
          <w:szCs w:val="20"/>
        </w:rPr>
        <w:t xml:space="preserve">To maximise effectiveness, </w:t>
      </w:r>
      <w:proofErr w:type="spellStart"/>
      <w:r w:rsidRPr="0065706A">
        <w:rPr>
          <w:rStyle w:val="Strong"/>
          <w:rFonts w:asciiTheme="minorHAnsi" w:eastAsiaTheme="majorEastAsia" w:hAnsiTheme="minorHAnsi" w:cstheme="minorHAnsi"/>
          <w:b w:val="0"/>
          <w:bCs w:val="0"/>
          <w:sz w:val="20"/>
          <w:szCs w:val="20"/>
        </w:rPr>
        <w:t>ParcelCare</w:t>
      </w:r>
      <w:proofErr w:type="spellEnd"/>
      <w:r w:rsidRPr="0065706A">
        <w:rPr>
          <w:rStyle w:val="Strong"/>
          <w:rFonts w:asciiTheme="minorHAnsi" w:eastAsiaTheme="majorEastAsia" w:hAnsiTheme="minorHAnsi" w:cstheme="minorHAnsi"/>
          <w:b w:val="0"/>
          <w:bCs w:val="0"/>
          <w:sz w:val="20"/>
          <w:szCs w:val="20"/>
        </w:rPr>
        <w:t xml:space="preserve"> could offer structured incentives and track referral outcomes to ensure fairness and performance. Schemes should also be clearly communicated and monitored to ensure they don’t unintentionally favour one group over another.</w:t>
      </w:r>
      <w:r w:rsidRPr="0065706A">
        <w:rPr>
          <w:rFonts w:asciiTheme="minorHAnsi" w:hAnsiTheme="minorHAnsi" w:cstheme="minorHAnsi"/>
          <w:sz w:val="20"/>
          <w:szCs w:val="20"/>
        </w:rPr>
        <w:t xml:space="preserve"> In terms of selection, psychometric testing offers objective insight into a candidate’s abilities and traits, supporting more informed decisions, though these tests can be costly and may disadvantage those unfamiliar with the format (CIPD, 2023).</w:t>
      </w:r>
      <w:r w:rsidRPr="0065706A">
        <w:rPr>
          <w:rFonts w:asciiTheme="minorHAnsi" w:hAnsiTheme="minorHAnsi" w:cstheme="minorHAnsi"/>
          <w:b/>
          <w:bCs/>
          <w:sz w:val="20"/>
          <w:szCs w:val="20"/>
        </w:rPr>
        <w:t xml:space="preserve"> </w:t>
      </w:r>
      <w:r w:rsidRPr="0065706A">
        <w:rPr>
          <w:rStyle w:val="Strong"/>
          <w:rFonts w:asciiTheme="minorHAnsi" w:eastAsiaTheme="majorEastAsia" w:hAnsiTheme="minorHAnsi" w:cstheme="minorHAnsi"/>
          <w:b w:val="0"/>
          <w:bCs w:val="0"/>
          <w:sz w:val="20"/>
          <w:szCs w:val="20"/>
        </w:rPr>
        <w:t xml:space="preserve">To reduce this risk, </w:t>
      </w:r>
      <w:proofErr w:type="spellStart"/>
      <w:r w:rsidRPr="0065706A">
        <w:rPr>
          <w:rStyle w:val="Strong"/>
          <w:rFonts w:asciiTheme="minorHAnsi" w:eastAsiaTheme="majorEastAsia" w:hAnsiTheme="minorHAnsi" w:cstheme="minorHAnsi"/>
          <w:b w:val="0"/>
          <w:bCs w:val="0"/>
          <w:sz w:val="20"/>
          <w:szCs w:val="20"/>
        </w:rPr>
        <w:t>ParcelCare</w:t>
      </w:r>
      <w:proofErr w:type="spellEnd"/>
      <w:r w:rsidRPr="0065706A">
        <w:rPr>
          <w:rStyle w:val="Strong"/>
          <w:rFonts w:asciiTheme="minorHAnsi" w:eastAsiaTheme="majorEastAsia" w:hAnsiTheme="minorHAnsi" w:cstheme="minorHAnsi"/>
          <w:b w:val="0"/>
          <w:bCs w:val="0"/>
          <w:sz w:val="20"/>
          <w:szCs w:val="20"/>
        </w:rPr>
        <w:t xml:space="preserve"> could provide clear instructions and practice examples before the test, ensuring candidates are assessed on potential rather than test-taking experience.</w:t>
      </w:r>
    </w:p>
    <w:p w14:paraId="711FAB88" w14:textId="77777777" w:rsidR="00EF5EA9" w:rsidRPr="0065706A" w:rsidRDefault="00EF5EA9" w:rsidP="00EF5EA9">
      <w:pPr>
        <w:pStyle w:val="NormalWeb"/>
        <w:rPr>
          <w:rFonts w:asciiTheme="minorHAnsi" w:hAnsiTheme="minorHAnsi" w:cstheme="minorHAnsi"/>
          <w:sz w:val="20"/>
          <w:szCs w:val="20"/>
        </w:rPr>
      </w:pPr>
      <w:r w:rsidRPr="0065706A">
        <w:rPr>
          <w:rFonts w:asciiTheme="minorHAnsi" w:hAnsiTheme="minorHAnsi" w:cstheme="minorHAnsi"/>
          <w:sz w:val="20"/>
          <w:szCs w:val="20"/>
        </w:rPr>
        <w:lastRenderedPageBreak/>
        <w:t xml:space="preserve">Work sample tests or task-based assessments provide a practical way to evaluate job-specific skills and are highly predictive of on-the-job performance, but they can be time-intensive to develop and may not fully assess soft skills. </w:t>
      </w:r>
      <w:r w:rsidRPr="0065706A">
        <w:rPr>
          <w:rStyle w:val="Strong"/>
          <w:rFonts w:asciiTheme="minorHAnsi" w:eastAsiaTheme="majorEastAsia" w:hAnsiTheme="minorHAnsi" w:cstheme="minorHAnsi"/>
          <w:b w:val="0"/>
          <w:bCs w:val="0"/>
          <w:sz w:val="20"/>
          <w:szCs w:val="20"/>
        </w:rPr>
        <w:t xml:space="preserve">For example, </w:t>
      </w:r>
      <w:proofErr w:type="spellStart"/>
      <w:r w:rsidRPr="0065706A">
        <w:rPr>
          <w:rStyle w:val="Strong"/>
          <w:rFonts w:asciiTheme="minorHAnsi" w:eastAsiaTheme="majorEastAsia" w:hAnsiTheme="minorHAnsi" w:cstheme="minorHAnsi"/>
          <w:b w:val="0"/>
          <w:bCs w:val="0"/>
          <w:sz w:val="20"/>
          <w:szCs w:val="20"/>
        </w:rPr>
        <w:t>ParcelCare</w:t>
      </w:r>
      <w:proofErr w:type="spellEnd"/>
      <w:r w:rsidRPr="0065706A">
        <w:rPr>
          <w:rStyle w:val="Strong"/>
          <w:rFonts w:asciiTheme="minorHAnsi" w:eastAsiaTheme="majorEastAsia" w:hAnsiTheme="minorHAnsi" w:cstheme="minorHAnsi"/>
          <w:b w:val="0"/>
          <w:bCs w:val="0"/>
          <w:sz w:val="20"/>
          <w:szCs w:val="20"/>
        </w:rPr>
        <w:t xml:space="preserve"> could ask delivery driver candidates to plan an efficient delivery route or respond to a simulated customer service query. While this shows how well they’d handle real situations, it might not reflect how well they work in a team or adapt to last-minute changes.</w:t>
      </w:r>
      <w:r w:rsidRPr="0065706A">
        <w:rPr>
          <w:rFonts w:asciiTheme="minorHAnsi" w:hAnsiTheme="minorHAnsi" w:cstheme="minorHAnsi"/>
          <w:sz w:val="20"/>
          <w:szCs w:val="20"/>
        </w:rPr>
        <w:t xml:space="preserve"> Incorporating these methods alongside current practices would strengthen </w:t>
      </w:r>
      <w:proofErr w:type="spellStart"/>
      <w:r w:rsidRPr="0065706A">
        <w:rPr>
          <w:rFonts w:asciiTheme="minorHAnsi" w:hAnsiTheme="minorHAnsi" w:cstheme="minorHAnsi"/>
          <w:sz w:val="20"/>
          <w:szCs w:val="20"/>
        </w:rPr>
        <w:t>ParcelCare’s</w:t>
      </w:r>
      <w:proofErr w:type="spellEnd"/>
      <w:r w:rsidRPr="0065706A">
        <w:rPr>
          <w:rFonts w:asciiTheme="minorHAnsi" w:hAnsiTheme="minorHAnsi" w:cstheme="minorHAnsi"/>
          <w:sz w:val="20"/>
          <w:szCs w:val="20"/>
        </w:rPr>
        <w:t xml:space="preserve"> overall recruitment strategy, improving both efficiency and candidate quality (CIPD, 2023).</w:t>
      </w:r>
    </w:p>
    <w:p w14:paraId="4783B129" w14:textId="7EFCB58A" w:rsidR="00722190" w:rsidRPr="0065706A" w:rsidRDefault="00EF5EA9" w:rsidP="0065706A">
      <w:pPr>
        <w:pStyle w:val="NormalWeb"/>
        <w:rPr>
          <w:rStyle w:val="ui-provider"/>
          <w:rFonts w:asciiTheme="minorHAnsi" w:hAnsiTheme="minorHAnsi" w:cstheme="minorHAnsi"/>
          <w:sz w:val="20"/>
          <w:szCs w:val="20"/>
        </w:rPr>
      </w:pPr>
      <w:r w:rsidRPr="0065706A">
        <w:rPr>
          <w:rFonts w:asciiTheme="minorHAnsi" w:hAnsiTheme="minorHAnsi" w:cstheme="minorHAnsi"/>
          <w:sz w:val="20"/>
          <w:szCs w:val="20"/>
        </w:rPr>
        <w:t xml:space="preserve">Another important aspect to consider in enhancing </w:t>
      </w:r>
      <w:proofErr w:type="spellStart"/>
      <w:r w:rsidRPr="0065706A">
        <w:rPr>
          <w:rFonts w:asciiTheme="minorHAnsi" w:hAnsiTheme="minorHAnsi" w:cstheme="minorHAnsi"/>
          <w:sz w:val="20"/>
          <w:szCs w:val="20"/>
        </w:rPr>
        <w:t>ParcelCare’s</w:t>
      </w:r>
      <w:proofErr w:type="spellEnd"/>
      <w:r w:rsidRPr="0065706A">
        <w:rPr>
          <w:rFonts w:asciiTheme="minorHAnsi" w:hAnsiTheme="minorHAnsi" w:cstheme="minorHAnsi"/>
          <w:sz w:val="20"/>
          <w:szCs w:val="20"/>
        </w:rPr>
        <w:t xml:space="preserve"> recruitment strategy is the role of employer branding and candidate experience. A strong employer brand can differentiate </w:t>
      </w:r>
      <w:proofErr w:type="spellStart"/>
      <w:r w:rsidRPr="0065706A">
        <w:rPr>
          <w:rFonts w:asciiTheme="minorHAnsi" w:hAnsiTheme="minorHAnsi" w:cstheme="minorHAnsi"/>
          <w:sz w:val="20"/>
          <w:szCs w:val="20"/>
        </w:rPr>
        <w:t>ParcelCare</w:t>
      </w:r>
      <w:proofErr w:type="spellEnd"/>
      <w:r w:rsidRPr="0065706A">
        <w:rPr>
          <w:rFonts w:asciiTheme="minorHAnsi" w:hAnsiTheme="minorHAnsi" w:cstheme="minorHAnsi"/>
          <w:sz w:val="20"/>
          <w:szCs w:val="20"/>
        </w:rPr>
        <w:t xml:space="preserve"> in a competitive job market, making it more attractive to high-calibre candidates (CIPD, 2023). This can be achieved through transparent communication of the organisation’s values, career development opportunities, and employee testimonials across digital platforms (Glassdoor, 2024</w:t>
      </w:r>
      <w:r w:rsidRPr="0065706A">
        <w:rPr>
          <w:rFonts w:asciiTheme="minorHAnsi" w:hAnsiTheme="minorHAnsi" w:cstheme="minorHAnsi"/>
          <w:b/>
          <w:bCs/>
          <w:sz w:val="20"/>
          <w:szCs w:val="20"/>
        </w:rPr>
        <w:t xml:space="preserve">). </w:t>
      </w:r>
      <w:proofErr w:type="spellStart"/>
      <w:r w:rsidRPr="0065706A">
        <w:rPr>
          <w:rStyle w:val="Strong"/>
          <w:rFonts w:asciiTheme="minorHAnsi" w:eastAsiaTheme="majorEastAsia" w:hAnsiTheme="minorHAnsi" w:cstheme="minorHAnsi"/>
          <w:b w:val="0"/>
          <w:bCs w:val="0"/>
          <w:sz w:val="20"/>
          <w:szCs w:val="20"/>
        </w:rPr>
        <w:t>ParcelCare</w:t>
      </w:r>
      <w:proofErr w:type="spellEnd"/>
      <w:r w:rsidRPr="0065706A">
        <w:rPr>
          <w:rStyle w:val="Strong"/>
          <w:rFonts w:asciiTheme="minorHAnsi" w:eastAsiaTheme="majorEastAsia" w:hAnsiTheme="minorHAnsi" w:cstheme="minorHAnsi"/>
          <w:b w:val="0"/>
          <w:bCs w:val="0"/>
          <w:sz w:val="20"/>
          <w:szCs w:val="20"/>
        </w:rPr>
        <w:t xml:space="preserve"> could also share behind-the-scenes content on social media, like a ‘day in the life’ of a driver or warehouse team member, giving candidates a real insight into the company culture and daily work life.</w:t>
      </w:r>
      <w:r w:rsidRPr="0065706A">
        <w:rPr>
          <w:rFonts w:asciiTheme="minorHAnsi" w:hAnsiTheme="minorHAnsi" w:cstheme="minorHAnsi"/>
          <w:sz w:val="20"/>
          <w:szCs w:val="20"/>
        </w:rPr>
        <w:t xml:space="preserve"> Furthermore, creating a positive candidate experience—through timely feedback, clear communication, and a streamlined application process—can improve perceptions of the company and increase the likelihood of offer acceptance (ACAS, 2024). </w:t>
      </w:r>
      <w:r w:rsidRPr="0065706A">
        <w:rPr>
          <w:rStyle w:val="Strong"/>
          <w:rFonts w:asciiTheme="minorHAnsi" w:eastAsiaTheme="majorEastAsia" w:hAnsiTheme="minorHAnsi" w:cstheme="minorHAnsi"/>
          <w:b w:val="0"/>
          <w:bCs w:val="0"/>
          <w:sz w:val="20"/>
          <w:szCs w:val="20"/>
        </w:rPr>
        <w:t xml:space="preserve">This is especially important for entry-level roles, where candidates may be applying to multiple companies at once. A smooth, respectful process can give </w:t>
      </w:r>
      <w:proofErr w:type="spellStart"/>
      <w:r w:rsidRPr="0065706A">
        <w:rPr>
          <w:rStyle w:val="Strong"/>
          <w:rFonts w:asciiTheme="minorHAnsi" w:eastAsiaTheme="majorEastAsia" w:hAnsiTheme="minorHAnsi" w:cstheme="minorHAnsi"/>
          <w:b w:val="0"/>
          <w:bCs w:val="0"/>
          <w:sz w:val="20"/>
          <w:szCs w:val="20"/>
        </w:rPr>
        <w:t>ParcelCare</w:t>
      </w:r>
      <w:proofErr w:type="spellEnd"/>
      <w:r w:rsidRPr="0065706A">
        <w:rPr>
          <w:rStyle w:val="Strong"/>
          <w:rFonts w:asciiTheme="minorHAnsi" w:eastAsiaTheme="majorEastAsia" w:hAnsiTheme="minorHAnsi" w:cstheme="minorHAnsi"/>
          <w:b w:val="0"/>
          <w:bCs w:val="0"/>
          <w:sz w:val="20"/>
          <w:szCs w:val="20"/>
        </w:rPr>
        <w:t xml:space="preserve"> the edge.</w:t>
      </w:r>
      <w:r w:rsidRPr="0065706A">
        <w:rPr>
          <w:rFonts w:asciiTheme="minorHAnsi" w:hAnsiTheme="minorHAnsi" w:cstheme="minorHAnsi"/>
          <w:sz w:val="20"/>
          <w:szCs w:val="20"/>
        </w:rPr>
        <w:t xml:space="preserve"> Even candidates who are not selected may speak positively about the process if treated respectfully, contributing to a stronger reputation and a wider talent network. </w:t>
      </w:r>
      <w:r w:rsidRPr="0065706A">
        <w:rPr>
          <w:rStyle w:val="Strong"/>
          <w:rFonts w:asciiTheme="minorHAnsi" w:eastAsiaTheme="majorEastAsia" w:hAnsiTheme="minorHAnsi" w:cstheme="minorHAnsi"/>
          <w:b w:val="0"/>
          <w:bCs w:val="0"/>
          <w:sz w:val="20"/>
          <w:szCs w:val="20"/>
        </w:rPr>
        <w:t>In turn, this can lead to higher application volumes and better long-term hiring outcomes</w:t>
      </w:r>
      <w:r w:rsidR="00AF51D8" w:rsidRPr="0065706A">
        <w:rPr>
          <w:rStyle w:val="Strong"/>
          <w:rFonts w:asciiTheme="minorHAnsi" w:eastAsiaTheme="majorEastAsia" w:hAnsiTheme="minorHAnsi" w:cstheme="minorHAnsi"/>
          <w:sz w:val="20"/>
          <w:szCs w:val="20"/>
        </w:rPr>
        <w:t>.</w:t>
      </w:r>
      <w:r w:rsidRPr="0065706A">
        <w:rPr>
          <w:rFonts w:asciiTheme="minorHAnsi" w:hAnsiTheme="minorHAnsi" w:cstheme="minorHAnsi"/>
          <w:sz w:val="20"/>
          <w:szCs w:val="20"/>
        </w:rPr>
        <w:t xml:space="preserve"> Investing in these softer elements of recruitment can yield long-term benefits by positioning </w:t>
      </w:r>
      <w:proofErr w:type="spellStart"/>
      <w:r w:rsidRPr="0065706A">
        <w:rPr>
          <w:rFonts w:asciiTheme="minorHAnsi" w:hAnsiTheme="minorHAnsi" w:cstheme="minorHAnsi"/>
          <w:sz w:val="20"/>
          <w:szCs w:val="20"/>
        </w:rPr>
        <w:t>ParcelCare</w:t>
      </w:r>
      <w:proofErr w:type="spellEnd"/>
      <w:r w:rsidRPr="0065706A">
        <w:rPr>
          <w:rFonts w:asciiTheme="minorHAnsi" w:hAnsiTheme="minorHAnsi" w:cstheme="minorHAnsi"/>
          <w:sz w:val="20"/>
          <w:szCs w:val="20"/>
        </w:rPr>
        <w:t xml:space="preserve"> as an employer of choice in its sector (CIPD, 2023). </w:t>
      </w:r>
      <w:r w:rsidRPr="0065706A">
        <w:rPr>
          <w:rStyle w:val="Strong"/>
          <w:rFonts w:asciiTheme="minorHAnsi" w:eastAsiaTheme="majorEastAsia" w:hAnsiTheme="minorHAnsi" w:cstheme="minorHAnsi"/>
          <w:b w:val="0"/>
          <w:bCs w:val="0"/>
          <w:sz w:val="20"/>
          <w:szCs w:val="20"/>
        </w:rPr>
        <w:t>This not only supports immediate hiring needs but also builds a sustainable talent pipeline for future growth.</w:t>
      </w:r>
    </w:p>
    <w:p w14:paraId="5D6A8ACB" w14:textId="4AF581DC" w:rsidR="00A22DD3" w:rsidRPr="0065706A" w:rsidRDefault="0080717D">
      <w:pPr>
        <w:rPr>
          <w:rStyle w:val="ui-provider"/>
          <w:rFonts w:cstheme="minorHAnsi"/>
          <w:sz w:val="20"/>
          <w:szCs w:val="20"/>
        </w:rPr>
      </w:pPr>
      <w:r w:rsidRPr="0065706A">
        <w:rPr>
          <w:rStyle w:val="ui-provider"/>
          <w:rFonts w:cstheme="minorHAnsi"/>
          <w:sz w:val="20"/>
          <w:szCs w:val="20"/>
        </w:rPr>
        <w:t xml:space="preserve">AC </w:t>
      </w:r>
      <w:r w:rsidR="00E67BCF" w:rsidRPr="0065706A">
        <w:rPr>
          <w:rStyle w:val="ui-provider"/>
          <w:rFonts w:cstheme="minorHAnsi"/>
          <w:sz w:val="20"/>
          <w:szCs w:val="20"/>
        </w:rPr>
        <w:t>3.1</w:t>
      </w:r>
    </w:p>
    <w:p w14:paraId="27CAB4AD" w14:textId="77777777" w:rsidR="007B7AB8" w:rsidRPr="0065706A" w:rsidRDefault="0070580B">
      <w:pPr>
        <w:rPr>
          <w:rFonts w:cstheme="minorHAnsi"/>
          <w:sz w:val="20"/>
          <w:szCs w:val="20"/>
        </w:rPr>
      </w:pPr>
      <w:r w:rsidRPr="0065706A">
        <w:rPr>
          <w:rFonts w:cstheme="minorHAnsi"/>
          <w:sz w:val="20"/>
          <w:szCs w:val="20"/>
        </w:rPr>
        <w:t xml:space="preserve">On examining </w:t>
      </w:r>
      <w:proofErr w:type="spellStart"/>
      <w:r w:rsidRPr="0065706A">
        <w:rPr>
          <w:rFonts w:cstheme="minorHAnsi"/>
          <w:sz w:val="20"/>
          <w:szCs w:val="20"/>
        </w:rPr>
        <w:t>ParcelCare’s</w:t>
      </w:r>
      <w:proofErr w:type="spellEnd"/>
      <w:r w:rsidRPr="0065706A">
        <w:rPr>
          <w:rFonts w:cstheme="minorHAnsi"/>
          <w:sz w:val="20"/>
          <w:szCs w:val="20"/>
        </w:rPr>
        <w:t xml:space="preserve"> employee turnover rates, it is important to distinguish between avoidable and unavoidable turnover to identify areas where intervention may be effective. </w:t>
      </w:r>
      <w:r w:rsidRPr="0065706A">
        <w:rPr>
          <w:rStyle w:val="Strong"/>
          <w:rFonts w:cstheme="minorHAnsi"/>
          <w:b w:val="0"/>
          <w:bCs w:val="0"/>
          <w:sz w:val="20"/>
          <w:szCs w:val="20"/>
        </w:rPr>
        <w:t>Avoidable turnover</w:t>
      </w:r>
      <w:r w:rsidRPr="0065706A">
        <w:rPr>
          <w:rFonts w:cstheme="minorHAnsi"/>
          <w:sz w:val="20"/>
          <w:szCs w:val="20"/>
        </w:rPr>
        <w:t xml:space="preserve"> refers to resignations that could potentially be prevented through improved management practices, better working conditions, or career development opportunities—for example, employees leaving due to poor leadership, lack of progression, or uncompetitive pay. In contrast, </w:t>
      </w:r>
      <w:r w:rsidRPr="0065706A">
        <w:rPr>
          <w:rStyle w:val="Strong"/>
          <w:rFonts w:cstheme="minorHAnsi"/>
          <w:b w:val="0"/>
          <w:bCs w:val="0"/>
          <w:sz w:val="20"/>
          <w:szCs w:val="20"/>
        </w:rPr>
        <w:t>unavoidable turnover</w:t>
      </w:r>
      <w:r w:rsidRPr="0065706A">
        <w:rPr>
          <w:rFonts w:cstheme="minorHAnsi"/>
          <w:sz w:val="20"/>
          <w:szCs w:val="20"/>
        </w:rPr>
        <w:t xml:space="preserve"> includes departures due to retirement, relocation, or personal circumstances outside the employer’s </w:t>
      </w:r>
      <w:r w:rsidR="007B7AB8" w:rsidRPr="0065706A">
        <w:rPr>
          <w:rFonts w:cstheme="minorHAnsi"/>
          <w:sz w:val="20"/>
          <w:szCs w:val="20"/>
        </w:rPr>
        <w:t>control (Taylor, 2025)</w:t>
      </w:r>
      <w:r w:rsidRPr="0065706A">
        <w:rPr>
          <w:rFonts w:cstheme="minorHAnsi"/>
          <w:sz w:val="20"/>
          <w:szCs w:val="20"/>
        </w:rPr>
        <w:t xml:space="preserve">. </w:t>
      </w:r>
    </w:p>
    <w:p w14:paraId="600BCD2D" w14:textId="52DF5526" w:rsidR="0070580B" w:rsidRPr="0065706A" w:rsidRDefault="0070580B">
      <w:pPr>
        <w:rPr>
          <w:rFonts w:cstheme="minorHAnsi"/>
          <w:sz w:val="20"/>
          <w:szCs w:val="20"/>
        </w:rPr>
      </w:pPr>
      <w:r w:rsidRPr="0065706A">
        <w:rPr>
          <w:rFonts w:cstheme="minorHAnsi"/>
          <w:sz w:val="20"/>
          <w:szCs w:val="20"/>
        </w:rPr>
        <w:t xml:space="preserve">Additionally, understanding the difference between </w:t>
      </w:r>
      <w:r w:rsidRPr="0065706A">
        <w:rPr>
          <w:rStyle w:val="Strong"/>
          <w:rFonts w:cstheme="minorHAnsi"/>
          <w:b w:val="0"/>
          <w:bCs w:val="0"/>
          <w:sz w:val="20"/>
          <w:szCs w:val="20"/>
        </w:rPr>
        <w:t>push and pull factors</w:t>
      </w:r>
      <w:r w:rsidRPr="0065706A">
        <w:rPr>
          <w:rFonts w:cstheme="minorHAnsi"/>
          <w:sz w:val="20"/>
          <w:szCs w:val="20"/>
        </w:rPr>
        <w:t xml:space="preserve"> is essential. </w:t>
      </w:r>
      <w:r w:rsidRPr="0065706A">
        <w:rPr>
          <w:rStyle w:val="Strong"/>
          <w:rFonts w:cstheme="minorHAnsi"/>
          <w:b w:val="0"/>
          <w:bCs w:val="0"/>
          <w:sz w:val="20"/>
          <w:szCs w:val="20"/>
        </w:rPr>
        <w:t>Push factors</w:t>
      </w:r>
      <w:r w:rsidRPr="0065706A">
        <w:rPr>
          <w:rFonts w:cstheme="minorHAnsi"/>
          <w:b/>
          <w:bCs/>
          <w:sz w:val="20"/>
          <w:szCs w:val="20"/>
        </w:rPr>
        <w:t xml:space="preserve"> </w:t>
      </w:r>
      <w:r w:rsidRPr="0065706A">
        <w:rPr>
          <w:rFonts w:cstheme="minorHAnsi"/>
          <w:sz w:val="20"/>
          <w:szCs w:val="20"/>
        </w:rPr>
        <w:t>are internal issues within the organisation that drive employees to leave, such as a toxic work environment, lack of recognition, or excessive workload</w:t>
      </w:r>
      <w:r w:rsidR="00033675" w:rsidRPr="0065706A">
        <w:rPr>
          <w:rFonts w:cstheme="minorHAnsi"/>
          <w:sz w:val="20"/>
          <w:szCs w:val="20"/>
        </w:rPr>
        <w:t xml:space="preserve"> (Thomas,</w:t>
      </w:r>
      <w:r w:rsidR="00A31DF1" w:rsidRPr="0065706A">
        <w:rPr>
          <w:rFonts w:cstheme="minorHAnsi"/>
          <w:sz w:val="20"/>
          <w:szCs w:val="20"/>
        </w:rPr>
        <w:t xml:space="preserve"> 2015)</w:t>
      </w:r>
      <w:r w:rsidRPr="0065706A">
        <w:rPr>
          <w:rFonts w:cstheme="minorHAnsi"/>
          <w:sz w:val="20"/>
          <w:szCs w:val="20"/>
        </w:rPr>
        <w:t xml:space="preserve">. These are typically within HR’s ability to address. </w:t>
      </w:r>
      <w:r w:rsidR="000420C0" w:rsidRPr="0065706A">
        <w:rPr>
          <w:rFonts w:cstheme="minorHAnsi"/>
          <w:sz w:val="20"/>
          <w:szCs w:val="20"/>
        </w:rPr>
        <w:t>O</w:t>
      </w:r>
      <w:r w:rsidRPr="0065706A">
        <w:rPr>
          <w:rFonts w:cstheme="minorHAnsi"/>
          <w:sz w:val="20"/>
          <w:szCs w:val="20"/>
        </w:rPr>
        <w:t xml:space="preserve">n the other hand, are external attractions, such as a higher salary, better benefits, or career advancement opportunities elsewhere. While harder to control, strong employee engagement, competitive reward packages, and clear development pathways can help reduce the impact of pull factors. Identifying and addressing the key push and avoidable factors at </w:t>
      </w:r>
      <w:proofErr w:type="spellStart"/>
      <w:r w:rsidRPr="0065706A">
        <w:rPr>
          <w:rFonts w:cstheme="minorHAnsi"/>
          <w:sz w:val="20"/>
          <w:szCs w:val="20"/>
        </w:rPr>
        <w:t>ParcelCare</w:t>
      </w:r>
      <w:proofErr w:type="spellEnd"/>
      <w:r w:rsidRPr="0065706A">
        <w:rPr>
          <w:rFonts w:cstheme="minorHAnsi"/>
          <w:sz w:val="20"/>
          <w:szCs w:val="20"/>
        </w:rPr>
        <w:t xml:space="preserve"> will be crucial in lowering turnover and improving retention</w:t>
      </w:r>
      <w:r w:rsidR="009C3C2A" w:rsidRPr="0065706A">
        <w:rPr>
          <w:rFonts w:cstheme="minorHAnsi"/>
          <w:sz w:val="20"/>
          <w:szCs w:val="20"/>
        </w:rPr>
        <w:t xml:space="preserve"> (CIPD, 2024).</w:t>
      </w:r>
    </w:p>
    <w:p w14:paraId="3B292535" w14:textId="77777777" w:rsidR="00201EEE" w:rsidRPr="0065706A" w:rsidRDefault="00201EEE" w:rsidP="00201EEE">
      <w:pPr>
        <w:spacing w:before="100" w:beforeAutospacing="1" w:after="100" w:afterAutospacing="1" w:line="240" w:lineRule="auto"/>
        <w:rPr>
          <w:rFonts w:eastAsia="Times New Roman" w:cstheme="minorHAnsi"/>
          <w:kern w:val="0"/>
          <w:sz w:val="20"/>
          <w:szCs w:val="20"/>
          <w:lang w:eastAsia="en-GB"/>
          <w14:ligatures w14:val="none"/>
        </w:rPr>
      </w:pPr>
      <w:r w:rsidRPr="0065706A">
        <w:rPr>
          <w:rFonts w:eastAsia="Times New Roman" w:cstheme="minorHAnsi"/>
          <w:kern w:val="0"/>
          <w:sz w:val="20"/>
          <w:szCs w:val="20"/>
          <w:lang w:eastAsia="en-GB"/>
          <w14:ligatures w14:val="none"/>
        </w:rPr>
        <w:t xml:space="preserve">Beyond addressing turnover causes, it is important to analyse exit interview data systematically to uncover patterns and underlying issues leading to resignations. This data can highlight recurring themes such as dissatisfaction with management styles, lack of training, or work-life balance challenges (SHRM, 2023). By regularly reviewing and acting on these insights, </w:t>
      </w:r>
      <w:proofErr w:type="spellStart"/>
      <w:r w:rsidRPr="0065706A">
        <w:rPr>
          <w:rFonts w:eastAsia="Times New Roman" w:cstheme="minorHAnsi"/>
          <w:kern w:val="0"/>
          <w:sz w:val="20"/>
          <w:szCs w:val="20"/>
          <w:lang w:eastAsia="en-GB"/>
          <w14:ligatures w14:val="none"/>
        </w:rPr>
        <w:t>ParcelCare</w:t>
      </w:r>
      <w:proofErr w:type="spellEnd"/>
      <w:r w:rsidRPr="0065706A">
        <w:rPr>
          <w:rFonts w:eastAsia="Times New Roman" w:cstheme="minorHAnsi"/>
          <w:kern w:val="0"/>
          <w:sz w:val="20"/>
          <w:szCs w:val="20"/>
          <w:lang w:eastAsia="en-GB"/>
          <w14:ligatures w14:val="none"/>
        </w:rPr>
        <w:t xml:space="preserve"> can implement targeted interventions rather than generic policies, increasing their effectiveness (Ulrich et al., 2020).</w:t>
      </w:r>
    </w:p>
    <w:p w14:paraId="3485319B" w14:textId="77777777" w:rsidR="00201EEE" w:rsidRPr="0065706A" w:rsidRDefault="00201EEE" w:rsidP="00201EEE">
      <w:pPr>
        <w:spacing w:before="100" w:beforeAutospacing="1" w:after="100" w:afterAutospacing="1" w:line="240" w:lineRule="auto"/>
        <w:rPr>
          <w:rFonts w:eastAsia="Times New Roman" w:cstheme="minorHAnsi"/>
          <w:kern w:val="0"/>
          <w:sz w:val="20"/>
          <w:szCs w:val="20"/>
          <w:lang w:eastAsia="en-GB"/>
          <w14:ligatures w14:val="none"/>
        </w:rPr>
      </w:pPr>
      <w:r w:rsidRPr="0065706A">
        <w:rPr>
          <w:rFonts w:eastAsia="Times New Roman" w:cstheme="minorHAnsi"/>
          <w:kern w:val="0"/>
          <w:sz w:val="20"/>
          <w:szCs w:val="20"/>
          <w:lang w:eastAsia="en-GB"/>
          <w14:ligatures w14:val="none"/>
        </w:rPr>
        <w:t xml:space="preserve">Furthermore, creating a robust employee value proposition (EVP) can differentiate </w:t>
      </w:r>
      <w:proofErr w:type="spellStart"/>
      <w:r w:rsidRPr="0065706A">
        <w:rPr>
          <w:rFonts w:eastAsia="Times New Roman" w:cstheme="minorHAnsi"/>
          <w:kern w:val="0"/>
          <w:sz w:val="20"/>
          <w:szCs w:val="20"/>
          <w:lang w:eastAsia="en-GB"/>
          <w14:ligatures w14:val="none"/>
        </w:rPr>
        <w:t>ParcelCare</w:t>
      </w:r>
      <w:proofErr w:type="spellEnd"/>
      <w:r w:rsidRPr="0065706A">
        <w:rPr>
          <w:rFonts w:eastAsia="Times New Roman" w:cstheme="minorHAnsi"/>
          <w:kern w:val="0"/>
          <w:sz w:val="20"/>
          <w:szCs w:val="20"/>
          <w:lang w:eastAsia="en-GB"/>
          <w14:ligatures w14:val="none"/>
        </w:rPr>
        <w:t xml:space="preserve"> in a competitive labour market. An EVP communicates what the organisation offers employees beyond salary, including culture, career progression, work environment, and social responsibility initiatives (HBR, 2019). A compelling EVP not only attracts candidates but also fosters a sense of pride and belonging among current staff, reducing turnover risks (LinkedIn Talent Solutions, 2022).</w:t>
      </w:r>
    </w:p>
    <w:p w14:paraId="21DC04E4" w14:textId="1FA3B857" w:rsidR="001C28E8" w:rsidRPr="006D3632" w:rsidRDefault="00201EEE" w:rsidP="006D3632">
      <w:pPr>
        <w:spacing w:before="100" w:beforeAutospacing="1" w:after="100" w:afterAutospacing="1" w:line="240" w:lineRule="auto"/>
        <w:rPr>
          <w:rFonts w:eastAsia="Times New Roman" w:cstheme="minorHAnsi"/>
          <w:kern w:val="0"/>
          <w:sz w:val="20"/>
          <w:szCs w:val="20"/>
          <w:lang w:eastAsia="en-GB"/>
          <w14:ligatures w14:val="none"/>
        </w:rPr>
      </w:pPr>
      <w:r w:rsidRPr="0065706A">
        <w:rPr>
          <w:rFonts w:eastAsia="Times New Roman" w:cstheme="minorHAnsi"/>
          <w:kern w:val="0"/>
          <w:sz w:val="20"/>
          <w:szCs w:val="20"/>
          <w:lang w:eastAsia="en-GB"/>
          <w14:ligatures w14:val="none"/>
        </w:rPr>
        <w:lastRenderedPageBreak/>
        <w:t xml:space="preserve">Lastly, leveraging technology to enhance communication and feedback mechanisms can improve employee engagement. Platforms that facilitate real-time feedback, peer recognition, and transparent communication channels empower employees and managers to address concerns promptly (Gallup, 2021). When employees feel heard and valued, their commitment to the organisation strengthens, directly impacting retention rates. These innovative approaches position </w:t>
      </w:r>
      <w:proofErr w:type="spellStart"/>
      <w:r w:rsidRPr="0065706A">
        <w:rPr>
          <w:rFonts w:eastAsia="Times New Roman" w:cstheme="minorHAnsi"/>
          <w:kern w:val="0"/>
          <w:sz w:val="20"/>
          <w:szCs w:val="20"/>
          <w:lang w:eastAsia="en-GB"/>
          <w14:ligatures w14:val="none"/>
        </w:rPr>
        <w:t>ParcelCare</w:t>
      </w:r>
      <w:proofErr w:type="spellEnd"/>
      <w:r w:rsidRPr="0065706A">
        <w:rPr>
          <w:rFonts w:eastAsia="Times New Roman" w:cstheme="minorHAnsi"/>
          <w:kern w:val="0"/>
          <w:sz w:val="20"/>
          <w:szCs w:val="20"/>
          <w:lang w:eastAsia="en-GB"/>
          <w14:ligatures w14:val="none"/>
        </w:rPr>
        <w:t xml:space="preserve"> as a forward-thinking employer capable of adapting to evolving workforce expectations</w:t>
      </w:r>
      <w:r w:rsidR="006B52F8" w:rsidRPr="0065706A">
        <w:rPr>
          <w:rFonts w:eastAsia="Times New Roman" w:cstheme="minorHAnsi"/>
          <w:kern w:val="0"/>
          <w:sz w:val="20"/>
          <w:szCs w:val="20"/>
          <w:lang w:eastAsia="en-GB"/>
          <w14:ligatures w14:val="none"/>
        </w:rPr>
        <w:t>.</w:t>
      </w:r>
    </w:p>
    <w:p w14:paraId="73B94361" w14:textId="3D49BADB" w:rsidR="00EA2FA9" w:rsidRPr="0065706A" w:rsidRDefault="0080717D">
      <w:pPr>
        <w:rPr>
          <w:rStyle w:val="ui-provider"/>
          <w:rFonts w:cstheme="minorHAnsi"/>
          <w:sz w:val="20"/>
          <w:szCs w:val="20"/>
        </w:rPr>
      </w:pPr>
      <w:r w:rsidRPr="0065706A">
        <w:rPr>
          <w:rStyle w:val="ui-provider"/>
          <w:rFonts w:cstheme="minorHAnsi"/>
          <w:sz w:val="20"/>
          <w:szCs w:val="20"/>
        </w:rPr>
        <w:t xml:space="preserve">AC </w:t>
      </w:r>
      <w:r w:rsidR="00E67BCF" w:rsidRPr="0065706A">
        <w:rPr>
          <w:rStyle w:val="ui-provider"/>
          <w:rFonts w:cstheme="minorHAnsi"/>
          <w:sz w:val="20"/>
          <w:szCs w:val="20"/>
        </w:rPr>
        <w:t>3.2</w:t>
      </w:r>
    </w:p>
    <w:p w14:paraId="2648638D" w14:textId="3E9F4EA5" w:rsidR="00FB6239" w:rsidRPr="0065706A" w:rsidRDefault="00DF6249">
      <w:pPr>
        <w:rPr>
          <w:rFonts w:cstheme="minorHAnsi"/>
          <w:sz w:val="20"/>
          <w:szCs w:val="20"/>
        </w:rPr>
      </w:pPr>
      <w:r w:rsidRPr="0065706A">
        <w:rPr>
          <w:rFonts w:cstheme="minorHAnsi"/>
          <w:sz w:val="20"/>
          <w:szCs w:val="20"/>
        </w:rPr>
        <w:t>To begin with</w:t>
      </w:r>
      <w:r w:rsidR="004C1547" w:rsidRPr="0065706A">
        <w:rPr>
          <w:rFonts w:cstheme="minorHAnsi"/>
          <w:sz w:val="20"/>
          <w:szCs w:val="20"/>
        </w:rPr>
        <w:t xml:space="preserve"> realistic job previews, </w:t>
      </w:r>
      <w:r w:rsidRPr="0065706A">
        <w:rPr>
          <w:rFonts w:cstheme="minorHAnsi"/>
          <w:sz w:val="20"/>
          <w:szCs w:val="20"/>
        </w:rPr>
        <w:t xml:space="preserve">this is </w:t>
      </w:r>
      <w:r w:rsidR="004C1547" w:rsidRPr="0065706A">
        <w:rPr>
          <w:rFonts w:cstheme="minorHAnsi"/>
          <w:sz w:val="20"/>
          <w:szCs w:val="20"/>
        </w:rPr>
        <w:t xml:space="preserve">where employers explain the role honestly before someone starts. This helps reduce early turnover, but it mainly affects short-term retention. </w:t>
      </w:r>
      <w:r w:rsidR="0087461B" w:rsidRPr="0065706A">
        <w:rPr>
          <w:rFonts w:cstheme="minorHAnsi"/>
          <w:sz w:val="20"/>
          <w:szCs w:val="20"/>
        </w:rPr>
        <w:t>(Indeed, 2024)</w:t>
      </w:r>
    </w:p>
    <w:p w14:paraId="3D72C828" w14:textId="14A59109" w:rsidR="00B27D16" w:rsidRPr="0065706A" w:rsidRDefault="004C1547">
      <w:pPr>
        <w:rPr>
          <w:rFonts w:cstheme="minorHAnsi"/>
          <w:sz w:val="20"/>
          <w:szCs w:val="20"/>
        </w:rPr>
      </w:pPr>
      <w:r w:rsidRPr="0065706A">
        <w:rPr>
          <w:rFonts w:cstheme="minorHAnsi"/>
          <w:sz w:val="20"/>
          <w:szCs w:val="20"/>
        </w:rPr>
        <w:t xml:space="preserve">In comparison, induction supports new staff in their first days or weeks, helping them feel welcome and confident. While both help early on, induction has a longer-lasting effect as it sets the tone for the employee’s experience. </w:t>
      </w:r>
      <w:r w:rsidR="00634950" w:rsidRPr="0065706A">
        <w:rPr>
          <w:rFonts w:cstheme="minorHAnsi"/>
          <w:sz w:val="20"/>
          <w:szCs w:val="20"/>
        </w:rPr>
        <w:t>(CIPD, 2025)</w:t>
      </w:r>
    </w:p>
    <w:p w14:paraId="3232E7A1" w14:textId="68418CB2" w:rsidR="00F26ABE" w:rsidRPr="0065706A" w:rsidRDefault="004C1547">
      <w:pPr>
        <w:rPr>
          <w:rFonts w:cstheme="minorHAnsi"/>
          <w:sz w:val="20"/>
          <w:szCs w:val="20"/>
        </w:rPr>
      </w:pPr>
      <w:r w:rsidRPr="0065706A">
        <w:rPr>
          <w:rFonts w:cstheme="minorHAnsi"/>
          <w:sz w:val="20"/>
          <w:szCs w:val="20"/>
        </w:rPr>
        <w:t>Job enrichment, on the other hand, focuses more on long-term retention by making work more varied and interesting. Compared to the first two, it keeps people engaged over time rather than just helping them settle in.</w:t>
      </w:r>
      <w:r w:rsidR="005D321B" w:rsidRPr="0065706A">
        <w:rPr>
          <w:rFonts w:cstheme="minorHAnsi"/>
          <w:sz w:val="20"/>
          <w:szCs w:val="20"/>
        </w:rPr>
        <w:t xml:space="preserve"> (Indeed, 2025)</w:t>
      </w:r>
    </w:p>
    <w:p w14:paraId="4C408167" w14:textId="6670DCBD" w:rsidR="006065EE" w:rsidRPr="0065706A" w:rsidRDefault="004C1547">
      <w:pPr>
        <w:rPr>
          <w:rFonts w:cstheme="minorHAnsi"/>
          <w:sz w:val="20"/>
          <w:szCs w:val="20"/>
        </w:rPr>
      </w:pPr>
      <w:r w:rsidRPr="0065706A">
        <w:rPr>
          <w:rFonts w:cstheme="minorHAnsi"/>
          <w:sz w:val="20"/>
          <w:szCs w:val="20"/>
        </w:rPr>
        <w:t xml:space="preserve">Reward, such as fair pay and bonuses, is often the most direct way to improve retention. Unlike the others, it gives an immediate benefit and can attract and keep staff in a competitive job market. However, rewards alone may not keep people if the job is boring or poorly managed. </w:t>
      </w:r>
      <w:r w:rsidR="002A406A" w:rsidRPr="0065706A">
        <w:rPr>
          <w:rFonts w:cstheme="minorHAnsi"/>
          <w:sz w:val="20"/>
          <w:szCs w:val="20"/>
        </w:rPr>
        <w:t>(CIPD, 2024)</w:t>
      </w:r>
    </w:p>
    <w:p w14:paraId="6A8EA7BC" w14:textId="09BC2E2D" w:rsidR="00A657FC" w:rsidRDefault="004C1547" w:rsidP="001C28E8">
      <w:pPr>
        <w:rPr>
          <w:rFonts w:cstheme="minorHAnsi"/>
          <w:sz w:val="20"/>
          <w:szCs w:val="20"/>
        </w:rPr>
      </w:pPr>
      <w:r w:rsidRPr="0065706A">
        <w:rPr>
          <w:rFonts w:cstheme="minorHAnsi"/>
          <w:sz w:val="20"/>
          <w:szCs w:val="20"/>
        </w:rPr>
        <w:t xml:space="preserve">So, while realistic job previews and induction help early on, job </w:t>
      </w:r>
      <w:r w:rsidR="00D51FFB" w:rsidRPr="0065706A">
        <w:rPr>
          <w:rFonts w:cstheme="minorHAnsi"/>
          <w:sz w:val="20"/>
          <w:szCs w:val="20"/>
        </w:rPr>
        <w:t>enrichment</w:t>
      </w:r>
      <w:r w:rsidRPr="0065706A">
        <w:rPr>
          <w:rFonts w:cstheme="minorHAnsi"/>
          <w:sz w:val="20"/>
          <w:szCs w:val="20"/>
        </w:rPr>
        <w:t xml:space="preserve"> and reward are more about keeping staff in the long run. Out of the four, reward might have the strongest short-term impact, but job enrichment could be more effective for motivation and satisfaction over time. In the end, each approach has strengths and weaknesses. The best results usually come from using them together – being honest from the start, welcoming people properly, keeping the work interesting, and rewarding effort fairly. This combined approach gives staff more reasons to stay, both in the short and long term.</w:t>
      </w:r>
    </w:p>
    <w:p w14:paraId="0EFD0B33" w14:textId="604B7B71" w:rsidR="006D3632" w:rsidRPr="006D3632" w:rsidRDefault="006D3632" w:rsidP="006D3632">
      <w:pPr>
        <w:pStyle w:val="NormalWeb"/>
        <w:rPr>
          <w:rFonts w:asciiTheme="minorHAnsi" w:hAnsiTheme="minorHAnsi" w:cstheme="minorHAnsi"/>
          <w:color w:val="EE0000"/>
          <w:sz w:val="20"/>
          <w:szCs w:val="20"/>
        </w:rPr>
      </w:pPr>
      <w:r w:rsidRPr="006D3632">
        <w:rPr>
          <w:rFonts w:asciiTheme="minorHAnsi" w:hAnsiTheme="minorHAnsi" w:cstheme="minorHAnsi"/>
          <w:color w:val="EE0000"/>
          <w:sz w:val="20"/>
          <w:szCs w:val="20"/>
        </w:rPr>
        <w:t xml:space="preserve">Another important point is how </w:t>
      </w:r>
      <w:r w:rsidR="00E17140" w:rsidRPr="006D3632">
        <w:rPr>
          <w:rFonts w:asciiTheme="minorHAnsi" w:hAnsiTheme="minorHAnsi" w:cstheme="minorHAnsi"/>
          <w:color w:val="EE0000"/>
          <w:sz w:val="20"/>
          <w:szCs w:val="20"/>
        </w:rPr>
        <w:t>this retention</w:t>
      </w:r>
      <w:r w:rsidRPr="006D3632">
        <w:rPr>
          <w:rFonts w:asciiTheme="minorHAnsi" w:hAnsiTheme="minorHAnsi" w:cstheme="minorHAnsi"/>
          <w:color w:val="EE0000"/>
          <w:sz w:val="20"/>
          <w:szCs w:val="20"/>
        </w:rPr>
        <w:t xml:space="preserve"> methods affect different types of employees. For example, younger workers might value job enrichment more because they’re looking to build their skills and careers. They want variety and challenges to keep them interested. Older workers might place more importance on realistic job previews and induction since knowing exactly what the job involves and feeling supported at the start can reduce anxiety and make</w:t>
      </w:r>
      <w:r w:rsidRPr="006D3632">
        <w:rPr>
          <w:color w:val="EE0000"/>
        </w:rPr>
        <w:t xml:space="preserve"> </w:t>
      </w:r>
      <w:r w:rsidRPr="006D3632">
        <w:rPr>
          <w:rFonts w:asciiTheme="minorHAnsi" w:hAnsiTheme="minorHAnsi" w:cstheme="minorHAnsi"/>
          <w:color w:val="EE0000"/>
          <w:sz w:val="20"/>
          <w:szCs w:val="20"/>
        </w:rPr>
        <w:t xml:space="preserve">them feel more </w:t>
      </w:r>
      <w:r w:rsidRPr="00E17140">
        <w:rPr>
          <w:rFonts w:asciiTheme="minorHAnsi" w:hAnsiTheme="minorHAnsi" w:cstheme="minorHAnsi"/>
          <w:color w:val="EE0000"/>
          <w:sz w:val="20"/>
          <w:szCs w:val="20"/>
        </w:rPr>
        <w:t>confident</w:t>
      </w:r>
      <w:r w:rsidR="00E17140" w:rsidRPr="00E17140">
        <w:rPr>
          <w:rFonts w:asciiTheme="minorHAnsi" w:hAnsiTheme="minorHAnsi" w:cstheme="minorHAnsi"/>
          <w:color w:val="EE0000"/>
          <w:sz w:val="20"/>
          <w:szCs w:val="20"/>
        </w:rPr>
        <w:t xml:space="preserve"> </w:t>
      </w:r>
      <w:r w:rsidR="00E17140" w:rsidRPr="00E17140">
        <w:rPr>
          <w:rFonts w:ascii="Calibri" w:hAnsi="Calibri" w:cs="Calibri"/>
          <w:color w:val="EE0000"/>
          <w:sz w:val="20"/>
          <w:szCs w:val="20"/>
        </w:rPr>
        <w:t>(Rees and French, 2023)</w:t>
      </w:r>
      <w:r w:rsidRPr="00E17140">
        <w:rPr>
          <w:rFonts w:asciiTheme="minorHAnsi" w:hAnsiTheme="minorHAnsi" w:cstheme="minorHAnsi"/>
          <w:color w:val="EE0000"/>
          <w:sz w:val="20"/>
          <w:szCs w:val="20"/>
        </w:rPr>
        <w:t>. Rewards like bonuses or pensions might also matter more to them as they think about financial security</w:t>
      </w:r>
      <w:r w:rsidR="00E17140" w:rsidRPr="00E17140">
        <w:rPr>
          <w:rFonts w:asciiTheme="minorHAnsi" w:hAnsiTheme="minorHAnsi" w:cstheme="minorHAnsi"/>
          <w:color w:val="EE0000"/>
          <w:sz w:val="20"/>
          <w:szCs w:val="20"/>
        </w:rPr>
        <w:t xml:space="preserve"> </w:t>
      </w:r>
      <w:r w:rsidR="00E17140" w:rsidRPr="00E17140">
        <w:rPr>
          <w:rFonts w:ascii="Calibri" w:hAnsi="Calibri" w:cs="Calibri"/>
          <w:color w:val="EE0000"/>
          <w:sz w:val="20"/>
          <w:szCs w:val="20"/>
        </w:rPr>
        <w:t>(Jones and Perkins, 2024</w:t>
      </w:r>
      <w:r w:rsidR="00E17140" w:rsidRPr="00E17140">
        <w:rPr>
          <w:rFonts w:ascii="Calibri" w:hAnsi="Calibri" w:cs="Calibri"/>
          <w:color w:val="EE0000"/>
          <w:sz w:val="20"/>
          <w:szCs w:val="20"/>
        </w:rPr>
        <w:t>)</w:t>
      </w:r>
      <w:r w:rsidRPr="00E17140">
        <w:rPr>
          <w:rFonts w:asciiTheme="minorHAnsi" w:hAnsiTheme="minorHAnsi" w:cstheme="minorHAnsi"/>
          <w:color w:val="EE0000"/>
          <w:sz w:val="20"/>
          <w:szCs w:val="20"/>
        </w:rPr>
        <w:t>.</w:t>
      </w:r>
    </w:p>
    <w:p w14:paraId="1CA355E2" w14:textId="13B03C71" w:rsidR="006D3632" w:rsidRPr="00E17140" w:rsidRDefault="006D3632" w:rsidP="006D3632">
      <w:pPr>
        <w:pStyle w:val="NormalWeb"/>
        <w:rPr>
          <w:rFonts w:asciiTheme="minorHAnsi" w:hAnsiTheme="minorHAnsi" w:cstheme="minorHAnsi"/>
          <w:color w:val="EE0000"/>
          <w:sz w:val="20"/>
          <w:szCs w:val="20"/>
        </w:rPr>
      </w:pPr>
      <w:r w:rsidRPr="006D3632">
        <w:rPr>
          <w:rFonts w:asciiTheme="minorHAnsi" w:hAnsiTheme="minorHAnsi" w:cstheme="minorHAnsi"/>
          <w:color w:val="EE0000"/>
          <w:sz w:val="20"/>
          <w:szCs w:val="20"/>
        </w:rPr>
        <w:t xml:space="preserve">It’s also worth considering how the nature of the job impacts which retention methods work best. For physical jobs like parcel delivery, fair pay and rewards can be a big motivator because the work is demanding. But if the work is repetitive or stressful, job enrichment can make a big difference by breaking the routine and giving staff more control over how they work. In office roles, </w:t>
      </w:r>
      <w:r w:rsidRPr="00E17140">
        <w:rPr>
          <w:rFonts w:asciiTheme="minorHAnsi" w:hAnsiTheme="minorHAnsi" w:cstheme="minorHAnsi"/>
          <w:color w:val="EE0000"/>
          <w:sz w:val="20"/>
          <w:szCs w:val="20"/>
        </w:rPr>
        <w:t>induction and ongoing development opportunities might matter more because the focus is on learning and collaboration</w:t>
      </w:r>
      <w:r w:rsidR="00E17140" w:rsidRPr="00E17140">
        <w:rPr>
          <w:rFonts w:asciiTheme="minorHAnsi" w:hAnsiTheme="minorHAnsi" w:cstheme="minorHAnsi"/>
          <w:color w:val="EE0000"/>
          <w:sz w:val="20"/>
          <w:szCs w:val="20"/>
        </w:rPr>
        <w:t xml:space="preserve"> </w:t>
      </w:r>
      <w:r w:rsidR="00E17140" w:rsidRPr="00E17140">
        <w:rPr>
          <w:rFonts w:ascii="Calibri" w:hAnsi="Calibri" w:cs="Calibri"/>
          <w:color w:val="EE0000"/>
          <w:sz w:val="20"/>
          <w:szCs w:val="20"/>
        </w:rPr>
        <w:t>(Kew and Stredwick, 2016)</w:t>
      </w:r>
      <w:r w:rsidRPr="00E17140">
        <w:rPr>
          <w:rFonts w:asciiTheme="minorHAnsi" w:hAnsiTheme="minorHAnsi" w:cstheme="minorHAnsi"/>
          <w:color w:val="EE0000"/>
          <w:sz w:val="20"/>
          <w:szCs w:val="20"/>
        </w:rPr>
        <w:t>.</w:t>
      </w:r>
    </w:p>
    <w:p w14:paraId="412274FA" w14:textId="4C923D7B" w:rsidR="006D3632" w:rsidRPr="006D3632" w:rsidRDefault="006D3632" w:rsidP="006D3632">
      <w:pPr>
        <w:pStyle w:val="NormalWeb"/>
        <w:rPr>
          <w:rFonts w:asciiTheme="minorHAnsi" w:hAnsiTheme="minorHAnsi" w:cstheme="minorHAnsi"/>
          <w:color w:val="EE0000"/>
          <w:sz w:val="20"/>
          <w:szCs w:val="20"/>
        </w:rPr>
      </w:pPr>
      <w:r w:rsidRPr="00E17140">
        <w:rPr>
          <w:rFonts w:asciiTheme="minorHAnsi" w:hAnsiTheme="minorHAnsi" w:cstheme="minorHAnsi"/>
          <w:color w:val="EE0000"/>
          <w:sz w:val="20"/>
          <w:szCs w:val="20"/>
        </w:rPr>
        <w:t xml:space="preserve">Technology also plays a role in retention now. For example, using apps or online platforms for induction </w:t>
      </w:r>
      <w:r w:rsidRPr="006D3632">
        <w:rPr>
          <w:rFonts w:asciiTheme="minorHAnsi" w:hAnsiTheme="minorHAnsi" w:cstheme="minorHAnsi"/>
          <w:color w:val="EE0000"/>
          <w:sz w:val="20"/>
          <w:szCs w:val="20"/>
        </w:rPr>
        <w:t>makes it easier to provide consistent information to new hires. It also allows companies to gather feedback on what’s working or not. Reward systems can be made more flexible through digital options, like letting employees choose from different perks or benefits</w:t>
      </w:r>
      <w:r w:rsidR="00E17140">
        <w:rPr>
          <w:rFonts w:asciiTheme="minorHAnsi" w:hAnsiTheme="minorHAnsi" w:cstheme="minorHAnsi"/>
          <w:color w:val="EE0000"/>
          <w:sz w:val="20"/>
          <w:szCs w:val="20"/>
        </w:rPr>
        <w:t xml:space="preserve"> </w:t>
      </w:r>
      <w:r w:rsidR="00E17140" w:rsidRPr="00642E45">
        <w:rPr>
          <w:rFonts w:ascii="Calibri" w:hAnsi="Calibri" w:cs="Calibri"/>
          <w:color w:val="EE0000"/>
          <w:sz w:val="20"/>
          <w:szCs w:val="20"/>
        </w:rPr>
        <w:t>(Jones and Perkins, 2024)</w:t>
      </w:r>
      <w:r w:rsidRPr="006D3632">
        <w:rPr>
          <w:rFonts w:asciiTheme="minorHAnsi" w:hAnsiTheme="minorHAnsi" w:cstheme="minorHAnsi"/>
          <w:color w:val="EE0000"/>
          <w:sz w:val="20"/>
          <w:szCs w:val="20"/>
        </w:rPr>
        <w:t>. These modern approaches can make the company feel more up-to-date and attractive to candidates.</w:t>
      </w:r>
    </w:p>
    <w:p w14:paraId="61EE654C" w14:textId="50A32876" w:rsidR="006D3632" w:rsidRPr="006D3632" w:rsidRDefault="006D3632" w:rsidP="006D3632">
      <w:pPr>
        <w:pStyle w:val="NormalWeb"/>
        <w:rPr>
          <w:rFonts w:asciiTheme="minorHAnsi" w:hAnsiTheme="minorHAnsi" w:cstheme="minorHAnsi"/>
          <w:color w:val="EE0000"/>
          <w:sz w:val="20"/>
          <w:szCs w:val="20"/>
        </w:rPr>
      </w:pPr>
      <w:r w:rsidRPr="006D3632">
        <w:rPr>
          <w:rFonts w:asciiTheme="minorHAnsi" w:hAnsiTheme="minorHAnsi" w:cstheme="minorHAnsi"/>
          <w:color w:val="EE0000"/>
          <w:sz w:val="20"/>
          <w:szCs w:val="20"/>
        </w:rPr>
        <w:t xml:space="preserve">Lastly, it’s important to measure how well these approaches are working. Surveys, exit interviews, and turnover data help HR understand which methods keep people longest and </w:t>
      </w:r>
      <w:r w:rsidRPr="00E17140">
        <w:rPr>
          <w:rFonts w:asciiTheme="minorHAnsi" w:hAnsiTheme="minorHAnsi" w:cstheme="minorHAnsi"/>
          <w:color w:val="EE0000"/>
          <w:sz w:val="20"/>
          <w:szCs w:val="20"/>
        </w:rPr>
        <w:t xml:space="preserve">why. That way, </w:t>
      </w:r>
      <w:proofErr w:type="spellStart"/>
      <w:r w:rsidRPr="00E17140">
        <w:rPr>
          <w:rFonts w:asciiTheme="minorHAnsi" w:hAnsiTheme="minorHAnsi" w:cstheme="minorHAnsi"/>
          <w:color w:val="EE0000"/>
          <w:sz w:val="20"/>
          <w:szCs w:val="20"/>
        </w:rPr>
        <w:t>ParcelCare</w:t>
      </w:r>
      <w:proofErr w:type="spellEnd"/>
      <w:r w:rsidRPr="00E17140">
        <w:rPr>
          <w:rFonts w:asciiTheme="minorHAnsi" w:hAnsiTheme="minorHAnsi" w:cstheme="minorHAnsi"/>
          <w:color w:val="EE0000"/>
          <w:sz w:val="20"/>
          <w:szCs w:val="20"/>
        </w:rPr>
        <w:t xml:space="preserve"> can focus resources on the strategies that bring the best results rather than guessing</w:t>
      </w:r>
      <w:r w:rsidR="00E17140" w:rsidRPr="00E17140">
        <w:rPr>
          <w:rFonts w:asciiTheme="minorHAnsi" w:hAnsiTheme="minorHAnsi" w:cstheme="minorHAnsi"/>
          <w:color w:val="EE0000"/>
          <w:sz w:val="20"/>
          <w:szCs w:val="20"/>
        </w:rPr>
        <w:t xml:space="preserve"> </w:t>
      </w:r>
      <w:r w:rsidR="00E17140" w:rsidRPr="00E17140">
        <w:rPr>
          <w:rFonts w:ascii="Calibri" w:hAnsi="Calibri" w:cs="Calibri"/>
          <w:color w:val="EE0000"/>
          <w:sz w:val="20"/>
          <w:szCs w:val="20"/>
        </w:rPr>
        <w:t>(Waite et al., 2021)</w:t>
      </w:r>
      <w:r w:rsidRPr="00E17140">
        <w:rPr>
          <w:rFonts w:asciiTheme="minorHAnsi" w:hAnsiTheme="minorHAnsi" w:cstheme="minorHAnsi"/>
          <w:color w:val="EE0000"/>
          <w:sz w:val="20"/>
          <w:szCs w:val="20"/>
        </w:rPr>
        <w:t>.</w:t>
      </w:r>
    </w:p>
    <w:p w14:paraId="63BCA4CC" w14:textId="77777777" w:rsidR="006D3632" w:rsidRPr="0065706A" w:rsidRDefault="006D3632" w:rsidP="001C28E8">
      <w:pPr>
        <w:rPr>
          <w:rFonts w:cstheme="minorHAnsi"/>
          <w:sz w:val="20"/>
          <w:szCs w:val="20"/>
        </w:rPr>
      </w:pPr>
    </w:p>
    <w:p w14:paraId="407336BB" w14:textId="7669A90A" w:rsidR="0080717D" w:rsidRPr="0065706A" w:rsidRDefault="0080717D" w:rsidP="0026575F">
      <w:pPr>
        <w:pStyle w:val="NormalWeb"/>
        <w:rPr>
          <w:rFonts w:asciiTheme="minorHAnsi" w:hAnsiTheme="minorHAnsi" w:cstheme="minorHAnsi"/>
          <w:sz w:val="20"/>
          <w:szCs w:val="20"/>
        </w:rPr>
      </w:pPr>
      <w:r w:rsidRPr="0065706A">
        <w:rPr>
          <w:rFonts w:asciiTheme="minorHAnsi" w:hAnsiTheme="minorHAnsi" w:cstheme="minorHAnsi"/>
          <w:sz w:val="20"/>
          <w:szCs w:val="20"/>
        </w:rPr>
        <w:lastRenderedPageBreak/>
        <w:t xml:space="preserve">AC </w:t>
      </w:r>
      <w:r w:rsidR="00E67BCF" w:rsidRPr="0065706A">
        <w:rPr>
          <w:rFonts w:asciiTheme="minorHAnsi" w:hAnsiTheme="minorHAnsi" w:cstheme="minorHAnsi"/>
          <w:sz w:val="20"/>
          <w:szCs w:val="20"/>
        </w:rPr>
        <w:t>3.3</w:t>
      </w:r>
    </w:p>
    <w:p w14:paraId="08EEB49A" w14:textId="1BEBC1CE" w:rsidR="0026575F" w:rsidRPr="0065706A" w:rsidRDefault="0026575F" w:rsidP="0026575F">
      <w:pPr>
        <w:pStyle w:val="NormalWeb"/>
        <w:rPr>
          <w:rFonts w:asciiTheme="minorHAnsi" w:hAnsiTheme="minorHAnsi" w:cstheme="minorHAnsi"/>
          <w:sz w:val="20"/>
          <w:szCs w:val="20"/>
        </w:rPr>
      </w:pPr>
      <w:r w:rsidRPr="0065706A">
        <w:rPr>
          <w:rFonts w:asciiTheme="minorHAnsi" w:hAnsiTheme="minorHAnsi" w:cstheme="minorHAnsi"/>
          <w:sz w:val="20"/>
          <w:szCs w:val="20"/>
        </w:rPr>
        <w:t xml:space="preserve">Dysfunctional employee turnover is when good, skilled, or experienced staff leave a </w:t>
      </w:r>
      <w:proofErr w:type="gramStart"/>
      <w:r w:rsidRPr="0065706A">
        <w:rPr>
          <w:rFonts w:asciiTheme="minorHAnsi" w:hAnsiTheme="minorHAnsi" w:cstheme="minorHAnsi"/>
          <w:sz w:val="20"/>
          <w:szCs w:val="20"/>
        </w:rPr>
        <w:t>business</w:t>
      </w:r>
      <w:proofErr w:type="gramEnd"/>
      <w:r w:rsidR="00EF0ECD" w:rsidRPr="0065706A">
        <w:rPr>
          <w:rFonts w:asciiTheme="minorHAnsi" w:hAnsiTheme="minorHAnsi" w:cstheme="minorHAnsi"/>
          <w:sz w:val="20"/>
          <w:szCs w:val="20"/>
        </w:rPr>
        <w:t xml:space="preserve"> </w:t>
      </w:r>
      <w:r w:rsidRPr="0065706A">
        <w:rPr>
          <w:rFonts w:asciiTheme="minorHAnsi" w:hAnsiTheme="minorHAnsi" w:cstheme="minorHAnsi"/>
          <w:sz w:val="20"/>
          <w:szCs w:val="20"/>
        </w:rPr>
        <w:t>and it has a negative effect. This type of turnover can seriously harm a company’s performance, especially in places like warehouses where reliable staff are essential. One of the biggest impacts is the loss of knowledge and skills. When experienced workers leave, they take their knowledge with them, and it often takes time and money to train new people to the same level. This can lead to delays, more mistakes, and lower productivity</w:t>
      </w:r>
      <w:r w:rsidR="00334816" w:rsidRPr="0065706A">
        <w:rPr>
          <w:rFonts w:asciiTheme="minorHAnsi" w:hAnsiTheme="minorHAnsi" w:cstheme="minorHAnsi"/>
          <w:sz w:val="20"/>
          <w:szCs w:val="20"/>
        </w:rPr>
        <w:t xml:space="preserve"> (Taylor, 2025).</w:t>
      </w:r>
    </w:p>
    <w:p w14:paraId="489329B3" w14:textId="7C912F82" w:rsidR="0026575F" w:rsidRPr="0065706A" w:rsidRDefault="0026575F" w:rsidP="0026575F">
      <w:pPr>
        <w:pStyle w:val="NormalWeb"/>
        <w:rPr>
          <w:rFonts w:asciiTheme="minorHAnsi" w:hAnsiTheme="minorHAnsi" w:cstheme="minorHAnsi"/>
          <w:sz w:val="20"/>
          <w:szCs w:val="20"/>
        </w:rPr>
      </w:pPr>
      <w:r w:rsidRPr="0065706A">
        <w:rPr>
          <w:rFonts w:asciiTheme="minorHAnsi" w:hAnsiTheme="minorHAnsi" w:cstheme="minorHAnsi"/>
          <w:sz w:val="20"/>
          <w:szCs w:val="20"/>
        </w:rPr>
        <w:t>Another issue is the cost. Hiring and training new staff is expensive. Advertising the job, interviewing, onboarding, and training all take time and money. If turnover stays high, these costs keep adding up. It also puts extra pressure on the remaining team, who may have to work harder to cover shifts or train new starters. This can lead to stress, low morale, and even more people leaving, creating a cycle that’s hard to break</w:t>
      </w:r>
      <w:r w:rsidR="00E65E76" w:rsidRPr="0065706A">
        <w:rPr>
          <w:rFonts w:asciiTheme="minorHAnsi" w:hAnsiTheme="minorHAnsi" w:cstheme="minorHAnsi"/>
          <w:sz w:val="20"/>
          <w:szCs w:val="20"/>
        </w:rPr>
        <w:t xml:space="preserve"> (Rees, 2023).</w:t>
      </w:r>
    </w:p>
    <w:p w14:paraId="50B382E1" w14:textId="170CAD0C" w:rsidR="0026575F" w:rsidRPr="0065706A" w:rsidRDefault="0026575F" w:rsidP="0026575F">
      <w:pPr>
        <w:pStyle w:val="NormalWeb"/>
        <w:rPr>
          <w:rFonts w:asciiTheme="minorHAnsi" w:hAnsiTheme="minorHAnsi" w:cstheme="minorHAnsi"/>
          <w:sz w:val="20"/>
          <w:szCs w:val="20"/>
        </w:rPr>
      </w:pPr>
      <w:r w:rsidRPr="0065706A">
        <w:rPr>
          <w:rFonts w:asciiTheme="minorHAnsi" w:hAnsiTheme="minorHAnsi" w:cstheme="minorHAnsi"/>
          <w:sz w:val="20"/>
          <w:szCs w:val="20"/>
        </w:rPr>
        <w:t>Dysfunctional turnover also affects customer service. In many warehouse roles, speed and accuracy are important. If staff are constantly changing, it’s harder to maintain high standards. Mistakes and delays can damage the company’s reputation and lead to complaints or lost customers.</w:t>
      </w:r>
      <w:r w:rsidR="006F5B39" w:rsidRPr="0065706A">
        <w:rPr>
          <w:rFonts w:asciiTheme="minorHAnsi" w:hAnsiTheme="minorHAnsi" w:cstheme="minorHAnsi"/>
          <w:sz w:val="20"/>
          <w:szCs w:val="20"/>
        </w:rPr>
        <w:t xml:space="preserve"> (CIPD, 2024)</w:t>
      </w:r>
    </w:p>
    <w:p w14:paraId="4922400C" w14:textId="6853811B" w:rsidR="0026575F" w:rsidRPr="0065706A" w:rsidRDefault="0026575F" w:rsidP="0026575F">
      <w:pPr>
        <w:pStyle w:val="NormalWeb"/>
        <w:rPr>
          <w:rFonts w:asciiTheme="minorHAnsi" w:hAnsiTheme="minorHAnsi" w:cstheme="minorHAnsi"/>
          <w:sz w:val="20"/>
          <w:szCs w:val="20"/>
        </w:rPr>
      </w:pPr>
      <w:r w:rsidRPr="0065706A">
        <w:rPr>
          <w:rFonts w:asciiTheme="minorHAnsi" w:hAnsiTheme="minorHAnsi" w:cstheme="minorHAnsi"/>
          <w:sz w:val="20"/>
          <w:szCs w:val="20"/>
        </w:rPr>
        <w:t>Finally, high turnover can make it harder to attract new staff. If people hear that others don’t stay long, they may not want to apply. This means the business could struggle to fill roles with the right people</w:t>
      </w:r>
      <w:r w:rsidR="008D35A3" w:rsidRPr="0065706A">
        <w:rPr>
          <w:rFonts w:asciiTheme="minorHAnsi" w:hAnsiTheme="minorHAnsi" w:cstheme="minorHAnsi"/>
          <w:sz w:val="20"/>
          <w:szCs w:val="20"/>
        </w:rPr>
        <w:t xml:space="preserve"> (Indeed, 2025). </w:t>
      </w:r>
      <w:r w:rsidRPr="0065706A">
        <w:rPr>
          <w:rFonts w:asciiTheme="minorHAnsi" w:hAnsiTheme="minorHAnsi" w:cstheme="minorHAnsi"/>
          <w:sz w:val="20"/>
          <w:szCs w:val="20"/>
        </w:rPr>
        <w:t>Overall, dysfunctional turnover causes lost skills, higher costs, lower team morale, and poor service – all of which can seriously damage a business. For these reasons, it’s important that the senior leadership team take it seriously and work to reduce it.</w:t>
      </w:r>
    </w:p>
    <w:p w14:paraId="3B987A38" w14:textId="77777777" w:rsidR="001C28E8" w:rsidRPr="0065706A" w:rsidRDefault="001C28E8" w:rsidP="0026575F">
      <w:pPr>
        <w:pStyle w:val="NormalWeb"/>
        <w:rPr>
          <w:rFonts w:asciiTheme="minorHAnsi" w:hAnsiTheme="minorHAnsi" w:cstheme="minorHAnsi"/>
          <w:sz w:val="20"/>
          <w:szCs w:val="20"/>
        </w:rPr>
      </w:pPr>
    </w:p>
    <w:p w14:paraId="78D80EA0" w14:textId="77777777" w:rsidR="001C28E8" w:rsidRPr="0065706A" w:rsidRDefault="001C28E8" w:rsidP="0026575F">
      <w:pPr>
        <w:pStyle w:val="NormalWeb"/>
        <w:rPr>
          <w:rFonts w:asciiTheme="minorHAnsi" w:hAnsiTheme="minorHAnsi" w:cstheme="minorHAnsi"/>
          <w:sz w:val="20"/>
          <w:szCs w:val="20"/>
        </w:rPr>
      </w:pPr>
    </w:p>
    <w:p w14:paraId="4B60AF78" w14:textId="77777777" w:rsidR="001C28E8" w:rsidRPr="0065706A" w:rsidRDefault="001C28E8" w:rsidP="0026575F">
      <w:pPr>
        <w:pStyle w:val="NormalWeb"/>
        <w:rPr>
          <w:rFonts w:asciiTheme="minorHAnsi" w:hAnsiTheme="minorHAnsi" w:cstheme="minorHAnsi"/>
          <w:sz w:val="20"/>
          <w:szCs w:val="20"/>
        </w:rPr>
      </w:pPr>
    </w:p>
    <w:p w14:paraId="3E77DF7C" w14:textId="637DE645" w:rsidR="00743081" w:rsidRPr="0065706A" w:rsidRDefault="0080717D">
      <w:pPr>
        <w:rPr>
          <w:rStyle w:val="ui-provider"/>
          <w:rFonts w:cstheme="minorHAnsi"/>
          <w:sz w:val="20"/>
          <w:szCs w:val="20"/>
        </w:rPr>
      </w:pPr>
      <w:r w:rsidRPr="0065706A">
        <w:rPr>
          <w:rStyle w:val="ui-provider"/>
          <w:rFonts w:cstheme="minorHAnsi"/>
          <w:sz w:val="20"/>
          <w:szCs w:val="20"/>
        </w:rPr>
        <w:t xml:space="preserve">AC </w:t>
      </w:r>
      <w:r w:rsidR="0025044E" w:rsidRPr="0065706A">
        <w:rPr>
          <w:rStyle w:val="ui-provider"/>
          <w:rFonts w:cstheme="minorHAnsi"/>
          <w:sz w:val="20"/>
          <w:szCs w:val="20"/>
        </w:rPr>
        <w:t>4.1</w:t>
      </w:r>
    </w:p>
    <w:p w14:paraId="711E7915" w14:textId="391B3693" w:rsidR="00743081" w:rsidRPr="0065706A" w:rsidRDefault="00743081" w:rsidP="00743081">
      <w:pPr>
        <w:pStyle w:val="NormalWeb"/>
        <w:rPr>
          <w:rFonts w:asciiTheme="minorHAnsi" w:hAnsiTheme="minorHAnsi" w:cstheme="minorHAnsi"/>
          <w:sz w:val="20"/>
          <w:szCs w:val="20"/>
        </w:rPr>
      </w:pPr>
      <w:r w:rsidRPr="0065706A">
        <w:rPr>
          <w:rFonts w:asciiTheme="minorHAnsi" w:hAnsiTheme="minorHAnsi" w:cstheme="minorHAnsi"/>
          <w:sz w:val="20"/>
          <w:szCs w:val="20"/>
        </w:rPr>
        <w:t xml:space="preserve">Permanent, full-time contracts are a solid option for delivery drivers because they offer stability for both the employee and the business. Drivers on these contracts are more likely to be loyal, experienced, and reliable. They know the company’s systems and routes, which helps keep service levels high. It also helps with planning, as managers know who is available and when. However, permanent contracts can be less flexible when demand changes. During quiet periods, the business still </w:t>
      </w:r>
      <w:proofErr w:type="gramStart"/>
      <w:r w:rsidRPr="0065706A">
        <w:rPr>
          <w:rFonts w:asciiTheme="minorHAnsi" w:hAnsiTheme="minorHAnsi" w:cstheme="minorHAnsi"/>
          <w:sz w:val="20"/>
          <w:szCs w:val="20"/>
        </w:rPr>
        <w:t>has to</w:t>
      </w:r>
      <w:proofErr w:type="gramEnd"/>
      <w:r w:rsidRPr="0065706A">
        <w:rPr>
          <w:rFonts w:asciiTheme="minorHAnsi" w:hAnsiTheme="minorHAnsi" w:cstheme="minorHAnsi"/>
          <w:sz w:val="20"/>
          <w:szCs w:val="20"/>
        </w:rPr>
        <w:t xml:space="preserve"> pay full-time staff, even if there isn’t enough work for them</w:t>
      </w:r>
      <w:r w:rsidR="00AB5F09" w:rsidRPr="0065706A">
        <w:rPr>
          <w:rFonts w:asciiTheme="minorHAnsi" w:hAnsiTheme="minorHAnsi" w:cstheme="minorHAnsi"/>
          <w:sz w:val="20"/>
          <w:szCs w:val="20"/>
        </w:rPr>
        <w:t xml:space="preserve"> (ACAS, 2025).</w:t>
      </w:r>
    </w:p>
    <w:p w14:paraId="39180075" w14:textId="051ADD83" w:rsidR="00743081" w:rsidRPr="0065706A" w:rsidRDefault="00743081" w:rsidP="00743081">
      <w:pPr>
        <w:pStyle w:val="NormalWeb"/>
        <w:rPr>
          <w:rFonts w:asciiTheme="minorHAnsi" w:hAnsiTheme="minorHAnsi" w:cstheme="minorHAnsi"/>
          <w:sz w:val="20"/>
          <w:szCs w:val="20"/>
        </w:rPr>
      </w:pPr>
      <w:r w:rsidRPr="0065706A">
        <w:rPr>
          <w:rFonts w:asciiTheme="minorHAnsi" w:hAnsiTheme="minorHAnsi" w:cstheme="minorHAnsi"/>
          <w:sz w:val="20"/>
          <w:szCs w:val="20"/>
        </w:rPr>
        <w:t>A second option is zero-hours contracts. These offer more flexibility for the employer, as staff are only called in when needed. This is useful during busy periods, like Christmas or sales seasons, when demand goes up. However, they can lead to problems with loyalty and reliability, as workers may not feel committed to the company. Some may leave if they get a more secure job elsewhere, and it can be harder to keep the same quality of service</w:t>
      </w:r>
      <w:r w:rsidR="005C3B1F" w:rsidRPr="0065706A">
        <w:rPr>
          <w:rFonts w:asciiTheme="minorHAnsi" w:hAnsiTheme="minorHAnsi" w:cstheme="minorHAnsi"/>
          <w:sz w:val="20"/>
          <w:szCs w:val="20"/>
        </w:rPr>
        <w:t xml:space="preserve"> (ACAS, 2025).</w:t>
      </w:r>
    </w:p>
    <w:p w14:paraId="68D65CA5" w14:textId="1E2CD549" w:rsidR="00743081" w:rsidRPr="0065706A" w:rsidRDefault="00743081" w:rsidP="00743081">
      <w:pPr>
        <w:pStyle w:val="NormalWeb"/>
        <w:rPr>
          <w:rFonts w:asciiTheme="minorHAnsi" w:hAnsiTheme="minorHAnsi" w:cstheme="minorHAnsi"/>
          <w:sz w:val="20"/>
          <w:szCs w:val="20"/>
        </w:rPr>
      </w:pPr>
      <w:r w:rsidRPr="0065706A">
        <w:rPr>
          <w:rFonts w:asciiTheme="minorHAnsi" w:hAnsiTheme="minorHAnsi" w:cstheme="minorHAnsi"/>
          <w:sz w:val="20"/>
          <w:szCs w:val="20"/>
        </w:rPr>
        <w:t>A third type is fixed-term contracts, where staff are employed for a set period – for example, three or six months. These are useful when the business knows demand will be higher for a short time. It gives a clear end date, which can help with planning and budgeting. Fixed-term staff can also be trained properly, unlike some casual staff, so service remains professional. But again, there’s a risk of losing skilled workers once the contract ends.</w:t>
      </w:r>
      <w:r w:rsidR="00CE0092" w:rsidRPr="0065706A">
        <w:rPr>
          <w:rFonts w:asciiTheme="minorHAnsi" w:hAnsiTheme="minorHAnsi" w:cstheme="minorHAnsi"/>
          <w:sz w:val="20"/>
          <w:szCs w:val="20"/>
        </w:rPr>
        <w:t xml:space="preserve"> (GOV.UK, </w:t>
      </w:r>
      <w:r w:rsidR="00E8412F" w:rsidRPr="0065706A">
        <w:rPr>
          <w:rFonts w:asciiTheme="minorHAnsi" w:hAnsiTheme="minorHAnsi" w:cstheme="minorHAnsi"/>
          <w:sz w:val="20"/>
          <w:szCs w:val="20"/>
        </w:rPr>
        <w:t>2025)</w:t>
      </w:r>
    </w:p>
    <w:p w14:paraId="14000F16" w14:textId="6B6C2DDB" w:rsidR="00E8412F" w:rsidRPr="0065706A" w:rsidRDefault="00743081" w:rsidP="00265DEF">
      <w:pPr>
        <w:pStyle w:val="NormalWeb"/>
        <w:rPr>
          <w:rStyle w:val="ui-provider"/>
          <w:rFonts w:asciiTheme="minorHAnsi" w:hAnsiTheme="minorHAnsi" w:cstheme="minorHAnsi"/>
          <w:sz w:val="20"/>
          <w:szCs w:val="20"/>
        </w:rPr>
      </w:pPr>
      <w:r w:rsidRPr="0065706A">
        <w:rPr>
          <w:rFonts w:asciiTheme="minorHAnsi" w:hAnsiTheme="minorHAnsi" w:cstheme="minorHAnsi"/>
          <w:sz w:val="20"/>
          <w:szCs w:val="20"/>
        </w:rPr>
        <w:t xml:space="preserve">In conclusion, permanent, full-time contracts are great for stability and quality, but not ideal for changing demand. Zero-hours and fixed-term contracts add flexibility, but they come with risks like lower loyalty and </w:t>
      </w:r>
      <w:r w:rsidRPr="0065706A">
        <w:rPr>
          <w:rFonts w:asciiTheme="minorHAnsi" w:hAnsiTheme="minorHAnsi" w:cstheme="minorHAnsi"/>
          <w:sz w:val="20"/>
          <w:szCs w:val="20"/>
        </w:rPr>
        <w:lastRenderedPageBreak/>
        <w:t xml:space="preserve">staff turnover. A mix of all three could work best for </w:t>
      </w:r>
      <w:proofErr w:type="spellStart"/>
      <w:r w:rsidRPr="0065706A">
        <w:rPr>
          <w:rFonts w:asciiTheme="minorHAnsi" w:hAnsiTheme="minorHAnsi" w:cstheme="minorHAnsi"/>
          <w:sz w:val="20"/>
          <w:szCs w:val="20"/>
        </w:rPr>
        <w:t>ParcelCare</w:t>
      </w:r>
      <w:proofErr w:type="spellEnd"/>
      <w:r w:rsidRPr="0065706A">
        <w:rPr>
          <w:rFonts w:asciiTheme="minorHAnsi" w:hAnsiTheme="minorHAnsi" w:cstheme="minorHAnsi"/>
          <w:sz w:val="20"/>
          <w:szCs w:val="20"/>
        </w:rPr>
        <w:t>, depending on the time of year and demand levels.</w:t>
      </w:r>
    </w:p>
    <w:p w14:paraId="00429ABD" w14:textId="4B9B74B9" w:rsidR="00785F0D" w:rsidRPr="0065706A" w:rsidRDefault="0080717D" w:rsidP="00265DEF">
      <w:pPr>
        <w:pStyle w:val="NormalWeb"/>
        <w:rPr>
          <w:rFonts w:asciiTheme="minorHAnsi" w:hAnsiTheme="minorHAnsi" w:cstheme="minorHAnsi"/>
          <w:b/>
          <w:bCs/>
          <w:sz w:val="20"/>
          <w:szCs w:val="20"/>
        </w:rPr>
      </w:pPr>
      <w:r w:rsidRPr="0065706A">
        <w:rPr>
          <w:rStyle w:val="ui-provider"/>
          <w:rFonts w:asciiTheme="minorHAnsi" w:eastAsiaTheme="majorEastAsia" w:hAnsiTheme="minorHAnsi" w:cstheme="minorHAnsi"/>
          <w:b/>
          <w:bCs/>
          <w:sz w:val="20"/>
          <w:szCs w:val="20"/>
        </w:rPr>
        <w:t xml:space="preserve">AC </w:t>
      </w:r>
      <w:r w:rsidR="0025044E" w:rsidRPr="0065706A">
        <w:rPr>
          <w:rStyle w:val="ui-provider"/>
          <w:rFonts w:asciiTheme="minorHAnsi" w:eastAsiaTheme="majorEastAsia" w:hAnsiTheme="minorHAnsi" w:cstheme="minorHAnsi"/>
          <w:b/>
          <w:bCs/>
          <w:sz w:val="20"/>
          <w:szCs w:val="20"/>
        </w:rPr>
        <w:t>4.2</w:t>
      </w:r>
    </w:p>
    <w:p w14:paraId="7258F314" w14:textId="318A45CA" w:rsidR="00265DEF" w:rsidRPr="0065706A" w:rsidRDefault="00265DEF" w:rsidP="00265DEF">
      <w:pPr>
        <w:pStyle w:val="NormalWeb"/>
        <w:rPr>
          <w:rFonts w:asciiTheme="minorHAnsi" w:hAnsiTheme="minorHAnsi" w:cstheme="minorHAnsi"/>
          <w:sz w:val="20"/>
          <w:szCs w:val="20"/>
        </w:rPr>
      </w:pPr>
      <w:r w:rsidRPr="0065706A">
        <w:rPr>
          <w:rFonts w:asciiTheme="minorHAnsi" w:hAnsiTheme="minorHAnsi" w:cstheme="minorHAnsi"/>
          <w:sz w:val="20"/>
          <w:szCs w:val="20"/>
        </w:rPr>
        <w:t>Effective onboarding brings several important benefits to a business and is worth investing in. First, it helps new employees feel welcome and supported from day one. When someone starts a new job, they often feel nervous or unsure. A proper onboarding process gives them the information, tools, and confidence they need to settle in quickly. This can lead to higher job satisfaction and makes it more likely they will stay with the company long term</w:t>
      </w:r>
      <w:r w:rsidR="00425170" w:rsidRPr="0065706A">
        <w:rPr>
          <w:rFonts w:asciiTheme="minorHAnsi" w:hAnsiTheme="minorHAnsi" w:cstheme="minorHAnsi"/>
          <w:sz w:val="20"/>
          <w:szCs w:val="20"/>
        </w:rPr>
        <w:t xml:space="preserve"> (HM Revenue &amp; Customs, 2025).</w:t>
      </w:r>
      <w:r w:rsidRPr="0065706A">
        <w:rPr>
          <w:rFonts w:asciiTheme="minorHAnsi" w:hAnsiTheme="minorHAnsi" w:cstheme="minorHAnsi"/>
          <w:sz w:val="20"/>
          <w:szCs w:val="20"/>
        </w:rPr>
        <w:t xml:space="preserve"> </w:t>
      </w:r>
      <w:r w:rsidR="001B5EEF" w:rsidRPr="0065706A">
        <w:rPr>
          <w:rFonts w:asciiTheme="minorHAnsi" w:hAnsiTheme="minorHAnsi" w:cstheme="minorHAnsi"/>
          <w:sz w:val="20"/>
          <w:szCs w:val="20"/>
        </w:rPr>
        <w:t>O</w:t>
      </w:r>
      <w:r w:rsidRPr="0065706A">
        <w:rPr>
          <w:rFonts w:asciiTheme="minorHAnsi" w:hAnsiTheme="minorHAnsi" w:cstheme="minorHAnsi"/>
          <w:sz w:val="20"/>
          <w:szCs w:val="20"/>
        </w:rPr>
        <w:t>nboarding helps new staff become productive faster. If they understand their role, know who to go to for help, and are trained properly from the start, they can begin contributing much sooner. This saves time for managers and reduces mistakes, which can improve the overall performance of the team.</w:t>
      </w:r>
    </w:p>
    <w:p w14:paraId="59724D0F" w14:textId="2149A518" w:rsidR="00265DEF" w:rsidRPr="0065706A" w:rsidRDefault="00265DEF" w:rsidP="00265DEF">
      <w:pPr>
        <w:pStyle w:val="NormalWeb"/>
        <w:rPr>
          <w:rFonts w:asciiTheme="minorHAnsi" w:hAnsiTheme="minorHAnsi" w:cstheme="minorHAnsi"/>
          <w:sz w:val="20"/>
          <w:szCs w:val="20"/>
        </w:rPr>
      </w:pPr>
      <w:r w:rsidRPr="0065706A">
        <w:rPr>
          <w:rFonts w:asciiTheme="minorHAnsi" w:hAnsiTheme="minorHAnsi" w:cstheme="minorHAnsi"/>
          <w:sz w:val="20"/>
          <w:szCs w:val="20"/>
        </w:rPr>
        <w:t>Another benefit is that good onboarding helps build a strong connection between the employee and the company. When new starters learn about the company’s values, culture, and goals, they feel part of something bigger. This can increase motivation, teamwork, and loyalty. Staff who feel connected to the business are also more likely to go the extra mile in their work</w:t>
      </w:r>
      <w:r w:rsidR="00C70BE9" w:rsidRPr="0065706A">
        <w:rPr>
          <w:rFonts w:asciiTheme="minorHAnsi" w:hAnsiTheme="minorHAnsi" w:cstheme="minorHAnsi"/>
          <w:sz w:val="20"/>
          <w:szCs w:val="20"/>
        </w:rPr>
        <w:t xml:space="preserve"> (ACAS, 2015)</w:t>
      </w:r>
    </w:p>
    <w:p w14:paraId="11032FF7" w14:textId="3F4FF51C" w:rsidR="00265DEF" w:rsidRPr="0065706A" w:rsidRDefault="00265DEF" w:rsidP="00265DEF">
      <w:pPr>
        <w:pStyle w:val="NormalWeb"/>
        <w:rPr>
          <w:rFonts w:asciiTheme="minorHAnsi" w:hAnsiTheme="minorHAnsi" w:cstheme="minorHAnsi"/>
          <w:sz w:val="20"/>
          <w:szCs w:val="20"/>
        </w:rPr>
      </w:pPr>
      <w:r w:rsidRPr="0065706A">
        <w:rPr>
          <w:rFonts w:asciiTheme="minorHAnsi" w:hAnsiTheme="minorHAnsi" w:cstheme="minorHAnsi"/>
          <w:sz w:val="20"/>
          <w:szCs w:val="20"/>
        </w:rPr>
        <w:t>Effective onboarding also improves consistency. When there’s a clear, organised process, every new employee gets the same important information, training, and support. This makes sure nothing is missed and helps maintain high standards, especially in areas like health and safety, customer service, and company policies</w:t>
      </w:r>
      <w:r w:rsidR="00C72C2F" w:rsidRPr="0065706A">
        <w:rPr>
          <w:rFonts w:asciiTheme="minorHAnsi" w:hAnsiTheme="minorHAnsi" w:cstheme="minorHAnsi"/>
          <w:sz w:val="20"/>
          <w:szCs w:val="20"/>
        </w:rPr>
        <w:t xml:space="preserve"> (LinkedIn, 2025).</w:t>
      </w:r>
    </w:p>
    <w:p w14:paraId="2843510E" w14:textId="3E4B7EDB" w:rsidR="009B0346" w:rsidRPr="0065706A" w:rsidRDefault="00265DEF" w:rsidP="00A355DD">
      <w:pPr>
        <w:pStyle w:val="NormalWeb"/>
        <w:rPr>
          <w:rFonts w:asciiTheme="minorHAnsi" w:hAnsiTheme="minorHAnsi" w:cstheme="minorHAnsi"/>
          <w:sz w:val="20"/>
          <w:szCs w:val="20"/>
        </w:rPr>
      </w:pPr>
      <w:r w:rsidRPr="0065706A">
        <w:rPr>
          <w:rFonts w:asciiTheme="minorHAnsi" w:hAnsiTheme="minorHAnsi" w:cstheme="minorHAnsi"/>
          <w:sz w:val="20"/>
          <w:szCs w:val="20"/>
        </w:rPr>
        <w:t xml:space="preserve">In contrast, a poor or rushed onboarding process can lead to confusion, low morale, early resignations, and wasted time and money. </w:t>
      </w:r>
      <w:proofErr w:type="gramStart"/>
      <w:r w:rsidRPr="0065706A">
        <w:rPr>
          <w:rFonts w:asciiTheme="minorHAnsi" w:hAnsiTheme="minorHAnsi" w:cstheme="minorHAnsi"/>
          <w:sz w:val="20"/>
          <w:szCs w:val="20"/>
        </w:rPr>
        <w:t>So</w:t>
      </w:r>
      <w:proofErr w:type="gramEnd"/>
      <w:r w:rsidRPr="0065706A">
        <w:rPr>
          <w:rFonts w:asciiTheme="minorHAnsi" w:hAnsiTheme="minorHAnsi" w:cstheme="minorHAnsi"/>
          <w:sz w:val="20"/>
          <w:szCs w:val="20"/>
        </w:rPr>
        <w:t xml:space="preserve"> while a good onboarding system may take a bit of time and money to set up, the long-term benefits for staff performance, engagement, and retention make it a smart investmen</w:t>
      </w:r>
      <w:r w:rsidR="00872D32" w:rsidRPr="0065706A">
        <w:rPr>
          <w:rFonts w:asciiTheme="minorHAnsi" w:hAnsiTheme="minorHAnsi" w:cstheme="minorHAnsi"/>
          <w:sz w:val="20"/>
          <w:szCs w:val="20"/>
        </w:rPr>
        <w:t>t.</w:t>
      </w:r>
      <w:r w:rsidR="00F94085" w:rsidRPr="0065706A">
        <w:rPr>
          <w:rFonts w:asciiTheme="minorHAnsi" w:hAnsiTheme="minorHAnsi" w:cstheme="minorHAnsi"/>
          <w:sz w:val="20"/>
          <w:szCs w:val="20"/>
        </w:rPr>
        <w:t xml:space="preserve"> (Thomas</w:t>
      </w:r>
      <w:r w:rsidR="003611A2" w:rsidRPr="0065706A">
        <w:rPr>
          <w:rFonts w:asciiTheme="minorHAnsi" w:hAnsiTheme="minorHAnsi" w:cstheme="minorHAnsi"/>
          <w:sz w:val="20"/>
          <w:szCs w:val="20"/>
        </w:rPr>
        <w:t>, 2016)</w:t>
      </w:r>
    </w:p>
    <w:p w14:paraId="55CC72C4" w14:textId="77777777" w:rsidR="00224DB5" w:rsidRDefault="00224DB5" w:rsidP="00A355DD">
      <w:pPr>
        <w:pStyle w:val="NormalWeb"/>
        <w:rPr>
          <w:rFonts w:ascii="Calibri" w:hAnsi="Calibri" w:cs="Calibri"/>
          <w:sz w:val="20"/>
          <w:szCs w:val="20"/>
        </w:rPr>
      </w:pPr>
    </w:p>
    <w:p w14:paraId="47878B6F" w14:textId="30281F60" w:rsidR="00224DB5" w:rsidRDefault="00224DB5" w:rsidP="00A355DD">
      <w:pPr>
        <w:pStyle w:val="NormalWeb"/>
        <w:rPr>
          <w:rFonts w:ascii="Calibri" w:hAnsi="Calibri" w:cs="Calibri"/>
          <w:sz w:val="20"/>
          <w:szCs w:val="20"/>
        </w:rPr>
      </w:pPr>
    </w:p>
    <w:p w14:paraId="06DCFD3E" w14:textId="64F691A3" w:rsidR="00FB35BB" w:rsidRDefault="00FB35BB" w:rsidP="00A355DD">
      <w:pPr>
        <w:pStyle w:val="NormalWeb"/>
        <w:rPr>
          <w:rFonts w:ascii="Calibri" w:hAnsi="Calibri" w:cs="Calibri"/>
          <w:sz w:val="20"/>
          <w:szCs w:val="20"/>
        </w:rPr>
      </w:pPr>
    </w:p>
    <w:p w14:paraId="01046984" w14:textId="77777777" w:rsidR="00FB35BB" w:rsidRDefault="00FB35BB" w:rsidP="00A355DD">
      <w:pPr>
        <w:pStyle w:val="NormalWeb"/>
        <w:rPr>
          <w:rFonts w:ascii="Calibri" w:hAnsi="Calibri" w:cs="Calibri"/>
          <w:sz w:val="20"/>
          <w:szCs w:val="20"/>
        </w:rPr>
      </w:pPr>
    </w:p>
    <w:p w14:paraId="2D722A46" w14:textId="77777777" w:rsidR="00FB35BB" w:rsidRDefault="00FB35BB" w:rsidP="00A355DD">
      <w:pPr>
        <w:pStyle w:val="NormalWeb"/>
        <w:rPr>
          <w:rFonts w:ascii="Calibri" w:hAnsi="Calibri" w:cs="Calibri"/>
          <w:sz w:val="20"/>
          <w:szCs w:val="20"/>
        </w:rPr>
      </w:pPr>
    </w:p>
    <w:p w14:paraId="3439AF2C" w14:textId="77777777" w:rsidR="00FB35BB" w:rsidRDefault="00FB35BB" w:rsidP="00A355DD">
      <w:pPr>
        <w:pStyle w:val="NormalWeb"/>
        <w:rPr>
          <w:rFonts w:ascii="Calibri" w:hAnsi="Calibri" w:cs="Calibri"/>
          <w:sz w:val="20"/>
          <w:szCs w:val="20"/>
        </w:rPr>
      </w:pPr>
    </w:p>
    <w:p w14:paraId="783A2588" w14:textId="77777777" w:rsidR="00FB35BB" w:rsidRDefault="00FB35BB" w:rsidP="00A355DD">
      <w:pPr>
        <w:pStyle w:val="NormalWeb"/>
        <w:rPr>
          <w:rFonts w:ascii="Calibri" w:hAnsi="Calibri" w:cs="Calibri"/>
          <w:sz w:val="20"/>
          <w:szCs w:val="20"/>
        </w:rPr>
      </w:pPr>
    </w:p>
    <w:p w14:paraId="54F7F6AE" w14:textId="77777777" w:rsidR="00FB35BB" w:rsidRDefault="00FB35BB" w:rsidP="00A355DD">
      <w:pPr>
        <w:pStyle w:val="NormalWeb"/>
        <w:rPr>
          <w:rFonts w:ascii="Calibri" w:hAnsi="Calibri" w:cs="Calibri"/>
          <w:sz w:val="20"/>
          <w:szCs w:val="20"/>
        </w:rPr>
      </w:pPr>
    </w:p>
    <w:p w14:paraId="129A8D48" w14:textId="70B6AD0A" w:rsidR="00FB35BB" w:rsidRDefault="00FB35BB" w:rsidP="00A355DD">
      <w:pPr>
        <w:pStyle w:val="NormalWeb"/>
        <w:rPr>
          <w:rFonts w:ascii="Calibri" w:hAnsi="Calibri" w:cs="Calibri"/>
          <w:sz w:val="20"/>
          <w:szCs w:val="20"/>
        </w:rPr>
      </w:pPr>
    </w:p>
    <w:p w14:paraId="03C2DA54" w14:textId="77777777" w:rsidR="00FB35BB" w:rsidRDefault="00FB35BB" w:rsidP="00A355DD">
      <w:pPr>
        <w:pStyle w:val="NormalWeb"/>
        <w:rPr>
          <w:rFonts w:ascii="Calibri" w:hAnsi="Calibri" w:cs="Calibri"/>
          <w:sz w:val="20"/>
          <w:szCs w:val="20"/>
        </w:rPr>
      </w:pPr>
    </w:p>
    <w:p w14:paraId="010BE47D" w14:textId="77777777" w:rsidR="00FB35BB" w:rsidRDefault="00FB35BB" w:rsidP="00A355DD">
      <w:pPr>
        <w:pStyle w:val="NormalWeb"/>
        <w:rPr>
          <w:rFonts w:ascii="Calibri" w:hAnsi="Calibri" w:cs="Calibri"/>
          <w:sz w:val="20"/>
          <w:szCs w:val="20"/>
        </w:rPr>
      </w:pPr>
    </w:p>
    <w:p w14:paraId="6B74BFA9" w14:textId="77777777" w:rsidR="00707C36" w:rsidRDefault="00707C36" w:rsidP="00A355DD">
      <w:pPr>
        <w:pStyle w:val="NormalWeb"/>
        <w:rPr>
          <w:rFonts w:ascii="Calibri" w:hAnsi="Calibri" w:cs="Calibri"/>
          <w:sz w:val="20"/>
          <w:szCs w:val="20"/>
        </w:rPr>
      </w:pPr>
    </w:p>
    <w:p w14:paraId="376290AD" w14:textId="77777777" w:rsidR="00707C36" w:rsidRDefault="00707C36" w:rsidP="00A355DD">
      <w:pPr>
        <w:pStyle w:val="NormalWeb"/>
        <w:rPr>
          <w:rFonts w:ascii="Calibri" w:hAnsi="Calibri" w:cs="Calibri"/>
          <w:sz w:val="20"/>
          <w:szCs w:val="20"/>
        </w:rPr>
      </w:pPr>
    </w:p>
    <w:p w14:paraId="66A55A07" w14:textId="77777777" w:rsidR="00707C36" w:rsidRDefault="00707C36" w:rsidP="00A355DD">
      <w:pPr>
        <w:pStyle w:val="NormalWeb"/>
        <w:rPr>
          <w:rFonts w:ascii="Calibri" w:hAnsi="Calibri" w:cs="Calibri"/>
          <w:sz w:val="20"/>
          <w:szCs w:val="20"/>
        </w:rPr>
      </w:pPr>
    </w:p>
    <w:p w14:paraId="51D96A88" w14:textId="77777777" w:rsidR="00707C36" w:rsidRDefault="00707C36" w:rsidP="00A355DD">
      <w:pPr>
        <w:pStyle w:val="NormalWeb"/>
        <w:rPr>
          <w:rFonts w:ascii="Calibri" w:hAnsi="Calibri" w:cs="Calibri"/>
          <w:sz w:val="20"/>
          <w:szCs w:val="20"/>
        </w:rPr>
      </w:pPr>
    </w:p>
    <w:p w14:paraId="40657CA1" w14:textId="77777777" w:rsidR="00707C36" w:rsidRDefault="00707C36" w:rsidP="00A355DD">
      <w:pPr>
        <w:pStyle w:val="NormalWeb"/>
        <w:rPr>
          <w:rFonts w:ascii="Calibri" w:hAnsi="Calibri" w:cs="Calibri"/>
          <w:sz w:val="20"/>
          <w:szCs w:val="20"/>
        </w:rPr>
      </w:pPr>
    </w:p>
    <w:p w14:paraId="75D5CB10" w14:textId="77777777" w:rsidR="00707C36" w:rsidRDefault="00707C36" w:rsidP="00A355DD">
      <w:pPr>
        <w:pStyle w:val="NormalWeb"/>
        <w:rPr>
          <w:rFonts w:ascii="Calibri" w:hAnsi="Calibri" w:cs="Calibri"/>
          <w:sz w:val="20"/>
          <w:szCs w:val="20"/>
        </w:rPr>
      </w:pPr>
    </w:p>
    <w:p w14:paraId="0814ECC2" w14:textId="77777777" w:rsidR="00707C36" w:rsidRDefault="00707C36" w:rsidP="00A355DD">
      <w:pPr>
        <w:pStyle w:val="NormalWeb"/>
        <w:rPr>
          <w:rFonts w:ascii="Calibri" w:hAnsi="Calibri" w:cs="Calibri"/>
          <w:sz w:val="20"/>
          <w:szCs w:val="20"/>
        </w:rPr>
      </w:pPr>
    </w:p>
    <w:p w14:paraId="0ACF649E" w14:textId="77777777" w:rsidR="00707C36" w:rsidRPr="00A355DD" w:rsidRDefault="00707C36" w:rsidP="00A355DD">
      <w:pPr>
        <w:pStyle w:val="NormalWeb"/>
        <w:rPr>
          <w:rFonts w:ascii="Calibri" w:hAnsi="Calibri" w:cs="Calibri"/>
          <w:sz w:val="20"/>
          <w:szCs w:val="20"/>
        </w:rPr>
      </w:pPr>
    </w:p>
    <w:p w14:paraId="63B97538" w14:textId="08FA8277" w:rsidR="009B0346" w:rsidRDefault="009B0346">
      <w:pPr>
        <w:rPr>
          <w:rFonts w:ascii="Calibri" w:hAnsi="Calibri" w:cs="Calibri"/>
          <w:b/>
          <w:bCs/>
          <w:sz w:val="20"/>
          <w:szCs w:val="20"/>
          <w:u w:val="single"/>
        </w:rPr>
      </w:pPr>
      <w:r w:rsidRPr="00A355DD">
        <w:rPr>
          <w:rFonts w:ascii="Calibri" w:hAnsi="Calibri" w:cs="Calibri"/>
          <w:b/>
          <w:bCs/>
          <w:sz w:val="20"/>
          <w:szCs w:val="20"/>
          <w:u w:val="single"/>
        </w:rPr>
        <w:t xml:space="preserve">Bibliography </w:t>
      </w:r>
    </w:p>
    <w:p w14:paraId="5726005B" w14:textId="02280DE8" w:rsidR="008879F0" w:rsidRDefault="008879F0">
      <w:pPr>
        <w:rPr>
          <w:rFonts w:ascii="Calibri" w:hAnsi="Calibri" w:cs="Calibri"/>
          <w:sz w:val="20"/>
          <w:szCs w:val="20"/>
        </w:rPr>
      </w:pPr>
      <w:r w:rsidRPr="008879F0">
        <w:rPr>
          <w:rFonts w:ascii="Calibri" w:hAnsi="Calibri" w:cs="Calibri"/>
          <w:sz w:val="20"/>
          <w:szCs w:val="20"/>
        </w:rPr>
        <w:t xml:space="preserve">ACAS (2024) </w:t>
      </w:r>
      <w:r w:rsidRPr="008879F0">
        <w:rPr>
          <w:rStyle w:val="Emphasis"/>
          <w:rFonts w:ascii="Calibri" w:hAnsi="Calibri" w:cs="Calibri"/>
          <w:sz w:val="20"/>
          <w:szCs w:val="20"/>
        </w:rPr>
        <w:t>Choosing who to interview</w:t>
      </w:r>
      <w:r w:rsidRPr="008879F0">
        <w:rPr>
          <w:rFonts w:ascii="Calibri" w:hAnsi="Calibri" w:cs="Calibri"/>
          <w:sz w:val="20"/>
          <w:szCs w:val="20"/>
        </w:rPr>
        <w:t xml:space="preserve">. Available at: </w:t>
      </w:r>
      <w:hyperlink r:id="rId4" w:tgtFrame="_new" w:history="1">
        <w:r w:rsidRPr="008879F0">
          <w:rPr>
            <w:rStyle w:val="Hyperlink"/>
            <w:rFonts w:ascii="Calibri" w:hAnsi="Calibri" w:cs="Calibri"/>
            <w:sz w:val="20"/>
            <w:szCs w:val="20"/>
          </w:rPr>
          <w:t>https://www.acas.org.uk/recruitment/choosing-who-to-interview</w:t>
        </w:r>
      </w:hyperlink>
      <w:r w:rsidRPr="008879F0">
        <w:rPr>
          <w:rFonts w:ascii="Calibri" w:hAnsi="Calibri" w:cs="Calibri"/>
          <w:sz w:val="20"/>
          <w:szCs w:val="20"/>
        </w:rPr>
        <w:t xml:space="preserve"> (Accessed: </w:t>
      </w:r>
      <w:r w:rsidR="005A4871">
        <w:rPr>
          <w:rFonts w:ascii="Calibri" w:hAnsi="Calibri" w:cs="Calibri"/>
          <w:sz w:val="20"/>
          <w:szCs w:val="20"/>
        </w:rPr>
        <w:t>4</w:t>
      </w:r>
      <w:proofErr w:type="gramStart"/>
      <w:r w:rsidR="005A4871" w:rsidRPr="005A4871">
        <w:rPr>
          <w:rFonts w:ascii="Calibri" w:hAnsi="Calibri" w:cs="Calibri"/>
          <w:sz w:val="20"/>
          <w:szCs w:val="20"/>
          <w:vertAlign w:val="superscript"/>
        </w:rPr>
        <w:t>th</w:t>
      </w:r>
      <w:r w:rsidR="005A4871">
        <w:rPr>
          <w:rFonts w:ascii="Calibri" w:hAnsi="Calibri" w:cs="Calibri"/>
          <w:sz w:val="20"/>
          <w:szCs w:val="20"/>
        </w:rPr>
        <w:t xml:space="preserve">  </w:t>
      </w:r>
      <w:r w:rsidRPr="008879F0">
        <w:rPr>
          <w:rFonts w:ascii="Calibri" w:hAnsi="Calibri" w:cs="Calibri"/>
          <w:sz w:val="20"/>
          <w:szCs w:val="20"/>
        </w:rPr>
        <w:t>June</w:t>
      </w:r>
      <w:proofErr w:type="gramEnd"/>
      <w:r w:rsidRPr="008879F0">
        <w:rPr>
          <w:rFonts w:ascii="Calibri" w:hAnsi="Calibri" w:cs="Calibri"/>
          <w:sz w:val="20"/>
          <w:szCs w:val="20"/>
        </w:rPr>
        <w:t xml:space="preserve"> 2025).</w:t>
      </w:r>
    </w:p>
    <w:p w14:paraId="5CDB52BE" w14:textId="21FF7009" w:rsidR="004735EE" w:rsidRPr="00661E5C" w:rsidRDefault="004735EE">
      <w:pPr>
        <w:rPr>
          <w:rFonts w:ascii="Calibri" w:hAnsi="Calibri" w:cs="Calibri"/>
          <w:b/>
          <w:bCs/>
          <w:sz w:val="20"/>
          <w:szCs w:val="20"/>
          <w:u w:val="single"/>
        </w:rPr>
      </w:pPr>
      <w:r w:rsidRPr="00661E5C">
        <w:rPr>
          <w:rFonts w:ascii="Calibri" w:hAnsi="Calibri" w:cs="Calibri"/>
          <w:sz w:val="20"/>
          <w:szCs w:val="20"/>
        </w:rPr>
        <w:t xml:space="preserve">ACAS. (2025) </w:t>
      </w:r>
      <w:r w:rsidRPr="00661E5C">
        <w:rPr>
          <w:rStyle w:val="Emphasis"/>
          <w:rFonts w:ascii="Calibri" w:hAnsi="Calibri" w:cs="Calibri"/>
          <w:sz w:val="20"/>
          <w:szCs w:val="20"/>
        </w:rPr>
        <w:t>Diversity and inclusion in the workplace</w:t>
      </w:r>
      <w:r w:rsidRPr="00661E5C">
        <w:rPr>
          <w:rFonts w:ascii="Calibri" w:hAnsi="Calibri" w:cs="Calibri"/>
          <w:sz w:val="20"/>
          <w:szCs w:val="20"/>
        </w:rPr>
        <w:t>. Available at: https://www.acas.org.uk/diversity-and-inclusion [Accessed 1</w:t>
      </w:r>
      <w:r w:rsidR="00724C6E">
        <w:rPr>
          <w:rFonts w:ascii="Calibri" w:hAnsi="Calibri" w:cs="Calibri"/>
          <w:sz w:val="20"/>
          <w:szCs w:val="20"/>
        </w:rPr>
        <w:t>1th</w:t>
      </w:r>
      <w:r w:rsidRPr="00661E5C">
        <w:rPr>
          <w:rFonts w:ascii="Calibri" w:hAnsi="Calibri" w:cs="Calibri"/>
          <w:sz w:val="20"/>
          <w:szCs w:val="20"/>
        </w:rPr>
        <w:t xml:space="preserve"> June 2025].</w:t>
      </w:r>
    </w:p>
    <w:p w14:paraId="05515856" w14:textId="6762C092" w:rsidR="0074275F" w:rsidRDefault="0074275F">
      <w:pPr>
        <w:rPr>
          <w:rFonts w:ascii="Calibri" w:hAnsi="Calibri" w:cs="Calibri"/>
          <w:sz w:val="20"/>
          <w:szCs w:val="20"/>
        </w:rPr>
      </w:pPr>
      <w:proofErr w:type="spellStart"/>
      <w:r w:rsidRPr="0074275F">
        <w:rPr>
          <w:rFonts w:ascii="Calibri" w:hAnsi="Calibri" w:cs="Calibri"/>
          <w:sz w:val="20"/>
          <w:szCs w:val="20"/>
        </w:rPr>
        <w:t>Acas</w:t>
      </w:r>
      <w:proofErr w:type="spellEnd"/>
      <w:r w:rsidRPr="0074275F">
        <w:rPr>
          <w:rFonts w:ascii="Calibri" w:hAnsi="Calibri" w:cs="Calibri"/>
          <w:sz w:val="20"/>
          <w:szCs w:val="20"/>
        </w:rPr>
        <w:t xml:space="preserve"> (2025) </w:t>
      </w:r>
      <w:r w:rsidRPr="0074275F">
        <w:rPr>
          <w:rStyle w:val="Emphasis"/>
          <w:rFonts w:ascii="Calibri" w:hAnsi="Calibri" w:cs="Calibri"/>
          <w:sz w:val="20"/>
          <w:szCs w:val="20"/>
        </w:rPr>
        <w:t>Flexible working</w:t>
      </w:r>
      <w:r w:rsidRPr="0074275F">
        <w:rPr>
          <w:rFonts w:ascii="Calibri" w:hAnsi="Calibri" w:cs="Calibri"/>
          <w:sz w:val="20"/>
          <w:szCs w:val="20"/>
        </w:rPr>
        <w:t xml:space="preserve">. Available at: </w:t>
      </w:r>
      <w:hyperlink r:id="rId5" w:tgtFrame="_new" w:history="1">
        <w:r w:rsidRPr="0074275F">
          <w:rPr>
            <w:rStyle w:val="Hyperlink"/>
            <w:rFonts w:ascii="Calibri" w:hAnsi="Calibri" w:cs="Calibri"/>
            <w:sz w:val="20"/>
            <w:szCs w:val="20"/>
          </w:rPr>
          <w:t>https://www.acas.org.uk/flexible-working</w:t>
        </w:r>
      </w:hyperlink>
      <w:r w:rsidRPr="0074275F">
        <w:rPr>
          <w:rFonts w:ascii="Calibri" w:hAnsi="Calibri" w:cs="Calibri"/>
          <w:sz w:val="20"/>
          <w:szCs w:val="20"/>
        </w:rPr>
        <w:t xml:space="preserve"> (</w:t>
      </w:r>
      <w:r>
        <w:rPr>
          <w:rFonts w:ascii="Calibri" w:hAnsi="Calibri" w:cs="Calibri"/>
          <w:sz w:val="20"/>
          <w:szCs w:val="20"/>
        </w:rPr>
        <w:t>2</w:t>
      </w:r>
      <w:r w:rsidRPr="0074275F">
        <w:rPr>
          <w:rFonts w:ascii="Calibri" w:hAnsi="Calibri" w:cs="Calibri"/>
          <w:sz w:val="20"/>
          <w:szCs w:val="20"/>
          <w:vertAlign w:val="superscript"/>
        </w:rPr>
        <w:t>nd</w:t>
      </w:r>
      <w:r>
        <w:rPr>
          <w:rFonts w:ascii="Calibri" w:hAnsi="Calibri" w:cs="Calibri"/>
          <w:sz w:val="20"/>
          <w:szCs w:val="20"/>
        </w:rPr>
        <w:t xml:space="preserve"> June</w:t>
      </w:r>
      <w:r w:rsidR="00263A59">
        <w:rPr>
          <w:rFonts w:ascii="Calibri" w:hAnsi="Calibri" w:cs="Calibri"/>
          <w:sz w:val="20"/>
          <w:szCs w:val="20"/>
        </w:rPr>
        <w:t xml:space="preserve"> 2025</w:t>
      </w:r>
      <w:r w:rsidRPr="0074275F">
        <w:rPr>
          <w:rFonts w:ascii="Calibri" w:hAnsi="Calibri" w:cs="Calibri"/>
          <w:sz w:val="20"/>
          <w:szCs w:val="20"/>
        </w:rPr>
        <w:t>).</w:t>
      </w:r>
    </w:p>
    <w:p w14:paraId="66445AF8" w14:textId="19DB000E" w:rsidR="008B7926" w:rsidRDefault="008B7926">
      <w:pPr>
        <w:rPr>
          <w:rFonts w:ascii="Calibri" w:hAnsi="Calibri" w:cs="Calibri"/>
          <w:sz w:val="20"/>
          <w:szCs w:val="20"/>
        </w:rPr>
      </w:pPr>
      <w:r w:rsidRPr="008B7926">
        <w:rPr>
          <w:rFonts w:ascii="Calibri" w:hAnsi="Calibri" w:cs="Calibri"/>
          <w:sz w:val="20"/>
          <w:szCs w:val="20"/>
        </w:rPr>
        <w:t xml:space="preserve">ACAS, 2025. </w:t>
      </w:r>
      <w:r w:rsidRPr="008B7926">
        <w:rPr>
          <w:rStyle w:val="Emphasis"/>
          <w:rFonts w:ascii="Calibri" w:hAnsi="Calibri" w:cs="Calibri"/>
          <w:sz w:val="20"/>
          <w:szCs w:val="20"/>
        </w:rPr>
        <w:t>If your employer introduces a contract change without your agreement</w:t>
      </w:r>
      <w:r w:rsidRPr="008B7926">
        <w:rPr>
          <w:rFonts w:ascii="Calibri" w:hAnsi="Calibri" w:cs="Calibri"/>
          <w:sz w:val="20"/>
          <w:szCs w:val="20"/>
        </w:rPr>
        <w:t xml:space="preserve">. Available at: </w:t>
      </w:r>
      <w:hyperlink r:id="rId6" w:tgtFrame="_new" w:history="1">
        <w:r w:rsidRPr="008B7926">
          <w:rPr>
            <w:rStyle w:val="Hyperlink"/>
            <w:rFonts w:ascii="Calibri" w:hAnsi="Calibri" w:cs="Calibri"/>
            <w:sz w:val="20"/>
            <w:szCs w:val="20"/>
          </w:rPr>
          <w:t>https://www.acas.org.uk/changing-an-employment-contract/advice-for-employees/if-your-employer-introduces-a-contract-change-without-your-agreement</w:t>
        </w:r>
      </w:hyperlink>
      <w:r w:rsidRPr="008B7926">
        <w:rPr>
          <w:rFonts w:ascii="Calibri" w:hAnsi="Calibri" w:cs="Calibri"/>
          <w:sz w:val="20"/>
          <w:szCs w:val="20"/>
        </w:rPr>
        <w:t xml:space="preserve"> [Accessed </w:t>
      </w:r>
      <w:r w:rsidR="00AB431A">
        <w:rPr>
          <w:rFonts w:ascii="Calibri" w:hAnsi="Calibri" w:cs="Calibri"/>
          <w:sz w:val="20"/>
          <w:szCs w:val="20"/>
        </w:rPr>
        <w:t>9</w:t>
      </w:r>
      <w:r w:rsidR="00AB431A">
        <w:rPr>
          <w:rFonts w:ascii="Calibri" w:hAnsi="Calibri" w:cs="Calibri"/>
          <w:sz w:val="20"/>
          <w:szCs w:val="20"/>
          <w:vertAlign w:val="superscript"/>
        </w:rPr>
        <w:t xml:space="preserve">th </w:t>
      </w:r>
      <w:r w:rsidR="00AB431A">
        <w:rPr>
          <w:rFonts w:ascii="Calibri" w:hAnsi="Calibri" w:cs="Calibri"/>
          <w:sz w:val="20"/>
          <w:szCs w:val="20"/>
        </w:rPr>
        <w:t>Ju</w:t>
      </w:r>
      <w:r w:rsidRPr="008B7926">
        <w:rPr>
          <w:rFonts w:ascii="Calibri" w:hAnsi="Calibri" w:cs="Calibri"/>
          <w:sz w:val="20"/>
          <w:szCs w:val="20"/>
        </w:rPr>
        <w:t>ne 2025].</w:t>
      </w:r>
    </w:p>
    <w:p w14:paraId="68439895" w14:textId="6B2EBCC1" w:rsidR="003F26E0" w:rsidRPr="003F26E0" w:rsidRDefault="003F26E0">
      <w:pPr>
        <w:rPr>
          <w:rFonts w:ascii="Calibri" w:hAnsi="Calibri" w:cs="Calibri"/>
          <w:sz w:val="20"/>
          <w:szCs w:val="20"/>
        </w:rPr>
      </w:pPr>
      <w:r w:rsidRPr="003F26E0">
        <w:rPr>
          <w:rFonts w:ascii="Calibri" w:hAnsi="Calibri" w:cs="Calibri"/>
          <w:sz w:val="20"/>
          <w:szCs w:val="20"/>
        </w:rPr>
        <w:t xml:space="preserve">ACAS. (2024) </w:t>
      </w:r>
      <w:r w:rsidRPr="003F26E0">
        <w:rPr>
          <w:rStyle w:val="Emphasis"/>
          <w:rFonts w:ascii="Calibri" w:hAnsi="Calibri" w:cs="Calibri"/>
          <w:sz w:val="20"/>
          <w:szCs w:val="20"/>
        </w:rPr>
        <w:t>Using social media for recruitment</w:t>
      </w:r>
      <w:r w:rsidRPr="003F26E0">
        <w:rPr>
          <w:rFonts w:ascii="Calibri" w:hAnsi="Calibri" w:cs="Calibri"/>
          <w:sz w:val="20"/>
          <w:szCs w:val="20"/>
        </w:rPr>
        <w:t>. Available at: https://www.acas.org.uk/social-media-and-recruitment [Accessed 1</w:t>
      </w:r>
      <w:r>
        <w:rPr>
          <w:rFonts w:ascii="Calibri" w:hAnsi="Calibri" w:cs="Calibri"/>
          <w:sz w:val="20"/>
          <w:szCs w:val="20"/>
        </w:rPr>
        <w:t>1th</w:t>
      </w:r>
      <w:r w:rsidRPr="003F26E0">
        <w:rPr>
          <w:rFonts w:ascii="Calibri" w:hAnsi="Calibri" w:cs="Calibri"/>
          <w:sz w:val="20"/>
          <w:szCs w:val="20"/>
        </w:rPr>
        <w:t xml:space="preserve"> June 2025].</w:t>
      </w:r>
    </w:p>
    <w:p w14:paraId="75907867" w14:textId="71E8E381" w:rsidR="00AF7927" w:rsidRPr="003E6263" w:rsidRDefault="00AF7927">
      <w:pPr>
        <w:rPr>
          <w:rFonts w:ascii="Calibri" w:hAnsi="Calibri" w:cs="Calibri"/>
          <w:sz w:val="20"/>
          <w:szCs w:val="20"/>
        </w:rPr>
      </w:pPr>
      <w:r w:rsidRPr="003E6263">
        <w:rPr>
          <w:rStyle w:val="relative"/>
          <w:rFonts w:ascii="Calibri" w:hAnsi="Calibri" w:cs="Calibri"/>
          <w:sz w:val="20"/>
          <w:szCs w:val="20"/>
        </w:rPr>
        <w:t xml:space="preserve">ACAS, 2015. </w:t>
      </w:r>
      <w:r w:rsidRPr="003E6263">
        <w:rPr>
          <w:rStyle w:val="Emphasis"/>
          <w:rFonts w:ascii="Calibri" w:hAnsi="Calibri" w:cs="Calibri"/>
          <w:sz w:val="20"/>
          <w:szCs w:val="20"/>
        </w:rPr>
        <w:t>Starting staff: induction</w:t>
      </w:r>
      <w:r w:rsidRPr="003E6263">
        <w:rPr>
          <w:rStyle w:val="relative"/>
          <w:rFonts w:ascii="Calibri" w:hAnsi="Calibri" w:cs="Calibri"/>
          <w:sz w:val="20"/>
          <w:szCs w:val="20"/>
        </w:rPr>
        <w:t>. Available at:</w:t>
      </w:r>
      <w:r w:rsidRPr="003E6263">
        <w:rPr>
          <w:rFonts w:ascii="Calibri" w:hAnsi="Calibri" w:cs="Calibri"/>
          <w:sz w:val="20"/>
          <w:szCs w:val="20"/>
        </w:rPr>
        <w:t xml:space="preserve"> https://www.acas.org.uk/sites/default/files/2021-03/Starting-staff-induction.pdf </w:t>
      </w:r>
      <w:r w:rsidRPr="003E6263">
        <w:rPr>
          <w:rStyle w:val="relative"/>
          <w:rFonts w:ascii="Calibri" w:hAnsi="Calibri" w:cs="Calibri"/>
          <w:sz w:val="20"/>
          <w:szCs w:val="20"/>
        </w:rPr>
        <w:t>[Accessed 1</w:t>
      </w:r>
      <w:r w:rsidR="003E6263">
        <w:rPr>
          <w:rStyle w:val="relative"/>
          <w:rFonts w:ascii="Calibri" w:hAnsi="Calibri" w:cs="Calibri"/>
          <w:sz w:val="20"/>
          <w:szCs w:val="20"/>
        </w:rPr>
        <w:t>0th</w:t>
      </w:r>
      <w:r w:rsidRPr="003E6263">
        <w:rPr>
          <w:rStyle w:val="relative"/>
          <w:rFonts w:ascii="Calibri" w:hAnsi="Calibri" w:cs="Calibri"/>
          <w:sz w:val="20"/>
          <w:szCs w:val="20"/>
        </w:rPr>
        <w:t xml:space="preserve"> June 2025]</w:t>
      </w:r>
    </w:p>
    <w:p w14:paraId="4050A60E" w14:textId="3864E09D" w:rsidR="00F30EB4" w:rsidRPr="008B7926" w:rsidRDefault="00F30EB4" w:rsidP="00F30EB4">
      <w:pPr>
        <w:pStyle w:val="NormalWeb"/>
        <w:rPr>
          <w:rFonts w:ascii="Calibri" w:hAnsi="Calibri" w:cs="Calibri"/>
          <w:sz w:val="20"/>
          <w:szCs w:val="20"/>
        </w:rPr>
      </w:pPr>
      <w:r w:rsidRPr="00F30EB4">
        <w:rPr>
          <w:rFonts w:ascii="Calibri" w:hAnsi="Calibri" w:cs="Calibri"/>
          <w:sz w:val="20"/>
          <w:szCs w:val="20"/>
        </w:rPr>
        <w:t xml:space="preserve">ACAS, 2025. </w:t>
      </w:r>
      <w:r w:rsidRPr="00F30EB4">
        <w:rPr>
          <w:rStyle w:val="Emphasis"/>
          <w:rFonts w:ascii="Calibri" w:eastAsiaTheme="majorEastAsia" w:hAnsi="Calibri" w:cs="Calibri"/>
          <w:sz w:val="20"/>
          <w:szCs w:val="20"/>
        </w:rPr>
        <w:t>Zero-hours contracts</w:t>
      </w:r>
      <w:r w:rsidRPr="00F30EB4">
        <w:rPr>
          <w:rFonts w:ascii="Calibri" w:hAnsi="Calibri" w:cs="Calibri"/>
          <w:sz w:val="20"/>
          <w:szCs w:val="20"/>
        </w:rPr>
        <w:t>.</w:t>
      </w:r>
      <w:r>
        <w:rPr>
          <w:rFonts w:ascii="Calibri" w:hAnsi="Calibri" w:cs="Calibri"/>
          <w:sz w:val="20"/>
          <w:szCs w:val="20"/>
        </w:rPr>
        <w:t xml:space="preserve"> </w:t>
      </w:r>
      <w:r w:rsidRPr="00F30EB4">
        <w:rPr>
          <w:rFonts w:ascii="Calibri" w:hAnsi="Calibri" w:cs="Calibri"/>
          <w:sz w:val="20"/>
          <w:szCs w:val="20"/>
        </w:rPr>
        <w:t xml:space="preserve">Available at: </w:t>
      </w:r>
      <w:hyperlink r:id="rId7" w:tgtFrame="_new" w:history="1">
        <w:r w:rsidRPr="00F30EB4">
          <w:rPr>
            <w:rStyle w:val="Hyperlink"/>
            <w:rFonts w:ascii="Calibri" w:eastAsiaTheme="majorEastAsia" w:hAnsi="Calibri" w:cs="Calibri"/>
            <w:sz w:val="20"/>
            <w:szCs w:val="20"/>
          </w:rPr>
          <w:t>https://www.acas.org.uk/zero-hours-contracts</w:t>
        </w:r>
      </w:hyperlink>
      <w:r w:rsidRPr="00F30EB4">
        <w:rPr>
          <w:rFonts w:ascii="Calibri" w:hAnsi="Calibri" w:cs="Calibri"/>
          <w:sz w:val="20"/>
          <w:szCs w:val="20"/>
        </w:rPr>
        <w:t xml:space="preserve"> [Accessed </w:t>
      </w:r>
      <w:r>
        <w:rPr>
          <w:rFonts w:ascii="Calibri" w:hAnsi="Calibri" w:cs="Calibri"/>
          <w:sz w:val="20"/>
          <w:szCs w:val="20"/>
        </w:rPr>
        <w:t>10th</w:t>
      </w:r>
      <w:r w:rsidRPr="00F30EB4">
        <w:rPr>
          <w:rFonts w:ascii="Calibri" w:hAnsi="Calibri" w:cs="Calibri"/>
          <w:sz w:val="20"/>
          <w:szCs w:val="20"/>
        </w:rPr>
        <w:t xml:space="preserve"> June 2025].</w:t>
      </w:r>
    </w:p>
    <w:p w14:paraId="184C9633" w14:textId="0BAA7DD8" w:rsidR="008D535B" w:rsidRDefault="00FF5C76">
      <w:pPr>
        <w:rPr>
          <w:rFonts w:ascii="Calibri" w:hAnsi="Calibri" w:cs="Calibri"/>
          <w:sz w:val="20"/>
          <w:szCs w:val="20"/>
        </w:rPr>
      </w:pPr>
      <w:r w:rsidRPr="00A077F8">
        <w:rPr>
          <w:rFonts w:ascii="Calibri" w:hAnsi="Calibri" w:cs="Calibri"/>
          <w:sz w:val="20"/>
          <w:szCs w:val="20"/>
        </w:rPr>
        <w:t xml:space="preserve">Bennett, T., Prior, M. and </w:t>
      </w:r>
      <w:proofErr w:type="spellStart"/>
      <w:r w:rsidRPr="00A077F8">
        <w:rPr>
          <w:rFonts w:ascii="Calibri" w:hAnsi="Calibri" w:cs="Calibri"/>
          <w:sz w:val="20"/>
          <w:szCs w:val="20"/>
        </w:rPr>
        <w:t>Saundry</w:t>
      </w:r>
      <w:proofErr w:type="spellEnd"/>
      <w:r w:rsidRPr="00A077F8">
        <w:rPr>
          <w:rFonts w:ascii="Calibri" w:hAnsi="Calibri" w:cs="Calibri"/>
          <w:sz w:val="20"/>
          <w:szCs w:val="20"/>
        </w:rPr>
        <w:t xml:space="preserve">, R. (2024) </w:t>
      </w:r>
      <w:r w:rsidRPr="00A077F8">
        <w:rPr>
          <w:rStyle w:val="Emphasis"/>
          <w:rFonts w:ascii="Calibri" w:hAnsi="Calibri" w:cs="Calibri"/>
          <w:sz w:val="20"/>
          <w:szCs w:val="20"/>
        </w:rPr>
        <w:t>Employment relations: theory, policy and practice</w:t>
      </w:r>
      <w:r w:rsidRPr="00A077F8">
        <w:rPr>
          <w:rFonts w:ascii="Calibri" w:hAnsi="Calibri" w:cs="Calibri"/>
          <w:sz w:val="20"/>
          <w:szCs w:val="20"/>
        </w:rPr>
        <w:t xml:space="preserve">. 8th </w:t>
      </w:r>
      <w:proofErr w:type="spellStart"/>
      <w:r w:rsidRPr="00A077F8">
        <w:rPr>
          <w:rFonts w:ascii="Calibri" w:hAnsi="Calibri" w:cs="Calibri"/>
          <w:sz w:val="20"/>
          <w:szCs w:val="20"/>
        </w:rPr>
        <w:t>edn</w:t>
      </w:r>
      <w:proofErr w:type="spellEnd"/>
      <w:r w:rsidRPr="00A077F8">
        <w:rPr>
          <w:rFonts w:ascii="Calibri" w:hAnsi="Calibri" w:cs="Calibri"/>
          <w:sz w:val="20"/>
          <w:szCs w:val="20"/>
        </w:rPr>
        <w:t>. London: CIPD.</w:t>
      </w:r>
    </w:p>
    <w:p w14:paraId="06E9C11E" w14:textId="7AFE2278" w:rsidR="008B76FA" w:rsidRPr="008B76FA" w:rsidRDefault="008B76FA">
      <w:pPr>
        <w:rPr>
          <w:rFonts w:ascii="Calibri" w:hAnsi="Calibri" w:cs="Calibri"/>
          <w:sz w:val="20"/>
          <w:szCs w:val="20"/>
        </w:rPr>
      </w:pPr>
      <w:r w:rsidRPr="008B76FA">
        <w:rPr>
          <w:rFonts w:ascii="Calibri" w:hAnsi="Calibri" w:cs="Calibri"/>
          <w:sz w:val="20"/>
          <w:szCs w:val="20"/>
        </w:rPr>
        <w:t xml:space="preserve">CIPD, 2024. </w:t>
      </w:r>
      <w:r w:rsidRPr="008B76FA">
        <w:rPr>
          <w:rStyle w:val="Emphasis"/>
          <w:rFonts w:ascii="Calibri" w:hAnsi="Calibri" w:cs="Calibri"/>
          <w:sz w:val="20"/>
          <w:szCs w:val="20"/>
        </w:rPr>
        <w:t>Benchmarking employee turnover: What are the latest trends and insights?</w:t>
      </w:r>
      <w:r w:rsidRPr="008B76FA">
        <w:rPr>
          <w:rFonts w:ascii="Calibri" w:hAnsi="Calibri" w:cs="Calibri"/>
          <w:sz w:val="20"/>
          <w:szCs w:val="20"/>
        </w:rPr>
        <w:t xml:space="preserve"> [online] Available at: </w:t>
      </w:r>
      <w:hyperlink r:id="rId8" w:tgtFrame="_new" w:history="1">
        <w:r w:rsidRPr="008B76FA">
          <w:rPr>
            <w:rStyle w:val="Hyperlink"/>
            <w:rFonts w:ascii="Calibri" w:hAnsi="Calibri" w:cs="Calibri"/>
            <w:sz w:val="20"/>
            <w:szCs w:val="20"/>
          </w:rPr>
          <w:t>https://www.cipd.org/uk/views-and-insights/thought-leadership/cipd-voice/benchmarking-employee-turnover/</w:t>
        </w:r>
      </w:hyperlink>
      <w:r w:rsidRPr="008B76FA">
        <w:rPr>
          <w:rFonts w:ascii="Calibri" w:hAnsi="Calibri" w:cs="Calibri"/>
          <w:sz w:val="20"/>
          <w:szCs w:val="20"/>
        </w:rPr>
        <w:t xml:space="preserve"> [Accessed </w:t>
      </w:r>
      <w:r>
        <w:rPr>
          <w:rFonts w:ascii="Calibri" w:hAnsi="Calibri" w:cs="Calibri"/>
          <w:sz w:val="20"/>
          <w:szCs w:val="20"/>
        </w:rPr>
        <w:t>8</w:t>
      </w:r>
      <w:r>
        <w:rPr>
          <w:rFonts w:ascii="Calibri" w:hAnsi="Calibri" w:cs="Calibri"/>
          <w:sz w:val="20"/>
          <w:szCs w:val="20"/>
          <w:vertAlign w:val="superscript"/>
        </w:rPr>
        <w:t xml:space="preserve">th </w:t>
      </w:r>
      <w:r>
        <w:rPr>
          <w:rFonts w:ascii="Calibri" w:hAnsi="Calibri" w:cs="Calibri"/>
          <w:sz w:val="20"/>
          <w:szCs w:val="20"/>
        </w:rPr>
        <w:t>June</w:t>
      </w:r>
      <w:r w:rsidRPr="008B76FA">
        <w:rPr>
          <w:rFonts w:ascii="Calibri" w:hAnsi="Calibri" w:cs="Calibri"/>
          <w:sz w:val="20"/>
          <w:szCs w:val="20"/>
        </w:rPr>
        <w:t xml:space="preserve"> 2025]</w:t>
      </w:r>
    </w:p>
    <w:p w14:paraId="055538A0" w14:textId="57AB5A82" w:rsidR="005927EE" w:rsidRDefault="005927EE" w:rsidP="005927EE">
      <w:pPr>
        <w:pStyle w:val="NormalWeb"/>
        <w:rPr>
          <w:rFonts w:ascii="Calibri" w:hAnsi="Calibri" w:cs="Calibri"/>
          <w:sz w:val="20"/>
          <w:szCs w:val="20"/>
        </w:rPr>
      </w:pPr>
      <w:r w:rsidRPr="00235289">
        <w:rPr>
          <w:rFonts w:ascii="Calibri" w:hAnsi="Calibri" w:cs="Calibri"/>
          <w:sz w:val="20"/>
          <w:szCs w:val="20"/>
        </w:rPr>
        <w:t xml:space="preserve">CIPD (2023) </w:t>
      </w:r>
      <w:r w:rsidRPr="00235289">
        <w:rPr>
          <w:rStyle w:val="Emphasis"/>
          <w:rFonts w:ascii="Calibri" w:eastAsiaTheme="majorEastAsia" w:hAnsi="Calibri" w:cs="Calibri"/>
          <w:sz w:val="20"/>
          <w:szCs w:val="20"/>
        </w:rPr>
        <w:t>Bonuses and incentives</w:t>
      </w:r>
      <w:r w:rsidRPr="00235289">
        <w:rPr>
          <w:rFonts w:ascii="Calibri" w:hAnsi="Calibri" w:cs="Calibri"/>
          <w:sz w:val="20"/>
          <w:szCs w:val="20"/>
        </w:rPr>
        <w:t xml:space="preserve">. Available at: </w:t>
      </w:r>
      <w:hyperlink r:id="rId9" w:tgtFrame="_new" w:history="1">
        <w:r w:rsidRPr="00235289">
          <w:rPr>
            <w:rStyle w:val="Hyperlink"/>
            <w:rFonts w:ascii="Calibri" w:eastAsiaTheme="majorEastAsia" w:hAnsi="Calibri" w:cs="Calibri"/>
            <w:sz w:val="20"/>
            <w:szCs w:val="20"/>
          </w:rPr>
          <w:t>https://www.cipd.org/uk/knowledge/factsheets/bonuses-factsheet/</w:t>
        </w:r>
      </w:hyperlink>
      <w:r w:rsidRPr="00235289">
        <w:rPr>
          <w:rFonts w:ascii="Calibri" w:hAnsi="Calibri" w:cs="Calibri"/>
          <w:sz w:val="20"/>
          <w:szCs w:val="20"/>
        </w:rPr>
        <w:t xml:space="preserve"> (Accessed: </w:t>
      </w:r>
      <w:r w:rsidR="00235289">
        <w:rPr>
          <w:rFonts w:ascii="Calibri" w:hAnsi="Calibri" w:cs="Calibri"/>
          <w:sz w:val="20"/>
          <w:szCs w:val="20"/>
        </w:rPr>
        <w:t>4th</w:t>
      </w:r>
      <w:r w:rsidRPr="00235289">
        <w:rPr>
          <w:rFonts w:ascii="Calibri" w:hAnsi="Calibri" w:cs="Calibri"/>
          <w:sz w:val="20"/>
          <w:szCs w:val="20"/>
        </w:rPr>
        <w:t xml:space="preserve"> June 2025).</w:t>
      </w:r>
    </w:p>
    <w:p w14:paraId="63952958" w14:textId="14334B62" w:rsidR="004D0481" w:rsidRDefault="004D0481" w:rsidP="005927EE">
      <w:pPr>
        <w:pStyle w:val="NormalWeb"/>
        <w:rPr>
          <w:rFonts w:ascii="Calibri" w:hAnsi="Calibri" w:cs="Calibri"/>
          <w:sz w:val="20"/>
          <w:szCs w:val="20"/>
        </w:rPr>
      </w:pPr>
      <w:r w:rsidRPr="0040020A">
        <w:rPr>
          <w:rFonts w:ascii="Calibri" w:hAnsi="Calibri" w:cs="Calibri"/>
          <w:sz w:val="20"/>
          <w:szCs w:val="20"/>
        </w:rPr>
        <w:t xml:space="preserve">CIPD (2024) </w:t>
      </w:r>
      <w:r w:rsidRPr="0040020A">
        <w:rPr>
          <w:rStyle w:val="Emphasis"/>
          <w:rFonts w:ascii="Calibri" w:eastAsiaTheme="majorEastAsia" w:hAnsi="Calibri" w:cs="Calibri"/>
          <w:sz w:val="20"/>
          <w:szCs w:val="20"/>
        </w:rPr>
        <w:t>Employee turnover and retention</w:t>
      </w:r>
      <w:r w:rsidRPr="0040020A">
        <w:rPr>
          <w:rFonts w:ascii="Calibri" w:hAnsi="Calibri" w:cs="Calibri"/>
          <w:sz w:val="20"/>
          <w:szCs w:val="20"/>
        </w:rPr>
        <w:t xml:space="preserve">. Available at: </w:t>
      </w:r>
      <w:hyperlink r:id="rId10" w:tgtFrame="_new" w:history="1">
        <w:r w:rsidRPr="0040020A">
          <w:rPr>
            <w:rStyle w:val="Hyperlink"/>
            <w:rFonts w:ascii="Calibri" w:eastAsiaTheme="majorEastAsia" w:hAnsi="Calibri" w:cs="Calibri"/>
            <w:sz w:val="20"/>
            <w:szCs w:val="20"/>
          </w:rPr>
          <w:t>https://www.cipd.org/uk/knowledge/factsheets/turnover-retention-factsheet/</w:t>
        </w:r>
      </w:hyperlink>
      <w:r w:rsidRPr="0040020A">
        <w:rPr>
          <w:rFonts w:ascii="Calibri" w:hAnsi="Calibri" w:cs="Calibri"/>
          <w:sz w:val="20"/>
          <w:szCs w:val="20"/>
        </w:rPr>
        <w:t xml:space="preserve"> (Accessed: </w:t>
      </w:r>
      <w:r>
        <w:rPr>
          <w:rFonts w:ascii="Calibri" w:hAnsi="Calibri" w:cs="Calibri"/>
          <w:sz w:val="20"/>
          <w:szCs w:val="20"/>
        </w:rPr>
        <w:t>6</w:t>
      </w:r>
      <w:r w:rsidRPr="0040020A">
        <w:rPr>
          <w:rFonts w:ascii="Calibri" w:hAnsi="Calibri" w:cs="Calibri"/>
          <w:sz w:val="20"/>
          <w:szCs w:val="20"/>
          <w:vertAlign w:val="superscript"/>
        </w:rPr>
        <w:t>th</w:t>
      </w:r>
      <w:r>
        <w:rPr>
          <w:rFonts w:ascii="Calibri" w:hAnsi="Calibri" w:cs="Calibri"/>
          <w:sz w:val="20"/>
          <w:szCs w:val="20"/>
        </w:rPr>
        <w:t xml:space="preserve"> June</w:t>
      </w:r>
      <w:r w:rsidRPr="0040020A">
        <w:rPr>
          <w:rFonts w:ascii="Calibri" w:hAnsi="Calibri" w:cs="Calibri"/>
          <w:sz w:val="20"/>
          <w:szCs w:val="20"/>
        </w:rPr>
        <w:t xml:space="preserve"> 2025)</w:t>
      </w:r>
    </w:p>
    <w:p w14:paraId="39647B98" w14:textId="13C0A778" w:rsidR="00F56D3A" w:rsidRPr="00F56D3A" w:rsidRDefault="00F56D3A" w:rsidP="005927EE">
      <w:pPr>
        <w:pStyle w:val="NormalWeb"/>
        <w:rPr>
          <w:rFonts w:ascii="Calibri" w:hAnsi="Calibri" w:cs="Calibri"/>
          <w:sz w:val="20"/>
          <w:szCs w:val="20"/>
        </w:rPr>
      </w:pPr>
      <w:r w:rsidRPr="00F56D3A">
        <w:rPr>
          <w:rStyle w:val="Strong"/>
          <w:rFonts w:ascii="Calibri" w:eastAsiaTheme="majorEastAsia" w:hAnsi="Calibri" w:cs="Calibri"/>
          <w:b w:val="0"/>
          <w:bCs w:val="0"/>
          <w:sz w:val="20"/>
          <w:szCs w:val="20"/>
        </w:rPr>
        <w:t>CIPD. (2023)</w:t>
      </w:r>
      <w:r w:rsidRPr="00F56D3A">
        <w:rPr>
          <w:rFonts w:ascii="Calibri" w:hAnsi="Calibri" w:cs="Calibri"/>
          <w:sz w:val="20"/>
          <w:szCs w:val="20"/>
        </w:rPr>
        <w:t xml:space="preserve"> </w:t>
      </w:r>
      <w:r w:rsidRPr="00F56D3A">
        <w:rPr>
          <w:rStyle w:val="Emphasis"/>
          <w:rFonts w:ascii="Calibri" w:eastAsiaTheme="majorEastAsia" w:hAnsi="Calibri" w:cs="Calibri"/>
          <w:sz w:val="20"/>
          <w:szCs w:val="20"/>
        </w:rPr>
        <w:t>Employee wellbeing and retention</w:t>
      </w:r>
      <w:r w:rsidRPr="00F56D3A">
        <w:rPr>
          <w:rFonts w:ascii="Calibri" w:hAnsi="Calibri" w:cs="Calibri"/>
          <w:sz w:val="20"/>
          <w:szCs w:val="20"/>
        </w:rPr>
        <w:t xml:space="preserve">. Available at: </w:t>
      </w:r>
      <w:hyperlink r:id="rId11" w:tgtFrame="_new" w:history="1">
        <w:r w:rsidRPr="00F56D3A">
          <w:rPr>
            <w:rStyle w:val="Hyperlink"/>
            <w:rFonts w:ascii="Calibri" w:eastAsiaTheme="majorEastAsia" w:hAnsi="Calibri" w:cs="Calibri"/>
            <w:sz w:val="20"/>
            <w:szCs w:val="20"/>
          </w:rPr>
          <w:t>https://www.cipd.co.uk</w:t>
        </w:r>
      </w:hyperlink>
      <w:r w:rsidRPr="00F56D3A">
        <w:rPr>
          <w:rFonts w:ascii="Calibri" w:hAnsi="Calibri" w:cs="Calibri"/>
          <w:sz w:val="20"/>
          <w:szCs w:val="20"/>
        </w:rPr>
        <w:t xml:space="preserve"> [Accessed 1</w:t>
      </w:r>
      <w:r>
        <w:rPr>
          <w:rFonts w:ascii="Calibri" w:hAnsi="Calibri" w:cs="Calibri"/>
          <w:sz w:val="20"/>
          <w:szCs w:val="20"/>
        </w:rPr>
        <w:t>1th</w:t>
      </w:r>
      <w:r w:rsidRPr="00F56D3A">
        <w:rPr>
          <w:rFonts w:ascii="Calibri" w:hAnsi="Calibri" w:cs="Calibri"/>
          <w:sz w:val="20"/>
          <w:szCs w:val="20"/>
        </w:rPr>
        <w:t xml:space="preserve"> June 2025].</w:t>
      </w:r>
    </w:p>
    <w:p w14:paraId="41129218" w14:textId="764D26B7" w:rsidR="00114355" w:rsidRDefault="00114355" w:rsidP="005927EE">
      <w:pPr>
        <w:pStyle w:val="NormalWeb"/>
        <w:rPr>
          <w:rFonts w:ascii="Calibri" w:hAnsi="Calibri" w:cs="Calibri"/>
          <w:sz w:val="20"/>
          <w:szCs w:val="20"/>
        </w:rPr>
      </w:pPr>
      <w:r w:rsidRPr="00114355">
        <w:rPr>
          <w:rFonts w:ascii="Calibri" w:hAnsi="Calibri" w:cs="Calibri"/>
          <w:sz w:val="20"/>
          <w:szCs w:val="20"/>
        </w:rPr>
        <w:t xml:space="preserve">CIPD, 2025. </w:t>
      </w:r>
      <w:r w:rsidRPr="00114355">
        <w:rPr>
          <w:rStyle w:val="Emphasis"/>
          <w:rFonts w:ascii="Calibri" w:eastAsiaTheme="majorEastAsia" w:hAnsi="Calibri" w:cs="Calibri"/>
          <w:sz w:val="20"/>
          <w:szCs w:val="20"/>
        </w:rPr>
        <w:t>Induction factsheet</w:t>
      </w:r>
      <w:r w:rsidRPr="00114355">
        <w:rPr>
          <w:rFonts w:ascii="Calibri" w:hAnsi="Calibri" w:cs="Calibri"/>
          <w:sz w:val="20"/>
          <w:szCs w:val="20"/>
        </w:rPr>
        <w:t xml:space="preserve">. Available at: </w:t>
      </w:r>
      <w:hyperlink r:id="rId12" w:anchor=":~:text=Induction%20is%20an%20opportunity%20for%20an%20organisation%20to,positively%20affect%20employee%20turnover%2C%20absenteeism%20and%20employer%20brand" w:tgtFrame="_new" w:history="1">
        <w:r w:rsidRPr="00114355">
          <w:rPr>
            <w:rStyle w:val="Hyperlink"/>
            <w:rFonts w:ascii="Calibri" w:eastAsiaTheme="majorEastAsia" w:hAnsi="Calibri" w:cs="Calibri"/>
            <w:sz w:val="20"/>
            <w:szCs w:val="20"/>
          </w:rPr>
          <w:t>https://www.cipd.org/uk/knowledge/factsheets/induction-factsheet/#:~:text=Induction%20is%20an%20opportunity%20for%20an%20organisation%20to,positively%20affect%20employee%20turnover%2C%20absenteeism%20and%20employer%20brand</w:t>
        </w:r>
      </w:hyperlink>
      <w:r w:rsidRPr="00114355">
        <w:rPr>
          <w:rFonts w:ascii="Calibri" w:hAnsi="Calibri" w:cs="Calibri"/>
          <w:sz w:val="20"/>
          <w:szCs w:val="20"/>
        </w:rPr>
        <w:t xml:space="preserve"> [Accessed </w:t>
      </w:r>
      <w:r>
        <w:rPr>
          <w:rFonts w:ascii="Calibri" w:hAnsi="Calibri" w:cs="Calibri"/>
          <w:sz w:val="20"/>
          <w:szCs w:val="20"/>
        </w:rPr>
        <w:t>8th</w:t>
      </w:r>
      <w:r w:rsidRPr="00114355">
        <w:rPr>
          <w:rFonts w:ascii="Calibri" w:hAnsi="Calibri" w:cs="Calibri"/>
          <w:sz w:val="20"/>
          <w:szCs w:val="20"/>
        </w:rPr>
        <w:t xml:space="preserve"> June 2025].</w:t>
      </w:r>
    </w:p>
    <w:p w14:paraId="32F30051" w14:textId="2F5FF240" w:rsidR="00244587" w:rsidRPr="00114355" w:rsidRDefault="00244587" w:rsidP="005927EE">
      <w:pPr>
        <w:pStyle w:val="NormalWeb"/>
        <w:rPr>
          <w:rFonts w:ascii="Calibri" w:hAnsi="Calibri" w:cs="Calibri"/>
          <w:sz w:val="20"/>
          <w:szCs w:val="20"/>
        </w:rPr>
      </w:pPr>
      <w:r w:rsidRPr="00A742DF">
        <w:rPr>
          <w:rFonts w:ascii="Calibri" w:hAnsi="Calibri" w:cs="Calibri"/>
          <w:sz w:val="20"/>
          <w:szCs w:val="20"/>
        </w:rPr>
        <w:lastRenderedPageBreak/>
        <w:t xml:space="preserve">CIPD. (2024) </w:t>
      </w:r>
      <w:r w:rsidRPr="00A742DF">
        <w:rPr>
          <w:rStyle w:val="Emphasis"/>
          <w:rFonts w:ascii="Calibri" w:eastAsiaTheme="majorEastAsia" w:hAnsi="Calibri" w:cs="Calibri"/>
          <w:sz w:val="20"/>
          <w:szCs w:val="20"/>
        </w:rPr>
        <w:t>Managing employee turnover</w:t>
      </w:r>
      <w:r w:rsidRPr="00A742DF">
        <w:rPr>
          <w:rFonts w:ascii="Calibri" w:hAnsi="Calibri" w:cs="Calibri"/>
          <w:sz w:val="20"/>
          <w:szCs w:val="20"/>
        </w:rPr>
        <w:t xml:space="preserve">. Available at: </w:t>
      </w:r>
      <w:hyperlink r:id="rId13" w:tgtFrame="_new" w:history="1">
        <w:r w:rsidRPr="00A742DF">
          <w:rPr>
            <w:rStyle w:val="Hyperlink"/>
            <w:rFonts w:ascii="Calibri" w:eastAsiaTheme="majorEastAsia" w:hAnsi="Calibri" w:cs="Calibri"/>
            <w:sz w:val="20"/>
            <w:szCs w:val="20"/>
          </w:rPr>
          <w:t>https://www.cipd.co.uk</w:t>
        </w:r>
      </w:hyperlink>
      <w:r w:rsidRPr="00A742DF">
        <w:rPr>
          <w:rFonts w:ascii="Calibri" w:hAnsi="Calibri" w:cs="Calibri"/>
          <w:sz w:val="20"/>
          <w:szCs w:val="20"/>
        </w:rPr>
        <w:t xml:space="preserve"> [Accessed 11th June 2025].</w:t>
      </w:r>
    </w:p>
    <w:p w14:paraId="611E036E" w14:textId="6967281A" w:rsidR="00A742DF" w:rsidRPr="00A742DF" w:rsidRDefault="004A3A44">
      <w:pPr>
        <w:rPr>
          <w:rFonts w:ascii="Calibri" w:hAnsi="Calibri" w:cs="Calibri"/>
          <w:sz w:val="20"/>
          <w:szCs w:val="20"/>
        </w:rPr>
      </w:pPr>
      <w:r w:rsidRPr="00A077F8">
        <w:rPr>
          <w:rFonts w:ascii="Calibri" w:hAnsi="Calibri" w:cs="Calibri"/>
          <w:sz w:val="20"/>
          <w:szCs w:val="20"/>
        </w:rPr>
        <w:t xml:space="preserve">CIPD (2024) </w:t>
      </w:r>
      <w:r w:rsidRPr="00A077F8">
        <w:rPr>
          <w:rStyle w:val="Emphasis"/>
          <w:rFonts w:ascii="Calibri" w:hAnsi="Calibri" w:cs="Calibri"/>
          <w:sz w:val="20"/>
          <w:szCs w:val="20"/>
        </w:rPr>
        <w:t>Organisational development</w:t>
      </w:r>
      <w:r w:rsidRPr="00A077F8">
        <w:rPr>
          <w:rFonts w:ascii="Calibri" w:hAnsi="Calibri" w:cs="Calibri"/>
          <w:sz w:val="20"/>
          <w:szCs w:val="20"/>
        </w:rPr>
        <w:t xml:space="preserve">. Available at: </w:t>
      </w:r>
      <w:hyperlink r:id="rId14" w:tgtFrame="_new" w:history="1">
        <w:r w:rsidRPr="00A077F8">
          <w:rPr>
            <w:rStyle w:val="Hyperlink"/>
            <w:rFonts w:ascii="Calibri" w:hAnsi="Calibri" w:cs="Calibri"/>
            <w:sz w:val="20"/>
            <w:szCs w:val="20"/>
          </w:rPr>
          <w:t>https://www.cipd.org/uk/knowledge/factsheets/organisational-development-factsheet/</w:t>
        </w:r>
      </w:hyperlink>
      <w:r w:rsidRPr="00A077F8">
        <w:rPr>
          <w:rFonts w:ascii="Calibri" w:hAnsi="Calibri" w:cs="Calibri"/>
          <w:sz w:val="20"/>
          <w:szCs w:val="20"/>
        </w:rPr>
        <w:t xml:space="preserve"> (Accessed: 27th May 2025).</w:t>
      </w:r>
    </w:p>
    <w:p w14:paraId="06666BEF" w14:textId="4252AB13" w:rsidR="00F6469E" w:rsidRDefault="00F6469E">
      <w:pPr>
        <w:rPr>
          <w:rFonts w:ascii="Calibri" w:hAnsi="Calibri" w:cs="Calibri"/>
          <w:sz w:val="20"/>
          <w:szCs w:val="20"/>
        </w:rPr>
      </w:pPr>
      <w:r w:rsidRPr="00F6469E">
        <w:rPr>
          <w:rFonts w:ascii="Calibri" w:hAnsi="Calibri" w:cs="Calibri"/>
          <w:sz w:val="20"/>
          <w:szCs w:val="20"/>
        </w:rPr>
        <w:t xml:space="preserve">CIPD (2023) </w:t>
      </w:r>
      <w:r w:rsidRPr="00F6469E">
        <w:rPr>
          <w:rStyle w:val="Emphasis"/>
          <w:rFonts w:ascii="Calibri" w:hAnsi="Calibri" w:cs="Calibri"/>
          <w:sz w:val="20"/>
          <w:szCs w:val="20"/>
        </w:rPr>
        <w:t>Recruitment: an introduction</w:t>
      </w:r>
      <w:r w:rsidRPr="00F6469E">
        <w:rPr>
          <w:rFonts w:ascii="Calibri" w:hAnsi="Calibri" w:cs="Calibri"/>
          <w:sz w:val="20"/>
          <w:szCs w:val="20"/>
        </w:rPr>
        <w:t xml:space="preserve">. Available at: </w:t>
      </w:r>
      <w:hyperlink r:id="rId15" w:tgtFrame="_new" w:history="1">
        <w:r w:rsidRPr="00F6469E">
          <w:rPr>
            <w:rStyle w:val="Hyperlink"/>
            <w:rFonts w:ascii="Calibri" w:hAnsi="Calibri" w:cs="Calibri"/>
            <w:sz w:val="20"/>
            <w:szCs w:val="20"/>
          </w:rPr>
          <w:t>https://www.cipd.org/uk/knowledge/factsheets/recruitment-factsheet/</w:t>
        </w:r>
      </w:hyperlink>
      <w:r w:rsidRPr="00F6469E">
        <w:rPr>
          <w:rFonts w:ascii="Calibri" w:hAnsi="Calibri" w:cs="Calibri"/>
          <w:sz w:val="20"/>
          <w:szCs w:val="20"/>
        </w:rPr>
        <w:t xml:space="preserve"> (Accessed: 1</w:t>
      </w:r>
      <w:r>
        <w:rPr>
          <w:rFonts w:ascii="Calibri" w:hAnsi="Calibri" w:cs="Calibri"/>
          <w:sz w:val="20"/>
          <w:szCs w:val="20"/>
        </w:rPr>
        <w:t>st</w:t>
      </w:r>
      <w:r w:rsidRPr="00F6469E">
        <w:rPr>
          <w:rFonts w:ascii="Calibri" w:hAnsi="Calibri" w:cs="Calibri"/>
          <w:sz w:val="20"/>
          <w:szCs w:val="20"/>
        </w:rPr>
        <w:t xml:space="preserve"> June 2025).</w:t>
      </w:r>
    </w:p>
    <w:p w14:paraId="690742D1" w14:textId="330FD717" w:rsidR="003A69C6" w:rsidRPr="003A69C6" w:rsidRDefault="003A69C6">
      <w:pPr>
        <w:rPr>
          <w:rFonts w:ascii="Calibri" w:hAnsi="Calibri" w:cs="Calibri"/>
          <w:sz w:val="20"/>
          <w:szCs w:val="20"/>
        </w:rPr>
      </w:pPr>
      <w:r w:rsidRPr="003A69C6">
        <w:rPr>
          <w:rFonts w:ascii="Calibri" w:hAnsi="Calibri" w:cs="Calibri"/>
          <w:sz w:val="20"/>
          <w:szCs w:val="20"/>
        </w:rPr>
        <w:t xml:space="preserve">CIPD, 2024. </w:t>
      </w:r>
      <w:r w:rsidRPr="003A69C6">
        <w:rPr>
          <w:rStyle w:val="Emphasis"/>
          <w:rFonts w:ascii="Calibri" w:hAnsi="Calibri" w:cs="Calibri"/>
          <w:sz w:val="20"/>
          <w:szCs w:val="20"/>
        </w:rPr>
        <w:t>Reward factsheet</w:t>
      </w:r>
      <w:r w:rsidRPr="003A69C6">
        <w:rPr>
          <w:rFonts w:ascii="Calibri" w:hAnsi="Calibri" w:cs="Calibri"/>
          <w:sz w:val="20"/>
          <w:szCs w:val="20"/>
        </w:rPr>
        <w:t xml:space="preserve">.  Available at: </w:t>
      </w:r>
      <w:hyperlink r:id="rId16" w:tgtFrame="_new" w:history="1">
        <w:r w:rsidRPr="003A69C6">
          <w:rPr>
            <w:rStyle w:val="Hyperlink"/>
            <w:rFonts w:ascii="Calibri" w:hAnsi="Calibri" w:cs="Calibri"/>
            <w:sz w:val="20"/>
            <w:szCs w:val="20"/>
          </w:rPr>
          <w:t>https://www.cipd.org/uk/knowledge/factsheets/reward-factsheet/</w:t>
        </w:r>
      </w:hyperlink>
      <w:r w:rsidRPr="003A69C6">
        <w:rPr>
          <w:rFonts w:ascii="Calibri" w:hAnsi="Calibri" w:cs="Calibri"/>
          <w:sz w:val="20"/>
          <w:szCs w:val="20"/>
        </w:rPr>
        <w:t xml:space="preserve"> [Accessed </w:t>
      </w:r>
      <w:r>
        <w:rPr>
          <w:rFonts w:ascii="Calibri" w:hAnsi="Calibri" w:cs="Calibri"/>
          <w:sz w:val="20"/>
          <w:szCs w:val="20"/>
        </w:rPr>
        <w:t>8th</w:t>
      </w:r>
      <w:r w:rsidRPr="003A69C6">
        <w:rPr>
          <w:rFonts w:ascii="Calibri" w:hAnsi="Calibri" w:cs="Calibri"/>
          <w:sz w:val="20"/>
          <w:szCs w:val="20"/>
        </w:rPr>
        <w:t xml:space="preserve"> June 2025].</w:t>
      </w:r>
    </w:p>
    <w:p w14:paraId="491E62B2" w14:textId="094A56C0" w:rsidR="001E487D" w:rsidRPr="001E487D" w:rsidRDefault="001E487D">
      <w:pPr>
        <w:rPr>
          <w:rFonts w:ascii="Calibri" w:hAnsi="Calibri" w:cs="Calibri"/>
          <w:sz w:val="20"/>
          <w:szCs w:val="20"/>
        </w:rPr>
      </w:pPr>
      <w:r w:rsidRPr="001E487D">
        <w:rPr>
          <w:rFonts w:ascii="Calibri" w:hAnsi="Calibri" w:cs="Calibri"/>
          <w:sz w:val="20"/>
          <w:szCs w:val="20"/>
        </w:rPr>
        <w:t xml:space="preserve">CIPD (2023) </w:t>
      </w:r>
      <w:r w:rsidRPr="001E487D">
        <w:rPr>
          <w:rStyle w:val="Emphasis"/>
          <w:rFonts w:ascii="Calibri" w:hAnsi="Calibri" w:cs="Calibri"/>
          <w:sz w:val="20"/>
          <w:szCs w:val="20"/>
        </w:rPr>
        <w:t>Selection methods</w:t>
      </w:r>
      <w:r w:rsidRPr="001E487D">
        <w:rPr>
          <w:rFonts w:ascii="Calibri" w:hAnsi="Calibri" w:cs="Calibri"/>
          <w:sz w:val="20"/>
          <w:szCs w:val="20"/>
        </w:rPr>
        <w:t xml:space="preserve">. Available at: </w:t>
      </w:r>
      <w:hyperlink r:id="rId17" w:tgtFrame="_new" w:history="1">
        <w:r w:rsidRPr="001E487D">
          <w:rPr>
            <w:rStyle w:val="Hyperlink"/>
            <w:rFonts w:ascii="Calibri" w:hAnsi="Calibri" w:cs="Calibri"/>
            <w:sz w:val="20"/>
            <w:szCs w:val="20"/>
          </w:rPr>
          <w:t>https://www.cipd.org/uk/knowledge/factsheets/selection-factsheet/</w:t>
        </w:r>
      </w:hyperlink>
      <w:r w:rsidRPr="001E487D">
        <w:rPr>
          <w:rFonts w:ascii="Calibri" w:hAnsi="Calibri" w:cs="Calibri"/>
          <w:sz w:val="20"/>
          <w:szCs w:val="20"/>
        </w:rPr>
        <w:t xml:space="preserve"> (Accessed: </w:t>
      </w:r>
      <w:r w:rsidR="00213753">
        <w:rPr>
          <w:rFonts w:ascii="Calibri" w:hAnsi="Calibri" w:cs="Calibri"/>
          <w:sz w:val="20"/>
          <w:szCs w:val="20"/>
        </w:rPr>
        <w:t>5</w:t>
      </w:r>
      <w:r w:rsidR="00213753" w:rsidRPr="00213753">
        <w:rPr>
          <w:rFonts w:ascii="Calibri" w:hAnsi="Calibri" w:cs="Calibri"/>
          <w:sz w:val="20"/>
          <w:szCs w:val="20"/>
          <w:vertAlign w:val="superscript"/>
        </w:rPr>
        <w:t>th</w:t>
      </w:r>
      <w:r w:rsidRPr="001E487D">
        <w:rPr>
          <w:rFonts w:ascii="Calibri" w:hAnsi="Calibri" w:cs="Calibri"/>
          <w:sz w:val="20"/>
          <w:szCs w:val="20"/>
        </w:rPr>
        <w:t xml:space="preserve"> June 2025).</w:t>
      </w:r>
    </w:p>
    <w:p w14:paraId="39D7D163" w14:textId="23BA4A08" w:rsidR="008A3038" w:rsidRDefault="008A3038" w:rsidP="008A3038">
      <w:pPr>
        <w:pStyle w:val="NormalWeb"/>
        <w:rPr>
          <w:rFonts w:ascii="Calibri" w:hAnsi="Calibri" w:cs="Calibri"/>
          <w:sz w:val="20"/>
          <w:szCs w:val="20"/>
        </w:rPr>
      </w:pPr>
      <w:r w:rsidRPr="008A3038">
        <w:rPr>
          <w:rFonts w:ascii="Calibri" w:hAnsi="Calibri" w:cs="Calibri"/>
          <w:sz w:val="20"/>
          <w:szCs w:val="20"/>
        </w:rPr>
        <w:t xml:space="preserve">CIPD (2024) </w:t>
      </w:r>
      <w:r w:rsidRPr="008A3038">
        <w:rPr>
          <w:rStyle w:val="Emphasis"/>
          <w:rFonts w:ascii="Calibri" w:eastAsiaTheme="majorEastAsia" w:hAnsi="Calibri" w:cs="Calibri"/>
          <w:sz w:val="20"/>
          <w:szCs w:val="20"/>
        </w:rPr>
        <w:t>Succession planning</w:t>
      </w:r>
      <w:r w:rsidRPr="008A3038">
        <w:rPr>
          <w:rFonts w:ascii="Calibri" w:hAnsi="Calibri" w:cs="Calibri"/>
          <w:sz w:val="20"/>
          <w:szCs w:val="20"/>
        </w:rPr>
        <w:t xml:space="preserve">. Available at: </w:t>
      </w:r>
      <w:hyperlink r:id="rId18" w:tgtFrame="_new" w:history="1">
        <w:r w:rsidRPr="008A3038">
          <w:rPr>
            <w:rStyle w:val="Hyperlink"/>
            <w:rFonts w:ascii="Calibri" w:eastAsiaTheme="majorEastAsia" w:hAnsi="Calibri" w:cs="Calibri"/>
            <w:sz w:val="20"/>
            <w:szCs w:val="20"/>
          </w:rPr>
          <w:t>https://www.cipd.org/uk/knowledge/factsheets/succession-planning-factsheet/</w:t>
        </w:r>
      </w:hyperlink>
      <w:r w:rsidRPr="008A3038">
        <w:rPr>
          <w:rFonts w:ascii="Calibri" w:hAnsi="Calibri" w:cs="Calibri"/>
          <w:sz w:val="20"/>
          <w:szCs w:val="20"/>
        </w:rPr>
        <w:t xml:space="preserve"> (Accessed: </w:t>
      </w:r>
      <w:r>
        <w:rPr>
          <w:rFonts w:ascii="Calibri" w:hAnsi="Calibri" w:cs="Calibri"/>
          <w:sz w:val="20"/>
          <w:szCs w:val="20"/>
        </w:rPr>
        <w:t>3</w:t>
      </w:r>
      <w:r w:rsidRPr="008A3038">
        <w:rPr>
          <w:rFonts w:ascii="Calibri" w:hAnsi="Calibri" w:cs="Calibri"/>
          <w:sz w:val="20"/>
          <w:szCs w:val="20"/>
          <w:vertAlign w:val="superscript"/>
        </w:rPr>
        <w:t>rd</w:t>
      </w:r>
      <w:r>
        <w:rPr>
          <w:rFonts w:ascii="Calibri" w:hAnsi="Calibri" w:cs="Calibri"/>
          <w:sz w:val="20"/>
          <w:szCs w:val="20"/>
        </w:rPr>
        <w:t xml:space="preserve"> </w:t>
      </w:r>
      <w:r w:rsidRPr="008A3038">
        <w:rPr>
          <w:rFonts w:ascii="Calibri" w:hAnsi="Calibri" w:cs="Calibri"/>
          <w:sz w:val="20"/>
          <w:szCs w:val="20"/>
        </w:rPr>
        <w:t>June 2025).</w:t>
      </w:r>
    </w:p>
    <w:p w14:paraId="772131BA" w14:textId="290BEE56" w:rsidR="008D535B" w:rsidRDefault="008D535B" w:rsidP="008D535B">
      <w:pPr>
        <w:pStyle w:val="NormalWeb"/>
        <w:rPr>
          <w:rFonts w:asciiTheme="minorHAnsi" w:hAnsiTheme="minorHAnsi" w:cstheme="minorHAnsi"/>
          <w:sz w:val="20"/>
          <w:szCs w:val="20"/>
        </w:rPr>
      </w:pPr>
      <w:r w:rsidRPr="008D535B">
        <w:rPr>
          <w:rFonts w:asciiTheme="minorHAnsi" w:hAnsiTheme="minorHAnsi" w:cstheme="minorHAnsi"/>
          <w:sz w:val="20"/>
          <w:szCs w:val="20"/>
        </w:rPr>
        <w:t xml:space="preserve">CIPD (2022) </w:t>
      </w:r>
      <w:r w:rsidRPr="008D535B">
        <w:rPr>
          <w:rStyle w:val="Emphasis"/>
          <w:rFonts w:asciiTheme="minorHAnsi" w:eastAsiaTheme="majorEastAsia" w:hAnsiTheme="minorHAnsi" w:cstheme="minorHAnsi"/>
          <w:sz w:val="20"/>
          <w:szCs w:val="20"/>
        </w:rPr>
        <w:t>Tight labour market will force organisations to strengthen employment offer to attract and retain staff</w:t>
      </w:r>
      <w:r w:rsidRPr="008D535B">
        <w:rPr>
          <w:rFonts w:asciiTheme="minorHAnsi" w:hAnsiTheme="minorHAnsi" w:cstheme="minorHAnsi"/>
          <w:sz w:val="20"/>
          <w:szCs w:val="20"/>
        </w:rPr>
        <w:t xml:space="preserve">. Available at: </w:t>
      </w:r>
      <w:hyperlink r:id="rId19" w:tgtFrame="_new" w:history="1">
        <w:r w:rsidRPr="008D535B">
          <w:rPr>
            <w:rStyle w:val="Hyperlink"/>
            <w:rFonts w:asciiTheme="minorHAnsi" w:eastAsiaTheme="majorEastAsia" w:hAnsiTheme="minorHAnsi" w:cstheme="minorHAnsi"/>
            <w:sz w:val="20"/>
            <w:szCs w:val="20"/>
          </w:rPr>
          <w:t>https://www.cipd.org/uk/about/press-releases/150222tight-labour-market-employment-offer/</w:t>
        </w:r>
      </w:hyperlink>
      <w:r w:rsidRPr="008D535B">
        <w:rPr>
          <w:rFonts w:asciiTheme="minorHAnsi" w:hAnsiTheme="minorHAnsi" w:cstheme="minorHAnsi"/>
          <w:sz w:val="20"/>
          <w:szCs w:val="20"/>
        </w:rPr>
        <w:t xml:space="preserve"> (Accessed: </w:t>
      </w:r>
      <w:r>
        <w:rPr>
          <w:rFonts w:asciiTheme="minorHAnsi" w:hAnsiTheme="minorHAnsi" w:cstheme="minorHAnsi"/>
          <w:sz w:val="20"/>
          <w:szCs w:val="20"/>
        </w:rPr>
        <w:t>2</w:t>
      </w:r>
      <w:r w:rsidR="00A01D8D">
        <w:rPr>
          <w:rFonts w:asciiTheme="minorHAnsi" w:hAnsiTheme="minorHAnsi" w:cstheme="minorHAnsi"/>
          <w:sz w:val="20"/>
          <w:szCs w:val="20"/>
          <w:vertAlign w:val="superscript"/>
        </w:rPr>
        <w:t>nd</w:t>
      </w:r>
      <w:r>
        <w:rPr>
          <w:rFonts w:asciiTheme="minorHAnsi" w:hAnsiTheme="minorHAnsi" w:cstheme="minorHAnsi"/>
          <w:sz w:val="20"/>
          <w:szCs w:val="20"/>
        </w:rPr>
        <w:t xml:space="preserve"> </w:t>
      </w:r>
      <w:r w:rsidRPr="008D535B">
        <w:rPr>
          <w:rFonts w:asciiTheme="minorHAnsi" w:hAnsiTheme="minorHAnsi" w:cstheme="minorHAnsi"/>
          <w:sz w:val="20"/>
          <w:szCs w:val="20"/>
        </w:rPr>
        <w:t>June 2025).</w:t>
      </w:r>
    </w:p>
    <w:p w14:paraId="425555AC" w14:textId="7673B89A" w:rsidR="00A355DD" w:rsidRDefault="00A355DD" w:rsidP="008D535B">
      <w:pPr>
        <w:pStyle w:val="NormalWeb"/>
        <w:rPr>
          <w:rFonts w:ascii="Calibri" w:hAnsi="Calibri" w:cs="Calibri"/>
          <w:sz w:val="20"/>
          <w:szCs w:val="20"/>
        </w:rPr>
      </w:pPr>
      <w:r w:rsidRPr="00A355DD">
        <w:rPr>
          <w:rFonts w:ascii="Calibri" w:hAnsi="Calibri" w:cs="Calibri"/>
          <w:sz w:val="20"/>
          <w:szCs w:val="20"/>
        </w:rPr>
        <w:t xml:space="preserve">CIPD (2024) </w:t>
      </w:r>
      <w:r w:rsidRPr="00A355DD">
        <w:rPr>
          <w:rStyle w:val="Emphasis"/>
          <w:rFonts w:ascii="Calibri" w:eastAsiaTheme="majorEastAsia" w:hAnsi="Calibri" w:cs="Calibri"/>
          <w:sz w:val="20"/>
          <w:szCs w:val="20"/>
        </w:rPr>
        <w:t>Understanding the economy and labour market</w:t>
      </w:r>
      <w:r w:rsidRPr="00A355DD">
        <w:rPr>
          <w:rFonts w:ascii="Calibri" w:hAnsi="Calibri" w:cs="Calibri"/>
          <w:sz w:val="20"/>
          <w:szCs w:val="20"/>
        </w:rPr>
        <w:t xml:space="preserve">. Available at: </w:t>
      </w:r>
      <w:hyperlink r:id="rId20" w:tgtFrame="_new" w:history="1">
        <w:r w:rsidRPr="00A355DD">
          <w:rPr>
            <w:rStyle w:val="Hyperlink"/>
            <w:rFonts w:ascii="Calibri" w:eastAsiaTheme="majorEastAsia" w:hAnsi="Calibri" w:cs="Calibri"/>
            <w:sz w:val="20"/>
            <w:szCs w:val="20"/>
          </w:rPr>
          <w:t>https://www.cipd.org/uk/knowledge/factsheets/economy-labour-market-factsheet/</w:t>
        </w:r>
      </w:hyperlink>
      <w:r w:rsidRPr="00A355DD">
        <w:rPr>
          <w:rFonts w:ascii="Calibri" w:hAnsi="Calibri" w:cs="Calibri"/>
          <w:sz w:val="20"/>
          <w:szCs w:val="20"/>
        </w:rPr>
        <w:t xml:space="preserve"> (Accessed: </w:t>
      </w:r>
      <w:r>
        <w:rPr>
          <w:rFonts w:ascii="Calibri" w:hAnsi="Calibri" w:cs="Calibri"/>
          <w:sz w:val="20"/>
          <w:szCs w:val="20"/>
        </w:rPr>
        <w:t>3</w:t>
      </w:r>
      <w:r>
        <w:rPr>
          <w:rFonts w:ascii="Calibri" w:hAnsi="Calibri" w:cs="Calibri"/>
          <w:sz w:val="20"/>
          <w:szCs w:val="20"/>
          <w:vertAlign w:val="superscript"/>
        </w:rPr>
        <w:t xml:space="preserve">rd </w:t>
      </w:r>
      <w:r w:rsidRPr="00A355DD">
        <w:rPr>
          <w:rFonts w:ascii="Calibri" w:hAnsi="Calibri" w:cs="Calibri"/>
          <w:sz w:val="20"/>
          <w:szCs w:val="20"/>
        </w:rPr>
        <w:t>June 2025).</w:t>
      </w:r>
    </w:p>
    <w:p w14:paraId="62CE1967" w14:textId="0728D084" w:rsidR="00EA647A" w:rsidRPr="00EA647A" w:rsidRDefault="00EA647A" w:rsidP="008D535B">
      <w:pPr>
        <w:pStyle w:val="NormalWeb"/>
        <w:rPr>
          <w:rFonts w:ascii="Calibri" w:hAnsi="Calibri" w:cs="Calibri"/>
          <w:sz w:val="20"/>
          <w:szCs w:val="20"/>
        </w:rPr>
      </w:pPr>
      <w:r w:rsidRPr="00EA647A">
        <w:rPr>
          <w:rStyle w:val="Strong"/>
          <w:rFonts w:ascii="Calibri" w:eastAsiaTheme="majorEastAsia" w:hAnsi="Calibri" w:cs="Calibri"/>
          <w:b w:val="0"/>
          <w:bCs w:val="0"/>
          <w:sz w:val="20"/>
          <w:szCs w:val="20"/>
        </w:rPr>
        <w:t>CIPD. (2022)</w:t>
      </w:r>
      <w:r w:rsidRPr="00EA647A">
        <w:rPr>
          <w:rFonts w:ascii="Calibri" w:hAnsi="Calibri" w:cs="Calibri"/>
          <w:sz w:val="20"/>
          <w:szCs w:val="20"/>
        </w:rPr>
        <w:t xml:space="preserve"> </w:t>
      </w:r>
      <w:r w:rsidRPr="00EA647A">
        <w:rPr>
          <w:rStyle w:val="Emphasis"/>
          <w:rFonts w:ascii="Calibri" w:eastAsiaTheme="majorEastAsia" w:hAnsi="Calibri" w:cs="Calibri"/>
          <w:sz w:val="20"/>
          <w:szCs w:val="20"/>
        </w:rPr>
        <w:t>Workforce planning and talent management</w:t>
      </w:r>
      <w:r w:rsidRPr="00EA647A">
        <w:rPr>
          <w:rFonts w:ascii="Calibri" w:hAnsi="Calibri" w:cs="Calibri"/>
          <w:sz w:val="20"/>
          <w:szCs w:val="20"/>
        </w:rPr>
        <w:t xml:space="preserve">.  Available at: </w:t>
      </w:r>
      <w:hyperlink r:id="rId21" w:tgtFrame="_new" w:history="1">
        <w:r w:rsidRPr="00EA647A">
          <w:rPr>
            <w:rStyle w:val="Hyperlink"/>
            <w:rFonts w:ascii="Calibri" w:eastAsiaTheme="majorEastAsia" w:hAnsi="Calibri" w:cs="Calibri"/>
            <w:sz w:val="20"/>
            <w:szCs w:val="20"/>
          </w:rPr>
          <w:t>https://www.cipd.co.uk</w:t>
        </w:r>
      </w:hyperlink>
      <w:r w:rsidRPr="00EA647A">
        <w:rPr>
          <w:rFonts w:ascii="Calibri" w:hAnsi="Calibri" w:cs="Calibri"/>
          <w:sz w:val="20"/>
          <w:szCs w:val="20"/>
        </w:rPr>
        <w:t xml:space="preserve"> [Accessed 12 June 2025].</w:t>
      </w:r>
    </w:p>
    <w:p w14:paraId="610E2992" w14:textId="5035E41C" w:rsidR="005A2A07" w:rsidRDefault="005A2A07">
      <w:pPr>
        <w:rPr>
          <w:sz w:val="20"/>
          <w:szCs w:val="20"/>
        </w:rPr>
      </w:pPr>
      <w:r w:rsidRPr="005A2A07">
        <w:rPr>
          <w:sz w:val="20"/>
          <w:szCs w:val="20"/>
        </w:rPr>
        <w:t xml:space="preserve">Dale, G. (2020) </w:t>
      </w:r>
      <w:r w:rsidRPr="005A2A07">
        <w:rPr>
          <w:rStyle w:val="Emphasis"/>
          <w:sz w:val="20"/>
          <w:szCs w:val="20"/>
        </w:rPr>
        <w:t>Flexible working: how to implement flexibility in the workplace to improve employee and business performance</w:t>
      </w:r>
      <w:r w:rsidRPr="005A2A07">
        <w:rPr>
          <w:sz w:val="20"/>
          <w:szCs w:val="20"/>
        </w:rPr>
        <w:t>. London: Kogan Page.</w:t>
      </w:r>
    </w:p>
    <w:p w14:paraId="36CE1CE0" w14:textId="39619803" w:rsidR="00364B55" w:rsidRDefault="00364B55">
      <w:pPr>
        <w:rPr>
          <w:rFonts w:ascii="Calibri" w:hAnsi="Calibri" w:cs="Calibri"/>
          <w:sz w:val="20"/>
          <w:szCs w:val="20"/>
        </w:rPr>
      </w:pPr>
      <w:r w:rsidRPr="00AC5E06">
        <w:rPr>
          <w:rFonts w:ascii="Calibri" w:hAnsi="Calibri" w:cs="Calibri"/>
          <w:sz w:val="20"/>
          <w:szCs w:val="20"/>
        </w:rPr>
        <w:t xml:space="preserve">Daniels, K. (2022) </w:t>
      </w:r>
      <w:r w:rsidRPr="00AC5E06">
        <w:rPr>
          <w:rStyle w:val="Emphasis"/>
          <w:rFonts w:ascii="Calibri" w:hAnsi="Calibri" w:cs="Calibri"/>
          <w:sz w:val="20"/>
          <w:szCs w:val="20"/>
        </w:rPr>
        <w:t>Introduction to employment law: fundamentals for HR and business students</w:t>
      </w:r>
      <w:r w:rsidRPr="00AC5E06">
        <w:rPr>
          <w:rFonts w:ascii="Calibri" w:hAnsi="Calibri" w:cs="Calibri"/>
          <w:sz w:val="20"/>
          <w:szCs w:val="20"/>
        </w:rPr>
        <w:t>. London: CIPD.</w:t>
      </w:r>
    </w:p>
    <w:p w14:paraId="38E6F85A" w14:textId="371CBFB3" w:rsidR="00796DAC" w:rsidRPr="00796DAC" w:rsidRDefault="00796DAC">
      <w:pPr>
        <w:rPr>
          <w:rFonts w:ascii="Calibri" w:hAnsi="Calibri" w:cs="Calibri"/>
          <w:sz w:val="20"/>
          <w:szCs w:val="20"/>
        </w:rPr>
      </w:pPr>
      <w:r w:rsidRPr="00796DAC">
        <w:rPr>
          <w:rFonts w:ascii="Calibri" w:hAnsi="Calibri" w:cs="Calibri"/>
          <w:sz w:val="20"/>
          <w:szCs w:val="20"/>
        </w:rPr>
        <w:t xml:space="preserve">Glassdoor. (2024) </w:t>
      </w:r>
      <w:r w:rsidRPr="00796DAC">
        <w:rPr>
          <w:rStyle w:val="Emphasis"/>
          <w:rFonts w:ascii="Calibri" w:hAnsi="Calibri" w:cs="Calibri"/>
          <w:sz w:val="20"/>
          <w:szCs w:val="20"/>
        </w:rPr>
        <w:t>Employer branding best practices</w:t>
      </w:r>
      <w:r w:rsidRPr="00796DAC">
        <w:rPr>
          <w:rFonts w:ascii="Calibri" w:hAnsi="Calibri" w:cs="Calibri"/>
          <w:sz w:val="20"/>
          <w:szCs w:val="20"/>
        </w:rPr>
        <w:t>. Available at: https://www.glassdoor.com/blog/employer-branding-best-practices/ [Accessed 1</w:t>
      </w:r>
      <w:r>
        <w:rPr>
          <w:rFonts w:ascii="Calibri" w:hAnsi="Calibri" w:cs="Calibri"/>
          <w:sz w:val="20"/>
          <w:szCs w:val="20"/>
        </w:rPr>
        <w:t>1th</w:t>
      </w:r>
      <w:r w:rsidRPr="00796DAC">
        <w:rPr>
          <w:rFonts w:ascii="Calibri" w:hAnsi="Calibri" w:cs="Calibri"/>
          <w:sz w:val="20"/>
          <w:szCs w:val="20"/>
        </w:rPr>
        <w:t xml:space="preserve"> June 2025].</w:t>
      </w:r>
    </w:p>
    <w:p w14:paraId="2E57DACE" w14:textId="622DE736" w:rsidR="00E8412F" w:rsidRDefault="00E8412F">
      <w:pPr>
        <w:rPr>
          <w:rStyle w:val="relative"/>
          <w:rFonts w:ascii="Calibri" w:hAnsi="Calibri" w:cs="Calibri"/>
          <w:sz w:val="20"/>
          <w:szCs w:val="20"/>
        </w:rPr>
      </w:pPr>
      <w:r w:rsidRPr="00E8412F">
        <w:rPr>
          <w:rStyle w:val="relative"/>
          <w:rFonts w:ascii="Calibri" w:hAnsi="Calibri" w:cs="Calibri"/>
          <w:sz w:val="20"/>
          <w:szCs w:val="20"/>
        </w:rPr>
        <w:t xml:space="preserve">GOV.UK, 2025. </w:t>
      </w:r>
      <w:r w:rsidRPr="00E8412F">
        <w:rPr>
          <w:rStyle w:val="Emphasis"/>
          <w:rFonts w:ascii="Calibri" w:hAnsi="Calibri" w:cs="Calibri"/>
          <w:sz w:val="20"/>
          <w:szCs w:val="20"/>
        </w:rPr>
        <w:t>Fixed-term employment contracts</w:t>
      </w:r>
      <w:r w:rsidRPr="00E8412F">
        <w:rPr>
          <w:rStyle w:val="relative"/>
          <w:rFonts w:ascii="Calibri" w:hAnsi="Calibri" w:cs="Calibri"/>
          <w:sz w:val="20"/>
          <w:szCs w:val="20"/>
        </w:rPr>
        <w:t>.</w:t>
      </w:r>
      <w:r>
        <w:rPr>
          <w:rStyle w:val="relative"/>
          <w:rFonts w:ascii="Calibri" w:hAnsi="Calibri" w:cs="Calibri"/>
          <w:sz w:val="20"/>
          <w:szCs w:val="20"/>
        </w:rPr>
        <w:t xml:space="preserve"> </w:t>
      </w:r>
      <w:r w:rsidRPr="00E8412F">
        <w:rPr>
          <w:rStyle w:val="relative"/>
          <w:rFonts w:ascii="Calibri" w:hAnsi="Calibri" w:cs="Calibri"/>
          <w:sz w:val="20"/>
          <w:szCs w:val="20"/>
        </w:rPr>
        <w:t>Available at:</w:t>
      </w:r>
      <w:r w:rsidRPr="00E8412F">
        <w:rPr>
          <w:rFonts w:ascii="Calibri" w:hAnsi="Calibri" w:cs="Calibri"/>
          <w:sz w:val="20"/>
          <w:szCs w:val="20"/>
        </w:rPr>
        <w:t xml:space="preserve"> </w:t>
      </w:r>
      <w:hyperlink r:id="rId22" w:tgtFrame="_new" w:history="1">
        <w:r w:rsidRPr="00E8412F">
          <w:rPr>
            <w:rStyle w:val="Hyperlink"/>
            <w:rFonts w:ascii="Calibri" w:hAnsi="Calibri" w:cs="Calibri"/>
            <w:sz w:val="20"/>
            <w:szCs w:val="20"/>
          </w:rPr>
          <w:t>https://www.gov.uk/fixed-term-contracts</w:t>
        </w:r>
      </w:hyperlink>
      <w:r w:rsidRPr="00E8412F">
        <w:rPr>
          <w:rFonts w:ascii="Calibri" w:hAnsi="Calibri" w:cs="Calibri"/>
          <w:sz w:val="20"/>
          <w:szCs w:val="20"/>
        </w:rPr>
        <w:t xml:space="preserve"> </w:t>
      </w:r>
      <w:r w:rsidRPr="00E8412F">
        <w:rPr>
          <w:rStyle w:val="relative"/>
          <w:rFonts w:ascii="Calibri" w:hAnsi="Calibri" w:cs="Calibri"/>
          <w:sz w:val="20"/>
          <w:szCs w:val="20"/>
        </w:rPr>
        <w:t>[Accessed 1</w:t>
      </w:r>
      <w:r>
        <w:rPr>
          <w:rStyle w:val="relative"/>
          <w:rFonts w:ascii="Calibri" w:hAnsi="Calibri" w:cs="Calibri"/>
          <w:sz w:val="20"/>
          <w:szCs w:val="20"/>
        </w:rPr>
        <w:t>0th</w:t>
      </w:r>
      <w:r w:rsidRPr="00E8412F">
        <w:rPr>
          <w:rStyle w:val="relative"/>
          <w:rFonts w:ascii="Calibri" w:hAnsi="Calibri" w:cs="Calibri"/>
          <w:sz w:val="20"/>
          <w:szCs w:val="20"/>
        </w:rPr>
        <w:t xml:space="preserve"> June 2025].</w:t>
      </w:r>
    </w:p>
    <w:p w14:paraId="624D9BD3" w14:textId="2C59927C" w:rsidR="00F70266" w:rsidRDefault="00707C36" w:rsidP="00707C36">
      <w:pPr>
        <w:pStyle w:val="NormalWeb"/>
        <w:rPr>
          <w:rStyle w:val="relative"/>
          <w:rFonts w:ascii="Calibri" w:hAnsi="Calibri" w:cs="Calibri"/>
          <w:sz w:val="20"/>
          <w:szCs w:val="20"/>
        </w:rPr>
      </w:pPr>
      <w:r w:rsidRPr="00707C36">
        <w:rPr>
          <w:rFonts w:ascii="Calibri" w:hAnsi="Calibri" w:cs="Calibri"/>
          <w:sz w:val="20"/>
          <w:szCs w:val="20"/>
        </w:rPr>
        <w:t xml:space="preserve">Harvard Business Review (HBR). (2019) </w:t>
      </w:r>
      <w:r w:rsidRPr="00707C36">
        <w:rPr>
          <w:rStyle w:val="Emphasis"/>
          <w:rFonts w:ascii="Calibri" w:eastAsiaTheme="majorEastAsia" w:hAnsi="Calibri" w:cs="Calibri"/>
          <w:sz w:val="20"/>
          <w:szCs w:val="20"/>
        </w:rPr>
        <w:t>What is an employee value proposition?</w:t>
      </w:r>
      <w:r w:rsidRPr="00707C36">
        <w:rPr>
          <w:rFonts w:ascii="Calibri" w:hAnsi="Calibri" w:cs="Calibri"/>
          <w:sz w:val="20"/>
          <w:szCs w:val="20"/>
        </w:rPr>
        <w:t xml:space="preserve"> Available at: </w:t>
      </w:r>
      <w:hyperlink r:id="rId23" w:tgtFrame="_new" w:history="1">
        <w:r w:rsidRPr="00707C36">
          <w:rPr>
            <w:rStyle w:val="Hyperlink"/>
            <w:rFonts w:ascii="Calibri" w:eastAsiaTheme="majorEastAsia" w:hAnsi="Calibri" w:cs="Calibri"/>
            <w:sz w:val="20"/>
            <w:szCs w:val="20"/>
          </w:rPr>
          <w:t>https://hbr.org</w:t>
        </w:r>
      </w:hyperlink>
      <w:r w:rsidRPr="00707C36">
        <w:rPr>
          <w:rFonts w:ascii="Calibri" w:hAnsi="Calibri" w:cs="Calibri"/>
          <w:sz w:val="20"/>
          <w:szCs w:val="20"/>
        </w:rPr>
        <w:t xml:space="preserve"> [Accessed 12 June 2025]. </w:t>
      </w:r>
    </w:p>
    <w:p w14:paraId="67BDA03F" w14:textId="3C245F48" w:rsidR="00182E0E" w:rsidRPr="00182E0E" w:rsidRDefault="00182E0E">
      <w:pPr>
        <w:rPr>
          <w:rFonts w:ascii="Calibri" w:hAnsi="Calibri" w:cs="Calibri"/>
          <w:sz w:val="20"/>
          <w:szCs w:val="20"/>
        </w:rPr>
      </w:pPr>
      <w:r w:rsidRPr="00182E0E">
        <w:rPr>
          <w:rStyle w:val="relative"/>
          <w:rFonts w:ascii="Calibri" w:hAnsi="Calibri" w:cs="Calibri"/>
          <w:sz w:val="20"/>
          <w:szCs w:val="20"/>
        </w:rPr>
        <w:t xml:space="preserve">HM Revenue &amp; Customs, 2025. </w:t>
      </w:r>
      <w:r w:rsidRPr="00182E0E">
        <w:rPr>
          <w:rStyle w:val="Emphasis"/>
          <w:rFonts w:ascii="Calibri" w:hAnsi="Calibri" w:cs="Calibri"/>
          <w:sz w:val="20"/>
          <w:szCs w:val="20"/>
        </w:rPr>
        <w:t>Simplifying the onboarding process for new starters: communication resources</w:t>
      </w:r>
      <w:r w:rsidRPr="00182E0E">
        <w:rPr>
          <w:rStyle w:val="relative"/>
          <w:rFonts w:ascii="Calibri" w:hAnsi="Calibri" w:cs="Calibri"/>
          <w:sz w:val="20"/>
          <w:szCs w:val="20"/>
        </w:rPr>
        <w:t>. [online] Available at:</w:t>
      </w:r>
      <w:r w:rsidRPr="00182E0E">
        <w:rPr>
          <w:rFonts w:ascii="Calibri" w:hAnsi="Calibri" w:cs="Calibri"/>
          <w:sz w:val="20"/>
          <w:szCs w:val="20"/>
        </w:rPr>
        <w:t xml:space="preserve"> </w:t>
      </w:r>
      <w:hyperlink r:id="rId24" w:tgtFrame="_new" w:history="1">
        <w:r w:rsidRPr="00182E0E">
          <w:rPr>
            <w:rStyle w:val="Hyperlink"/>
            <w:rFonts w:ascii="Calibri" w:hAnsi="Calibri" w:cs="Calibri"/>
            <w:sz w:val="20"/>
            <w:szCs w:val="20"/>
          </w:rPr>
          <w:t>https://www.gov.uk/government/publications/simplifying-the-onboarding-process-for-new-starters-communication-resources</w:t>
        </w:r>
      </w:hyperlink>
      <w:r w:rsidRPr="00182E0E">
        <w:rPr>
          <w:rFonts w:ascii="Calibri" w:hAnsi="Calibri" w:cs="Calibri"/>
          <w:sz w:val="20"/>
          <w:szCs w:val="20"/>
        </w:rPr>
        <w:t xml:space="preserve"> </w:t>
      </w:r>
      <w:r w:rsidRPr="00182E0E">
        <w:rPr>
          <w:rStyle w:val="relative"/>
          <w:rFonts w:ascii="Calibri" w:hAnsi="Calibri" w:cs="Calibri"/>
          <w:sz w:val="20"/>
          <w:szCs w:val="20"/>
        </w:rPr>
        <w:t>[Accessed 1</w:t>
      </w:r>
      <w:r w:rsidR="00ED543F">
        <w:rPr>
          <w:rStyle w:val="relative"/>
          <w:rFonts w:ascii="Calibri" w:hAnsi="Calibri" w:cs="Calibri"/>
          <w:sz w:val="20"/>
          <w:szCs w:val="20"/>
        </w:rPr>
        <w:t>0th</w:t>
      </w:r>
      <w:r w:rsidRPr="00182E0E">
        <w:rPr>
          <w:rStyle w:val="relative"/>
          <w:rFonts w:ascii="Calibri" w:hAnsi="Calibri" w:cs="Calibri"/>
          <w:sz w:val="20"/>
          <w:szCs w:val="20"/>
        </w:rPr>
        <w:t xml:space="preserve"> June 2025].</w:t>
      </w:r>
    </w:p>
    <w:p w14:paraId="2FD74C2B" w14:textId="27A72970" w:rsidR="00CA036E" w:rsidRDefault="00CA036E" w:rsidP="00CA036E">
      <w:pPr>
        <w:pStyle w:val="NormalWeb"/>
        <w:rPr>
          <w:rFonts w:ascii="Calibri" w:hAnsi="Calibri" w:cs="Calibri"/>
          <w:sz w:val="20"/>
          <w:szCs w:val="20"/>
        </w:rPr>
      </w:pPr>
      <w:r w:rsidRPr="00CA036E">
        <w:rPr>
          <w:rFonts w:ascii="Calibri" w:hAnsi="Calibri" w:cs="Calibri"/>
          <w:sz w:val="20"/>
          <w:szCs w:val="20"/>
        </w:rPr>
        <w:t xml:space="preserve">Indeed, 2025. </w:t>
      </w:r>
      <w:r w:rsidRPr="00CA036E">
        <w:rPr>
          <w:rStyle w:val="Emphasis"/>
          <w:rFonts w:ascii="Calibri" w:eastAsiaTheme="majorEastAsia" w:hAnsi="Calibri" w:cs="Calibri"/>
          <w:sz w:val="20"/>
          <w:szCs w:val="20"/>
        </w:rPr>
        <w:t>9 causes of high employee turnover and how to prevent it</w:t>
      </w:r>
      <w:r w:rsidRPr="00CA036E">
        <w:rPr>
          <w:rFonts w:ascii="Calibri" w:hAnsi="Calibri" w:cs="Calibri"/>
          <w:sz w:val="20"/>
          <w:szCs w:val="20"/>
        </w:rPr>
        <w:t xml:space="preserve">. Available at: </w:t>
      </w:r>
      <w:hyperlink r:id="rId25" w:tgtFrame="_new" w:history="1">
        <w:r w:rsidRPr="00CA036E">
          <w:rPr>
            <w:rStyle w:val="Hyperlink"/>
            <w:rFonts w:ascii="Calibri" w:eastAsiaTheme="majorEastAsia" w:hAnsi="Calibri" w:cs="Calibri"/>
            <w:sz w:val="20"/>
            <w:szCs w:val="20"/>
          </w:rPr>
          <w:t>https://www.indeed.com/career-advice/career-development/high-employee-turnover</w:t>
        </w:r>
      </w:hyperlink>
      <w:r w:rsidRPr="00CA036E">
        <w:rPr>
          <w:rFonts w:ascii="Calibri" w:hAnsi="Calibri" w:cs="Calibri"/>
          <w:sz w:val="20"/>
          <w:szCs w:val="20"/>
        </w:rPr>
        <w:t xml:space="preserve"> [Accessed </w:t>
      </w:r>
      <w:r>
        <w:rPr>
          <w:rFonts w:ascii="Calibri" w:hAnsi="Calibri" w:cs="Calibri"/>
          <w:sz w:val="20"/>
          <w:szCs w:val="20"/>
        </w:rPr>
        <w:t>8th</w:t>
      </w:r>
      <w:r w:rsidRPr="00CA036E">
        <w:rPr>
          <w:rFonts w:ascii="Calibri" w:hAnsi="Calibri" w:cs="Calibri"/>
          <w:sz w:val="20"/>
          <w:szCs w:val="20"/>
        </w:rPr>
        <w:t xml:space="preserve"> June 2025].</w:t>
      </w:r>
    </w:p>
    <w:p w14:paraId="358A2894" w14:textId="57C12A0F" w:rsidR="002F63D2" w:rsidRPr="002F63D2" w:rsidRDefault="002F63D2">
      <w:pPr>
        <w:rPr>
          <w:rFonts w:cstheme="minorHAnsi"/>
          <w:sz w:val="20"/>
          <w:szCs w:val="20"/>
        </w:rPr>
      </w:pPr>
      <w:r w:rsidRPr="002F63D2">
        <w:rPr>
          <w:rFonts w:cstheme="minorHAnsi"/>
          <w:sz w:val="20"/>
          <w:szCs w:val="20"/>
        </w:rPr>
        <w:t xml:space="preserve">Indeed, 2025. </w:t>
      </w:r>
      <w:r w:rsidRPr="002F63D2">
        <w:rPr>
          <w:rStyle w:val="Emphasis"/>
          <w:rFonts w:cstheme="minorHAnsi"/>
          <w:sz w:val="20"/>
          <w:szCs w:val="20"/>
        </w:rPr>
        <w:t>Advantages and disadvantages of job enrichment</w:t>
      </w:r>
      <w:r w:rsidRPr="002F63D2">
        <w:rPr>
          <w:rFonts w:cstheme="minorHAnsi"/>
          <w:sz w:val="20"/>
          <w:szCs w:val="20"/>
        </w:rPr>
        <w:t xml:space="preserve">. Available at: </w:t>
      </w:r>
      <w:hyperlink r:id="rId26" w:tgtFrame="_new" w:history="1">
        <w:r w:rsidRPr="002F63D2">
          <w:rPr>
            <w:rStyle w:val="Hyperlink"/>
            <w:rFonts w:cstheme="minorHAnsi"/>
            <w:sz w:val="20"/>
            <w:szCs w:val="20"/>
          </w:rPr>
          <w:t>https://uk.indeed.com/career-advice/career-development/advantages-and-disadvantages-of-job-enrichment</w:t>
        </w:r>
      </w:hyperlink>
      <w:r w:rsidRPr="002F63D2">
        <w:rPr>
          <w:rFonts w:cstheme="minorHAnsi"/>
          <w:sz w:val="20"/>
          <w:szCs w:val="20"/>
        </w:rPr>
        <w:t xml:space="preserve"> [Accessed </w:t>
      </w:r>
      <w:r>
        <w:rPr>
          <w:rFonts w:cstheme="minorHAnsi"/>
          <w:sz w:val="20"/>
          <w:szCs w:val="20"/>
        </w:rPr>
        <w:t>8th</w:t>
      </w:r>
      <w:r w:rsidRPr="002F63D2">
        <w:rPr>
          <w:rFonts w:cstheme="minorHAnsi"/>
          <w:sz w:val="20"/>
          <w:szCs w:val="20"/>
        </w:rPr>
        <w:t xml:space="preserve"> June 2025].</w:t>
      </w:r>
    </w:p>
    <w:p w14:paraId="736BB273" w14:textId="37825643" w:rsidR="006A6C00" w:rsidRDefault="006A6C00">
      <w:pPr>
        <w:rPr>
          <w:rFonts w:ascii="Calibri" w:hAnsi="Calibri" w:cs="Calibri"/>
          <w:sz w:val="20"/>
          <w:szCs w:val="20"/>
        </w:rPr>
      </w:pPr>
      <w:r w:rsidRPr="006A6C00">
        <w:rPr>
          <w:rFonts w:ascii="Calibri" w:hAnsi="Calibri" w:cs="Calibri"/>
          <w:sz w:val="20"/>
          <w:szCs w:val="20"/>
        </w:rPr>
        <w:lastRenderedPageBreak/>
        <w:t xml:space="preserve">Indeed, 2024. </w:t>
      </w:r>
      <w:r w:rsidRPr="006A6C00">
        <w:rPr>
          <w:rStyle w:val="Emphasis"/>
          <w:rFonts w:ascii="Calibri" w:hAnsi="Calibri" w:cs="Calibri"/>
          <w:sz w:val="20"/>
          <w:szCs w:val="20"/>
        </w:rPr>
        <w:t>Realistic job preview: What is it and why is it important?</w:t>
      </w:r>
      <w:r w:rsidRPr="006A6C00">
        <w:rPr>
          <w:rFonts w:ascii="Calibri" w:hAnsi="Calibri" w:cs="Calibri"/>
          <w:sz w:val="20"/>
          <w:szCs w:val="20"/>
        </w:rPr>
        <w:t xml:space="preserve"> Available at: </w:t>
      </w:r>
      <w:hyperlink r:id="rId27" w:tgtFrame="_new" w:history="1">
        <w:r w:rsidRPr="006A6C00">
          <w:rPr>
            <w:rStyle w:val="Hyperlink"/>
            <w:rFonts w:ascii="Calibri" w:hAnsi="Calibri" w:cs="Calibri"/>
            <w:sz w:val="20"/>
            <w:szCs w:val="20"/>
          </w:rPr>
          <w:t>https://www.indeed.com/career-advice/career-development/realistic-job-preview</w:t>
        </w:r>
      </w:hyperlink>
      <w:r w:rsidRPr="006A6C00">
        <w:rPr>
          <w:rFonts w:ascii="Calibri" w:hAnsi="Calibri" w:cs="Calibri"/>
          <w:sz w:val="20"/>
          <w:szCs w:val="20"/>
        </w:rPr>
        <w:t xml:space="preserve"> [Accessed </w:t>
      </w:r>
      <w:r w:rsidR="00F51962">
        <w:rPr>
          <w:rFonts w:ascii="Calibri" w:hAnsi="Calibri" w:cs="Calibri"/>
          <w:sz w:val="20"/>
          <w:szCs w:val="20"/>
        </w:rPr>
        <w:t>8</w:t>
      </w:r>
      <w:r w:rsidR="00F51962">
        <w:rPr>
          <w:rFonts w:ascii="Calibri" w:hAnsi="Calibri" w:cs="Calibri"/>
          <w:sz w:val="20"/>
          <w:szCs w:val="20"/>
          <w:vertAlign w:val="superscript"/>
        </w:rPr>
        <w:t>th</w:t>
      </w:r>
      <w:r w:rsidRPr="006A6C00">
        <w:rPr>
          <w:rFonts w:ascii="Calibri" w:hAnsi="Calibri" w:cs="Calibri"/>
          <w:sz w:val="20"/>
          <w:szCs w:val="20"/>
        </w:rPr>
        <w:t xml:space="preserve"> June 2025]</w:t>
      </w:r>
    </w:p>
    <w:p w14:paraId="78E36E96" w14:textId="0B2038F2" w:rsidR="00A873B9" w:rsidRDefault="00A873B9">
      <w:pPr>
        <w:rPr>
          <w:rFonts w:ascii="Calibri" w:hAnsi="Calibri" w:cs="Calibri"/>
          <w:sz w:val="20"/>
          <w:szCs w:val="20"/>
        </w:rPr>
      </w:pPr>
      <w:r w:rsidRPr="00A077F8">
        <w:rPr>
          <w:rFonts w:ascii="Calibri" w:hAnsi="Calibri" w:cs="Calibri"/>
          <w:sz w:val="20"/>
          <w:szCs w:val="20"/>
        </w:rPr>
        <w:t xml:space="preserve">Indeed (2025) 'What is a recruiting ATS and how does it work? A guide'. </w:t>
      </w:r>
      <w:r w:rsidRPr="00A077F8">
        <w:rPr>
          <w:rStyle w:val="Emphasis"/>
          <w:rFonts w:ascii="Calibri" w:hAnsi="Calibri" w:cs="Calibri"/>
          <w:sz w:val="20"/>
          <w:szCs w:val="20"/>
        </w:rPr>
        <w:t>Indeed.com UK</w:t>
      </w:r>
      <w:r w:rsidRPr="00A077F8">
        <w:rPr>
          <w:rFonts w:ascii="Calibri" w:hAnsi="Calibri" w:cs="Calibri"/>
          <w:sz w:val="20"/>
          <w:szCs w:val="20"/>
        </w:rPr>
        <w:t xml:space="preserve">. Available at: </w:t>
      </w:r>
      <w:hyperlink r:id="rId28" w:tgtFrame="_new" w:history="1">
        <w:r w:rsidRPr="00A077F8">
          <w:rPr>
            <w:rStyle w:val="Hyperlink"/>
            <w:rFonts w:ascii="Calibri" w:hAnsi="Calibri" w:cs="Calibri"/>
            <w:sz w:val="20"/>
            <w:szCs w:val="20"/>
          </w:rPr>
          <w:t>https://uk.indeed.com/career-advice/career-development/recruiting-ats</w:t>
        </w:r>
      </w:hyperlink>
      <w:r w:rsidRPr="00A077F8">
        <w:rPr>
          <w:rFonts w:ascii="Calibri" w:hAnsi="Calibri" w:cs="Calibri"/>
          <w:sz w:val="20"/>
          <w:szCs w:val="20"/>
        </w:rPr>
        <w:t xml:space="preserve"> (Accessed: 27</w:t>
      </w:r>
      <w:r w:rsidRPr="00A077F8">
        <w:rPr>
          <w:rFonts w:ascii="Calibri" w:hAnsi="Calibri" w:cs="Calibri"/>
          <w:sz w:val="20"/>
          <w:szCs w:val="20"/>
          <w:vertAlign w:val="superscript"/>
        </w:rPr>
        <w:t>th</w:t>
      </w:r>
      <w:r w:rsidRPr="00A077F8">
        <w:rPr>
          <w:rFonts w:ascii="Calibri" w:hAnsi="Calibri" w:cs="Calibri"/>
          <w:sz w:val="20"/>
          <w:szCs w:val="20"/>
        </w:rPr>
        <w:t xml:space="preserve"> May 2025).</w:t>
      </w:r>
    </w:p>
    <w:p w14:paraId="02A23458" w14:textId="73C7A3D3" w:rsidR="00642E45" w:rsidRDefault="00642E45" w:rsidP="00642E45">
      <w:pPr>
        <w:pStyle w:val="NormalWeb"/>
        <w:rPr>
          <w:rFonts w:ascii="Calibri" w:hAnsi="Calibri" w:cs="Calibri"/>
          <w:sz w:val="20"/>
          <w:szCs w:val="20"/>
        </w:rPr>
      </w:pPr>
      <w:r w:rsidRPr="00AA5346">
        <w:rPr>
          <w:rFonts w:ascii="Calibri" w:hAnsi="Calibri" w:cs="Calibri"/>
          <w:sz w:val="20"/>
          <w:szCs w:val="20"/>
        </w:rPr>
        <w:t xml:space="preserve">Jones, S.E. and Perkins, S.J., 2024. </w:t>
      </w:r>
      <w:r w:rsidRPr="00AA5346">
        <w:rPr>
          <w:rStyle w:val="Emphasis"/>
          <w:rFonts w:ascii="Calibri" w:eastAsiaTheme="majorEastAsia" w:hAnsi="Calibri" w:cs="Calibri"/>
          <w:sz w:val="20"/>
          <w:szCs w:val="20"/>
        </w:rPr>
        <w:t>Reward management: Alternatives, consequences and contexts</w:t>
      </w:r>
      <w:r w:rsidRPr="00AA5346">
        <w:rPr>
          <w:rFonts w:ascii="Calibri" w:hAnsi="Calibri" w:cs="Calibri"/>
          <w:sz w:val="20"/>
          <w:szCs w:val="20"/>
        </w:rPr>
        <w:t>. 5th ed. London: CIPD.</w:t>
      </w:r>
      <w:r>
        <w:rPr>
          <w:rFonts w:ascii="Calibri" w:hAnsi="Calibri" w:cs="Calibri"/>
          <w:sz w:val="20"/>
          <w:szCs w:val="20"/>
        </w:rPr>
        <w:t xml:space="preserve"> (Accessed 5</w:t>
      </w:r>
      <w:r w:rsidRPr="00642E45">
        <w:rPr>
          <w:rFonts w:ascii="Calibri" w:hAnsi="Calibri" w:cs="Calibri"/>
          <w:sz w:val="20"/>
          <w:szCs w:val="20"/>
          <w:vertAlign w:val="superscript"/>
        </w:rPr>
        <w:t>th</w:t>
      </w:r>
      <w:r>
        <w:rPr>
          <w:rFonts w:ascii="Calibri" w:hAnsi="Calibri" w:cs="Calibri"/>
          <w:sz w:val="20"/>
          <w:szCs w:val="20"/>
        </w:rPr>
        <w:t xml:space="preserve"> August 2025)</w:t>
      </w:r>
    </w:p>
    <w:p w14:paraId="149164E3" w14:textId="410DDC8B" w:rsidR="00E17140" w:rsidRDefault="00E17140" w:rsidP="00642E45">
      <w:pPr>
        <w:pStyle w:val="NormalWeb"/>
        <w:rPr>
          <w:rFonts w:ascii="Calibri" w:hAnsi="Calibri" w:cs="Calibri"/>
          <w:sz w:val="20"/>
          <w:szCs w:val="20"/>
        </w:rPr>
      </w:pPr>
      <w:r w:rsidRPr="004759D9">
        <w:rPr>
          <w:rFonts w:ascii="Calibri" w:hAnsi="Calibri" w:cs="Calibri"/>
          <w:sz w:val="20"/>
          <w:szCs w:val="20"/>
        </w:rPr>
        <w:t xml:space="preserve">Kew, J. and Stredwick, J., 2016. </w:t>
      </w:r>
      <w:r w:rsidRPr="004759D9">
        <w:rPr>
          <w:rStyle w:val="Emphasis"/>
          <w:rFonts w:ascii="Calibri" w:eastAsiaTheme="majorEastAsia" w:hAnsi="Calibri" w:cs="Calibri"/>
          <w:sz w:val="20"/>
          <w:szCs w:val="20"/>
        </w:rPr>
        <w:t>Human resource management in a business context</w:t>
      </w:r>
      <w:r w:rsidRPr="004759D9">
        <w:rPr>
          <w:rFonts w:ascii="Calibri" w:hAnsi="Calibri" w:cs="Calibri"/>
          <w:sz w:val="20"/>
          <w:szCs w:val="20"/>
        </w:rPr>
        <w:t>. 3rd ed. London: CIPD.</w:t>
      </w:r>
    </w:p>
    <w:p w14:paraId="3BA0913E" w14:textId="2A3A0FFA" w:rsidR="00A873B9" w:rsidRDefault="00A873B9">
      <w:pPr>
        <w:rPr>
          <w:sz w:val="20"/>
          <w:szCs w:val="20"/>
        </w:rPr>
      </w:pPr>
      <w:r w:rsidRPr="00A873B9">
        <w:rPr>
          <w:sz w:val="20"/>
          <w:szCs w:val="20"/>
        </w:rPr>
        <w:t xml:space="preserve">LinkedIn Talent Solutions. (2022) </w:t>
      </w:r>
      <w:r w:rsidRPr="00A873B9">
        <w:rPr>
          <w:rStyle w:val="Emphasis"/>
          <w:sz w:val="20"/>
          <w:szCs w:val="20"/>
        </w:rPr>
        <w:t>The importance of EVP in talent retention</w:t>
      </w:r>
      <w:r w:rsidRPr="00A873B9">
        <w:rPr>
          <w:sz w:val="20"/>
          <w:szCs w:val="20"/>
        </w:rPr>
        <w:t xml:space="preserve">. Available at: </w:t>
      </w:r>
      <w:hyperlink r:id="rId29" w:tgtFrame="_new" w:history="1">
        <w:r w:rsidRPr="00A873B9">
          <w:rPr>
            <w:rStyle w:val="Hyperlink"/>
            <w:sz w:val="20"/>
            <w:szCs w:val="20"/>
          </w:rPr>
          <w:t>https://business.linkedin.com/talent-solutions</w:t>
        </w:r>
      </w:hyperlink>
      <w:r w:rsidRPr="00A873B9">
        <w:rPr>
          <w:sz w:val="20"/>
          <w:szCs w:val="20"/>
        </w:rPr>
        <w:t xml:space="preserve"> [Accessed 1</w:t>
      </w:r>
      <w:r>
        <w:rPr>
          <w:sz w:val="20"/>
          <w:szCs w:val="20"/>
        </w:rPr>
        <w:t>1th</w:t>
      </w:r>
      <w:r w:rsidRPr="00A873B9">
        <w:rPr>
          <w:sz w:val="20"/>
          <w:szCs w:val="20"/>
        </w:rPr>
        <w:t xml:space="preserve"> June 2025]. </w:t>
      </w:r>
    </w:p>
    <w:p w14:paraId="271EF1CD" w14:textId="6D74C6DD" w:rsidR="00E17140" w:rsidRPr="00E17140" w:rsidRDefault="00E17140" w:rsidP="00E17140">
      <w:pPr>
        <w:pStyle w:val="NormalWeb"/>
        <w:rPr>
          <w:rFonts w:ascii="Calibri" w:hAnsi="Calibri" w:cs="Calibri"/>
          <w:sz w:val="20"/>
          <w:szCs w:val="20"/>
        </w:rPr>
      </w:pPr>
      <w:r w:rsidRPr="00586FD4">
        <w:rPr>
          <w:rFonts w:ascii="Calibri" w:hAnsi="Calibri" w:cs="Calibri"/>
          <w:sz w:val="20"/>
          <w:szCs w:val="20"/>
        </w:rPr>
        <w:t xml:space="preserve">Marchington, M., Wilkinson, A., Donnelly, R. and </w:t>
      </w:r>
      <w:proofErr w:type="spellStart"/>
      <w:r w:rsidRPr="00586FD4">
        <w:rPr>
          <w:rFonts w:ascii="Calibri" w:hAnsi="Calibri" w:cs="Calibri"/>
          <w:sz w:val="20"/>
          <w:szCs w:val="20"/>
        </w:rPr>
        <w:t>Kynighou</w:t>
      </w:r>
      <w:proofErr w:type="spellEnd"/>
      <w:r w:rsidRPr="00586FD4">
        <w:rPr>
          <w:rFonts w:ascii="Calibri" w:hAnsi="Calibri" w:cs="Calibri"/>
          <w:sz w:val="20"/>
          <w:szCs w:val="20"/>
        </w:rPr>
        <w:t xml:space="preserve">, A., 2021. </w:t>
      </w:r>
      <w:r w:rsidRPr="00586FD4">
        <w:rPr>
          <w:rStyle w:val="Emphasis"/>
          <w:rFonts w:ascii="Calibri" w:eastAsiaTheme="majorEastAsia" w:hAnsi="Calibri" w:cs="Calibri"/>
          <w:sz w:val="20"/>
          <w:szCs w:val="20"/>
        </w:rPr>
        <w:t>Human resource management at work: The definitive guide</w:t>
      </w:r>
      <w:r w:rsidRPr="00586FD4">
        <w:rPr>
          <w:rFonts w:ascii="Calibri" w:hAnsi="Calibri" w:cs="Calibri"/>
          <w:sz w:val="20"/>
          <w:szCs w:val="20"/>
        </w:rPr>
        <w:t>. London: CIPD.</w:t>
      </w:r>
    </w:p>
    <w:p w14:paraId="1A95AAC3" w14:textId="6FF9DE41" w:rsidR="00516F92" w:rsidRPr="00A077F8" w:rsidRDefault="00516F92" w:rsidP="00516F92">
      <w:pPr>
        <w:pStyle w:val="NormalWeb"/>
        <w:rPr>
          <w:rFonts w:ascii="Calibri" w:hAnsi="Calibri" w:cs="Calibri"/>
          <w:sz w:val="20"/>
          <w:szCs w:val="20"/>
        </w:rPr>
      </w:pPr>
      <w:proofErr w:type="spellStart"/>
      <w:r w:rsidRPr="00516F92">
        <w:rPr>
          <w:rFonts w:ascii="Calibri" w:hAnsi="Calibri" w:cs="Calibri"/>
          <w:sz w:val="20"/>
          <w:szCs w:val="20"/>
        </w:rPr>
        <w:t>Nüsing</w:t>
      </w:r>
      <w:proofErr w:type="spellEnd"/>
      <w:r w:rsidRPr="00516F92">
        <w:rPr>
          <w:rFonts w:ascii="Calibri" w:hAnsi="Calibri" w:cs="Calibri"/>
          <w:sz w:val="20"/>
          <w:szCs w:val="20"/>
        </w:rPr>
        <w:t xml:space="preserve">, S. (2023) </w:t>
      </w:r>
      <w:r w:rsidRPr="00516F92">
        <w:rPr>
          <w:rStyle w:val="Emphasis"/>
          <w:rFonts w:ascii="Calibri" w:eastAsiaTheme="majorEastAsia" w:hAnsi="Calibri" w:cs="Calibri"/>
          <w:sz w:val="20"/>
          <w:szCs w:val="20"/>
        </w:rPr>
        <w:t>Using scenario building to think through options for your service or policy</w:t>
      </w:r>
      <w:r w:rsidRPr="00516F92">
        <w:rPr>
          <w:rFonts w:ascii="Calibri" w:hAnsi="Calibri" w:cs="Calibri"/>
          <w:sz w:val="20"/>
          <w:szCs w:val="20"/>
        </w:rPr>
        <w:t xml:space="preserve">. Available at: </w:t>
      </w:r>
      <w:hyperlink r:id="rId30" w:tgtFrame="_new" w:history="1">
        <w:r w:rsidRPr="00516F92">
          <w:rPr>
            <w:rStyle w:val="Hyperlink"/>
            <w:rFonts w:ascii="Calibri" w:eastAsiaTheme="majorEastAsia" w:hAnsi="Calibri" w:cs="Calibri"/>
            <w:sz w:val="20"/>
            <w:szCs w:val="20"/>
          </w:rPr>
          <w:t>https://designnotes.blog.gov.uk/2023/03/13/using-scenario-building-to-think-through-options-for-your-service-or-policy/</w:t>
        </w:r>
      </w:hyperlink>
      <w:r w:rsidRPr="00516F92">
        <w:rPr>
          <w:rFonts w:ascii="Calibri" w:hAnsi="Calibri" w:cs="Calibri"/>
          <w:sz w:val="20"/>
          <w:szCs w:val="20"/>
        </w:rPr>
        <w:t xml:space="preserve"> (Accessed: </w:t>
      </w:r>
      <w:r>
        <w:rPr>
          <w:rFonts w:ascii="Calibri" w:hAnsi="Calibri" w:cs="Calibri"/>
          <w:sz w:val="20"/>
          <w:szCs w:val="20"/>
        </w:rPr>
        <w:t>3rd</w:t>
      </w:r>
      <w:r w:rsidRPr="00516F92">
        <w:rPr>
          <w:rFonts w:ascii="Calibri" w:hAnsi="Calibri" w:cs="Calibri"/>
          <w:sz w:val="20"/>
          <w:szCs w:val="20"/>
        </w:rPr>
        <w:t xml:space="preserve"> June 2025).</w:t>
      </w:r>
    </w:p>
    <w:p w14:paraId="77AD6F87" w14:textId="25D0CA95" w:rsidR="00A077F8" w:rsidRPr="00A077F8" w:rsidRDefault="00A077F8">
      <w:pPr>
        <w:rPr>
          <w:rFonts w:ascii="Calibri" w:hAnsi="Calibri" w:cs="Calibri"/>
          <w:sz w:val="20"/>
          <w:szCs w:val="20"/>
        </w:rPr>
      </w:pPr>
      <w:r w:rsidRPr="00A077F8">
        <w:rPr>
          <w:rFonts w:ascii="Calibri" w:hAnsi="Calibri" w:cs="Calibri"/>
          <w:sz w:val="20"/>
          <w:szCs w:val="20"/>
        </w:rPr>
        <w:t xml:space="preserve">Perkins, S.J. and Jones, S.E. (2020) </w:t>
      </w:r>
      <w:r w:rsidRPr="00A077F8">
        <w:rPr>
          <w:rStyle w:val="Emphasis"/>
          <w:rFonts w:ascii="Calibri" w:hAnsi="Calibri" w:cs="Calibri"/>
          <w:sz w:val="20"/>
          <w:szCs w:val="20"/>
        </w:rPr>
        <w:t>Reward management: alternatives, consequences and context</w:t>
      </w:r>
      <w:r w:rsidRPr="00A077F8">
        <w:rPr>
          <w:rFonts w:ascii="Calibri" w:hAnsi="Calibri" w:cs="Calibri"/>
          <w:sz w:val="20"/>
          <w:szCs w:val="20"/>
        </w:rPr>
        <w:t xml:space="preserve">. 4th </w:t>
      </w:r>
      <w:proofErr w:type="spellStart"/>
      <w:r w:rsidRPr="00A077F8">
        <w:rPr>
          <w:rFonts w:ascii="Calibri" w:hAnsi="Calibri" w:cs="Calibri"/>
          <w:sz w:val="20"/>
          <w:szCs w:val="20"/>
        </w:rPr>
        <w:t>edn</w:t>
      </w:r>
      <w:proofErr w:type="spellEnd"/>
      <w:r w:rsidRPr="00A077F8">
        <w:rPr>
          <w:rFonts w:ascii="Calibri" w:hAnsi="Calibri" w:cs="Calibri"/>
          <w:sz w:val="20"/>
          <w:szCs w:val="20"/>
        </w:rPr>
        <w:t>. London: CIPD.</w:t>
      </w:r>
    </w:p>
    <w:p w14:paraId="0E2FE320" w14:textId="61804FAD" w:rsidR="00E56420" w:rsidRDefault="00E56420">
      <w:pPr>
        <w:rPr>
          <w:rFonts w:ascii="Calibri" w:hAnsi="Calibri" w:cs="Calibri"/>
          <w:i/>
          <w:iCs/>
          <w:sz w:val="20"/>
          <w:szCs w:val="20"/>
        </w:rPr>
      </w:pPr>
      <w:r w:rsidRPr="00A077F8">
        <w:rPr>
          <w:rFonts w:ascii="Calibri" w:hAnsi="Calibri" w:cs="Calibri"/>
          <w:i/>
          <w:iCs/>
          <w:sz w:val="20"/>
          <w:szCs w:val="20"/>
        </w:rPr>
        <w:t xml:space="preserve">Rees, G. (2023) </w:t>
      </w:r>
      <w:r w:rsidRPr="00A077F8">
        <w:rPr>
          <w:rStyle w:val="Emphasis"/>
          <w:rFonts w:ascii="Calibri" w:hAnsi="Calibri" w:cs="Calibri"/>
          <w:i w:val="0"/>
          <w:iCs w:val="0"/>
          <w:sz w:val="20"/>
          <w:szCs w:val="20"/>
        </w:rPr>
        <w:t>Strategic People Management and Development</w:t>
      </w:r>
      <w:r w:rsidRPr="00A077F8">
        <w:rPr>
          <w:rFonts w:ascii="Calibri" w:hAnsi="Calibri" w:cs="Calibri"/>
          <w:i/>
          <w:iCs/>
          <w:sz w:val="20"/>
          <w:szCs w:val="20"/>
        </w:rPr>
        <w:t xml:space="preserve">. 6th </w:t>
      </w:r>
      <w:proofErr w:type="spellStart"/>
      <w:r w:rsidRPr="00A077F8">
        <w:rPr>
          <w:rFonts w:ascii="Calibri" w:hAnsi="Calibri" w:cs="Calibri"/>
          <w:i/>
          <w:iCs/>
          <w:sz w:val="20"/>
          <w:szCs w:val="20"/>
        </w:rPr>
        <w:t>edn</w:t>
      </w:r>
      <w:proofErr w:type="spellEnd"/>
      <w:r w:rsidRPr="00A077F8">
        <w:rPr>
          <w:rFonts w:ascii="Calibri" w:hAnsi="Calibri" w:cs="Calibri"/>
          <w:i/>
          <w:iCs/>
          <w:sz w:val="20"/>
          <w:szCs w:val="20"/>
        </w:rPr>
        <w:t>. London: CIPD.</w:t>
      </w:r>
    </w:p>
    <w:p w14:paraId="3D3D1652" w14:textId="39648B40" w:rsidR="009B5223" w:rsidRPr="009B5223" w:rsidRDefault="009B5223" w:rsidP="009B5223">
      <w:pPr>
        <w:pStyle w:val="NormalWeb"/>
        <w:rPr>
          <w:rFonts w:ascii="Calibri" w:hAnsi="Calibri" w:cs="Calibri"/>
          <w:sz w:val="20"/>
          <w:szCs w:val="20"/>
        </w:rPr>
      </w:pPr>
      <w:r w:rsidRPr="009B5223">
        <w:rPr>
          <w:rFonts w:ascii="Calibri" w:hAnsi="Calibri" w:cs="Calibri"/>
          <w:sz w:val="20"/>
          <w:szCs w:val="20"/>
        </w:rPr>
        <w:t xml:space="preserve">Taylor, J. (2025) </w:t>
      </w:r>
      <w:r w:rsidRPr="009B5223">
        <w:rPr>
          <w:rStyle w:val="Emphasis"/>
          <w:rFonts w:ascii="Calibri" w:eastAsiaTheme="majorEastAsia" w:hAnsi="Calibri" w:cs="Calibri"/>
          <w:sz w:val="20"/>
          <w:szCs w:val="20"/>
        </w:rPr>
        <w:t>Understanding employee turnover</w:t>
      </w:r>
      <w:r w:rsidRPr="009B5223">
        <w:rPr>
          <w:rFonts w:ascii="Calibri" w:hAnsi="Calibri" w:cs="Calibri"/>
          <w:sz w:val="20"/>
          <w:szCs w:val="20"/>
        </w:rPr>
        <w:t xml:space="preserve">. </w:t>
      </w:r>
      <w:r w:rsidRPr="009B5223">
        <w:rPr>
          <w:rStyle w:val="Emphasis"/>
          <w:rFonts w:ascii="Calibri" w:eastAsiaTheme="majorEastAsia" w:hAnsi="Calibri" w:cs="Calibri"/>
          <w:sz w:val="20"/>
          <w:szCs w:val="20"/>
        </w:rPr>
        <w:t>Journal of HR Management</w:t>
      </w:r>
      <w:r w:rsidRPr="009B5223">
        <w:rPr>
          <w:rFonts w:ascii="Calibri" w:hAnsi="Calibri" w:cs="Calibri"/>
          <w:sz w:val="20"/>
          <w:szCs w:val="20"/>
        </w:rPr>
        <w:t>, 12(2), pp. 45-58.</w:t>
      </w:r>
    </w:p>
    <w:p w14:paraId="78E5D943" w14:textId="47B4C8E7" w:rsidR="009B0346" w:rsidRDefault="009B0346">
      <w:pPr>
        <w:rPr>
          <w:rFonts w:ascii="Calibri" w:hAnsi="Calibri" w:cs="Calibri"/>
          <w:i/>
          <w:iCs/>
          <w:sz w:val="20"/>
          <w:szCs w:val="20"/>
        </w:rPr>
      </w:pPr>
      <w:r w:rsidRPr="00A077F8">
        <w:rPr>
          <w:rFonts w:ascii="Calibri" w:hAnsi="Calibri" w:cs="Calibri"/>
          <w:i/>
          <w:iCs/>
          <w:sz w:val="20"/>
          <w:szCs w:val="20"/>
        </w:rPr>
        <w:t xml:space="preserve">Taylor, S. (2025) </w:t>
      </w:r>
      <w:r w:rsidRPr="00A077F8">
        <w:rPr>
          <w:rStyle w:val="Emphasis"/>
          <w:rFonts w:ascii="Calibri" w:hAnsi="Calibri" w:cs="Calibri"/>
          <w:i w:val="0"/>
          <w:iCs w:val="0"/>
          <w:sz w:val="20"/>
          <w:szCs w:val="20"/>
        </w:rPr>
        <w:t>Resourcing and Talent Management</w:t>
      </w:r>
      <w:r w:rsidRPr="00A077F8">
        <w:rPr>
          <w:rFonts w:ascii="Calibri" w:hAnsi="Calibri" w:cs="Calibri"/>
          <w:i/>
          <w:iCs/>
          <w:sz w:val="20"/>
          <w:szCs w:val="20"/>
        </w:rPr>
        <w:t>.</w:t>
      </w:r>
      <w:r w:rsidR="004037EE" w:rsidRPr="00A077F8">
        <w:rPr>
          <w:rFonts w:ascii="Calibri" w:hAnsi="Calibri" w:cs="Calibri"/>
          <w:i/>
          <w:iCs/>
          <w:sz w:val="20"/>
          <w:szCs w:val="20"/>
        </w:rPr>
        <w:t xml:space="preserve"> 9</w:t>
      </w:r>
      <w:r w:rsidR="004037EE" w:rsidRPr="00A077F8">
        <w:rPr>
          <w:rFonts w:ascii="Calibri" w:hAnsi="Calibri" w:cs="Calibri"/>
          <w:i/>
          <w:iCs/>
          <w:sz w:val="20"/>
          <w:szCs w:val="20"/>
          <w:vertAlign w:val="superscript"/>
        </w:rPr>
        <w:t>th</w:t>
      </w:r>
      <w:r w:rsidR="004037EE" w:rsidRPr="00A077F8">
        <w:rPr>
          <w:rFonts w:ascii="Calibri" w:hAnsi="Calibri" w:cs="Calibri"/>
          <w:i/>
          <w:iCs/>
          <w:sz w:val="20"/>
          <w:szCs w:val="20"/>
        </w:rPr>
        <w:t xml:space="preserve"> </w:t>
      </w:r>
      <w:proofErr w:type="spellStart"/>
      <w:r w:rsidR="004037EE" w:rsidRPr="00A077F8">
        <w:rPr>
          <w:rFonts w:ascii="Calibri" w:hAnsi="Calibri" w:cs="Calibri"/>
          <w:i/>
          <w:iCs/>
          <w:sz w:val="20"/>
          <w:szCs w:val="20"/>
        </w:rPr>
        <w:t>edn</w:t>
      </w:r>
      <w:proofErr w:type="spellEnd"/>
      <w:r w:rsidR="004037EE" w:rsidRPr="00A077F8">
        <w:rPr>
          <w:rFonts w:ascii="Calibri" w:hAnsi="Calibri" w:cs="Calibri"/>
          <w:i/>
          <w:iCs/>
          <w:sz w:val="20"/>
          <w:szCs w:val="20"/>
        </w:rPr>
        <w:t>.</w:t>
      </w:r>
      <w:r w:rsidRPr="00A077F8">
        <w:rPr>
          <w:rFonts w:ascii="Calibri" w:hAnsi="Calibri" w:cs="Calibri"/>
          <w:i/>
          <w:iCs/>
          <w:sz w:val="20"/>
          <w:szCs w:val="20"/>
        </w:rPr>
        <w:t xml:space="preserve"> London: CIPD.</w:t>
      </w:r>
    </w:p>
    <w:p w14:paraId="39626F96" w14:textId="5A82592F" w:rsidR="00642E45" w:rsidRPr="00642E45" w:rsidRDefault="00642E45" w:rsidP="00642E45">
      <w:pPr>
        <w:pStyle w:val="NormalWeb"/>
        <w:rPr>
          <w:rFonts w:ascii="Calibri" w:hAnsi="Calibri" w:cs="Calibri"/>
          <w:sz w:val="20"/>
          <w:szCs w:val="20"/>
        </w:rPr>
      </w:pPr>
      <w:r w:rsidRPr="00506CF0">
        <w:rPr>
          <w:rFonts w:ascii="Calibri" w:hAnsi="Calibri" w:cs="Calibri"/>
          <w:sz w:val="20"/>
          <w:szCs w:val="20"/>
        </w:rPr>
        <w:t xml:space="preserve">Taylor, S. and Woodhams, C., 2022. </w:t>
      </w:r>
      <w:r w:rsidRPr="00506CF0">
        <w:rPr>
          <w:rStyle w:val="Emphasis"/>
          <w:rFonts w:ascii="Calibri" w:eastAsiaTheme="majorEastAsia" w:hAnsi="Calibri" w:cs="Calibri"/>
          <w:sz w:val="20"/>
          <w:szCs w:val="20"/>
        </w:rPr>
        <w:t>Human resource management: People and organisations</w:t>
      </w:r>
      <w:r w:rsidRPr="00506CF0">
        <w:rPr>
          <w:rFonts w:ascii="Calibri" w:hAnsi="Calibri" w:cs="Calibri"/>
          <w:sz w:val="20"/>
          <w:szCs w:val="20"/>
        </w:rPr>
        <w:t>. 3rd ed. London: CIPD.</w:t>
      </w:r>
    </w:p>
    <w:p w14:paraId="1AEB8DA6" w14:textId="74857C68" w:rsidR="009B5223" w:rsidRPr="009B5223" w:rsidRDefault="009B5223" w:rsidP="009B5223">
      <w:pPr>
        <w:pStyle w:val="NormalWeb"/>
        <w:rPr>
          <w:rFonts w:ascii="Calibri" w:hAnsi="Calibri" w:cs="Calibri"/>
          <w:sz w:val="20"/>
          <w:szCs w:val="20"/>
        </w:rPr>
      </w:pPr>
      <w:r w:rsidRPr="009B5223">
        <w:rPr>
          <w:rFonts w:ascii="Calibri" w:hAnsi="Calibri" w:cs="Calibri"/>
          <w:sz w:val="20"/>
          <w:szCs w:val="20"/>
        </w:rPr>
        <w:t xml:space="preserve">Thomas, L. (2015) </w:t>
      </w:r>
      <w:r w:rsidRPr="009B5223">
        <w:rPr>
          <w:rStyle w:val="Emphasis"/>
          <w:rFonts w:ascii="Calibri" w:eastAsiaTheme="majorEastAsia" w:hAnsi="Calibri" w:cs="Calibri"/>
          <w:sz w:val="20"/>
          <w:szCs w:val="20"/>
        </w:rPr>
        <w:t>Push and pull factors in employee turnover</w:t>
      </w:r>
      <w:r w:rsidRPr="009B5223">
        <w:rPr>
          <w:rFonts w:ascii="Calibri" w:hAnsi="Calibri" w:cs="Calibri"/>
          <w:sz w:val="20"/>
          <w:szCs w:val="20"/>
        </w:rPr>
        <w:t xml:space="preserve">. </w:t>
      </w:r>
      <w:r w:rsidRPr="009B5223">
        <w:rPr>
          <w:rStyle w:val="Emphasis"/>
          <w:rFonts w:ascii="Calibri" w:eastAsiaTheme="majorEastAsia" w:hAnsi="Calibri" w:cs="Calibri"/>
          <w:sz w:val="20"/>
          <w:szCs w:val="20"/>
        </w:rPr>
        <w:t>International Journal of Business Research</w:t>
      </w:r>
      <w:r w:rsidRPr="009B5223">
        <w:rPr>
          <w:rFonts w:ascii="Calibri" w:hAnsi="Calibri" w:cs="Calibri"/>
          <w:sz w:val="20"/>
          <w:szCs w:val="20"/>
        </w:rPr>
        <w:t>, 7(4), pp. 72-84.</w:t>
      </w:r>
    </w:p>
    <w:p w14:paraId="2DC331A4" w14:textId="10243FF8" w:rsidR="00BB355E" w:rsidRPr="00224DB5" w:rsidRDefault="00BB355E">
      <w:pPr>
        <w:rPr>
          <w:rFonts w:ascii="Calibri" w:hAnsi="Calibri" w:cs="Calibri"/>
          <w:i/>
          <w:iCs/>
          <w:sz w:val="20"/>
          <w:szCs w:val="20"/>
        </w:rPr>
      </w:pPr>
      <w:r w:rsidRPr="00224DB5">
        <w:rPr>
          <w:rStyle w:val="relative"/>
          <w:rFonts w:ascii="Calibri" w:hAnsi="Calibri" w:cs="Calibri"/>
          <w:sz w:val="20"/>
          <w:szCs w:val="20"/>
        </w:rPr>
        <w:t xml:space="preserve">Thomas, S.J., 2016. </w:t>
      </w:r>
      <w:r w:rsidRPr="00224DB5">
        <w:rPr>
          <w:rStyle w:val="Emphasis"/>
          <w:rFonts w:ascii="Calibri" w:hAnsi="Calibri" w:cs="Calibri"/>
          <w:sz w:val="20"/>
          <w:szCs w:val="20"/>
        </w:rPr>
        <w:t>A poor induction process – what’s the effect on your business?</w:t>
      </w:r>
      <w:r w:rsidRPr="00224DB5">
        <w:rPr>
          <w:rStyle w:val="relative"/>
          <w:rFonts w:ascii="Calibri" w:hAnsi="Calibri" w:cs="Calibri"/>
          <w:sz w:val="20"/>
          <w:szCs w:val="20"/>
        </w:rPr>
        <w:t xml:space="preserve"> [online] Available at:</w:t>
      </w:r>
      <w:r w:rsidRPr="00224DB5">
        <w:rPr>
          <w:rFonts w:ascii="Calibri" w:hAnsi="Calibri" w:cs="Calibri"/>
          <w:sz w:val="20"/>
          <w:szCs w:val="20"/>
        </w:rPr>
        <w:t xml:space="preserve"> </w:t>
      </w:r>
      <w:hyperlink r:id="rId31" w:tgtFrame="_new" w:history="1">
        <w:r w:rsidRPr="00224DB5">
          <w:rPr>
            <w:rStyle w:val="Hyperlink"/>
            <w:rFonts w:ascii="Calibri" w:hAnsi="Calibri" w:cs="Calibri"/>
            <w:sz w:val="20"/>
            <w:szCs w:val="20"/>
          </w:rPr>
          <w:t>https://www.linkedin.com/pulse/poor-induction-process-whats-effect-your-business-sarah-jane-thomas</w:t>
        </w:r>
      </w:hyperlink>
      <w:r w:rsidRPr="00224DB5">
        <w:rPr>
          <w:rFonts w:ascii="Calibri" w:hAnsi="Calibri" w:cs="Calibri"/>
          <w:sz w:val="20"/>
          <w:szCs w:val="20"/>
        </w:rPr>
        <w:t xml:space="preserve"> </w:t>
      </w:r>
      <w:r w:rsidRPr="00224DB5">
        <w:rPr>
          <w:rStyle w:val="relative"/>
          <w:rFonts w:ascii="Calibri" w:hAnsi="Calibri" w:cs="Calibri"/>
          <w:sz w:val="20"/>
          <w:szCs w:val="20"/>
        </w:rPr>
        <w:t>[Accessed 1</w:t>
      </w:r>
      <w:r w:rsidR="00224DB5">
        <w:rPr>
          <w:rStyle w:val="relative"/>
          <w:rFonts w:ascii="Calibri" w:hAnsi="Calibri" w:cs="Calibri"/>
          <w:sz w:val="20"/>
          <w:szCs w:val="20"/>
        </w:rPr>
        <w:t>0th</w:t>
      </w:r>
      <w:r w:rsidRPr="00224DB5">
        <w:rPr>
          <w:rStyle w:val="relative"/>
          <w:rFonts w:ascii="Calibri" w:hAnsi="Calibri" w:cs="Calibri"/>
          <w:sz w:val="20"/>
          <w:szCs w:val="20"/>
        </w:rPr>
        <w:t xml:space="preserve"> June 2025].</w:t>
      </w:r>
    </w:p>
    <w:p w14:paraId="381DAE53" w14:textId="2F6159AB" w:rsidR="00A31DF1" w:rsidRDefault="00A31DF1" w:rsidP="00A31DF1">
      <w:pPr>
        <w:pStyle w:val="NormalWeb"/>
        <w:rPr>
          <w:rFonts w:ascii="Calibri" w:hAnsi="Calibri" w:cs="Calibri"/>
          <w:sz w:val="20"/>
          <w:szCs w:val="20"/>
        </w:rPr>
      </w:pPr>
      <w:r w:rsidRPr="00A31DF1">
        <w:rPr>
          <w:rFonts w:ascii="Calibri" w:hAnsi="Calibri" w:cs="Calibri"/>
          <w:sz w:val="20"/>
          <w:szCs w:val="20"/>
        </w:rPr>
        <w:t xml:space="preserve">Thomas, J. (2019) 'Retaining talent with leadership that cares', </w:t>
      </w:r>
      <w:r w:rsidRPr="00A31DF1">
        <w:rPr>
          <w:rStyle w:val="Emphasis"/>
          <w:rFonts w:ascii="Calibri" w:eastAsiaTheme="majorEastAsia" w:hAnsi="Calibri" w:cs="Calibri"/>
          <w:sz w:val="20"/>
          <w:szCs w:val="20"/>
        </w:rPr>
        <w:t>HR Magazine</w:t>
      </w:r>
      <w:r w:rsidRPr="00A31DF1">
        <w:rPr>
          <w:rFonts w:ascii="Calibri" w:hAnsi="Calibri" w:cs="Calibri"/>
          <w:sz w:val="20"/>
          <w:szCs w:val="20"/>
        </w:rPr>
        <w:t xml:space="preserve">. Available at: </w:t>
      </w:r>
      <w:hyperlink r:id="rId32" w:tgtFrame="_new" w:history="1">
        <w:r w:rsidRPr="00A31DF1">
          <w:rPr>
            <w:rStyle w:val="Hyperlink"/>
            <w:rFonts w:ascii="Calibri" w:eastAsiaTheme="majorEastAsia" w:hAnsi="Calibri" w:cs="Calibri"/>
            <w:sz w:val="20"/>
            <w:szCs w:val="20"/>
          </w:rPr>
          <w:t>https://www.hrmagazine.co.uk/content/features/retaining-talent-with-leadership-that-cares</w:t>
        </w:r>
      </w:hyperlink>
      <w:r w:rsidRPr="00A31DF1">
        <w:rPr>
          <w:rFonts w:ascii="Calibri" w:hAnsi="Calibri" w:cs="Calibri"/>
          <w:sz w:val="20"/>
          <w:szCs w:val="20"/>
        </w:rPr>
        <w:t xml:space="preserve"> (Accessed</w:t>
      </w:r>
      <w:r>
        <w:rPr>
          <w:rFonts w:ascii="Calibri" w:hAnsi="Calibri" w:cs="Calibri"/>
          <w:sz w:val="20"/>
          <w:szCs w:val="20"/>
        </w:rPr>
        <w:t>: 6</w:t>
      </w:r>
      <w:r w:rsidRPr="00A31DF1">
        <w:rPr>
          <w:rFonts w:ascii="Calibri" w:hAnsi="Calibri" w:cs="Calibri"/>
          <w:sz w:val="20"/>
          <w:szCs w:val="20"/>
          <w:vertAlign w:val="superscript"/>
        </w:rPr>
        <w:t>th</w:t>
      </w:r>
      <w:r>
        <w:rPr>
          <w:rFonts w:ascii="Calibri" w:hAnsi="Calibri" w:cs="Calibri"/>
          <w:sz w:val="20"/>
          <w:szCs w:val="20"/>
        </w:rPr>
        <w:t xml:space="preserve"> June 2025)</w:t>
      </w:r>
    </w:p>
    <w:p w14:paraId="4FCCD4CE" w14:textId="47EE9DA4" w:rsidR="004079C6" w:rsidRDefault="004079C6" w:rsidP="00A31DF1">
      <w:pPr>
        <w:pStyle w:val="NormalWeb"/>
        <w:rPr>
          <w:rFonts w:ascii="Calibri" w:hAnsi="Calibri" w:cs="Calibri"/>
          <w:sz w:val="20"/>
          <w:szCs w:val="20"/>
        </w:rPr>
      </w:pPr>
      <w:r w:rsidRPr="004079C6">
        <w:rPr>
          <w:rFonts w:ascii="Calibri" w:hAnsi="Calibri" w:cs="Calibri"/>
          <w:sz w:val="20"/>
          <w:szCs w:val="20"/>
        </w:rPr>
        <w:t xml:space="preserve">Ulrich, D., Brockbank, W. and Yeung, A. (2020) </w:t>
      </w:r>
      <w:r w:rsidRPr="004079C6">
        <w:rPr>
          <w:rStyle w:val="Emphasis"/>
          <w:rFonts w:ascii="Calibri" w:eastAsiaTheme="majorEastAsia" w:hAnsi="Calibri" w:cs="Calibri"/>
          <w:sz w:val="20"/>
          <w:szCs w:val="20"/>
        </w:rPr>
        <w:t>HR competencies: Mastery at the intersection of people and business</w:t>
      </w:r>
      <w:r w:rsidRPr="004079C6">
        <w:rPr>
          <w:rFonts w:ascii="Calibri" w:hAnsi="Calibri" w:cs="Calibri"/>
          <w:sz w:val="20"/>
          <w:szCs w:val="20"/>
        </w:rPr>
        <w:t>. 3rd ed. Alexandria: SHRM.</w:t>
      </w:r>
    </w:p>
    <w:p w14:paraId="55E5847B" w14:textId="77777777" w:rsidR="00E17140" w:rsidRPr="001C2EE7" w:rsidRDefault="00E17140" w:rsidP="00E17140">
      <w:pPr>
        <w:pStyle w:val="NormalWeb"/>
        <w:rPr>
          <w:rFonts w:ascii="Calibri" w:hAnsi="Calibri" w:cs="Calibri"/>
          <w:sz w:val="20"/>
          <w:szCs w:val="20"/>
        </w:rPr>
      </w:pPr>
      <w:r w:rsidRPr="001C2EE7">
        <w:rPr>
          <w:rFonts w:ascii="Calibri" w:hAnsi="Calibri" w:cs="Calibri"/>
          <w:sz w:val="20"/>
          <w:szCs w:val="20"/>
        </w:rPr>
        <w:t xml:space="preserve">Waite, K., Beevers, K., Small, N., Tomlinson, K. and Hussain, S., 2021. </w:t>
      </w:r>
      <w:r w:rsidRPr="001C2EE7">
        <w:rPr>
          <w:rStyle w:val="Emphasis"/>
          <w:rFonts w:ascii="Calibri" w:eastAsiaTheme="majorEastAsia" w:hAnsi="Calibri" w:cs="Calibri"/>
          <w:sz w:val="20"/>
          <w:szCs w:val="20"/>
        </w:rPr>
        <w:t>People practice: A complete guide</w:t>
      </w:r>
      <w:r w:rsidRPr="001C2EE7">
        <w:rPr>
          <w:rFonts w:ascii="Calibri" w:hAnsi="Calibri" w:cs="Calibri"/>
          <w:sz w:val="20"/>
          <w:szCs w:val="20"/>
        </w:rPr>
        <w:t>. London: CIPD.</w:t>
      </w:r>
    </w:p>
    <w:p w14:paraId="37C684E8" w14:textId="77777777" w:rsidR="00E17140" w:rsidRPr="004079C6" w:rsidRDefault="00E17140" w:rsidP="00A31DF1">
      <w:pPr>
        <w:pStyle w:val="NormalWeb"/>
        <w:rPr>
          <w:rFonts w:ascii="Calibri" w:hAnsi="Calibri" w:cs="Calibri"/>
          <w:sz w:val="20"/>
          <w:szCs w:val="20"/>
        </w:rPr>
      </w:pPr>
    </w:p>
    <w:p w14:paraId="6E895819" w14:textId="77777777" w:rsidR="00A31DF1" w:rsidRPr="00A077F8" w:rsidRDefault="00A31DF1">
      <w:pPr>
        <w:rPr>
          <w:rFonts w:ascii="Calibri" w:hAnsi="Calibri" w:cs="Calibri"/>
          <w:i/>
          <w:iCs/>
          <w:sz w:val="20"/>
          <w:szCs w:val="20"/>
        </w:rPr>
      </w:pPr>
    </w:p>
    <w:p w14:paraId="5FAEEB96" w14:textId="77777777" w:rsidR="009B0346" w:rsidRPr="0067125F" w:rsidRDefault="009B0346">
      <w:pPr>
        <w:rPr>
          <w:rFonts w:ascii="Calibri" w:hAnsi="Calibri" w:cs="Calibri"/>
          <w:i/>
          <w:iCs/>
          <w:sz w:val="20"/>
          <w:szCs w:val="20"/>
        </w:rPr>
      </w:pPr>
    </w:p>
    <w:p w14:paraId="6C2433DF" w14:textId="7863AC77" w:rsidR="009B0346" w:rsidRDefault="00442E39">
      <w:pPr>
        <w:rPr>
          <w:rFonts w:ascii="Calibri" w:hAnsi="Calibri" w:cs="Calibri"/>
          <w:sz w:val="20"/>
          <w:szCs w:val="20"/>
        </w:rPr>
      </w:pPr>
      <w:r>
        <w:rPr>
          <w:rFonts w:ascii="Calibri" w:hAnsi="Calibri" w:cs="Calibri"/>
          <w:sz w:val="20"/>
          <w:szCs w:val="20"/>
        </w:rPr>
        <w:t xml:space="preserve"> </w:t>
      </w:r>
    </w:p>
    <w:p w14:paraId="0CAAC7F5" w14:textId="77777777" w:rsidR="009B0346" w:rsidRDefault="009B0346">
      <w:pPr>
        <w:rPr>
          <w:rFonts w:ascii="Calibri" w:hAnsi="Calibri" w:cs="Calibri"/>
          <w:sz w:val="20"/>
          <w:szCs w:val="20"/>
        </w:rPr>
      </w:pPr>
    </w:p>
    <w:p w14:paraId="51BBE243" w14:textId="77777777" w:rsidR="009B0346" w:rsidRDefault="009B0346">
      <w:pPr>
        <w:rPr>
          <w:rFonts w:ascii="Calibri" w:hAnsi="Calibri" w:cs="Calibri"/>
          <w:sz w:val="20"/>
          <w:szCs w:val="20"/>
        </w:rPr>
      </w:pPr>
    </w:p>
    <w:p w14:paraId="571CAD95" w14:textId="77777777" w:rsidR="009B0346" w:rsidRDefault="009B0346">
      <w:pPr>
        <w:rPr>
          <w:rFonts w:ascii="Calibri" w:hAnsi="Calibri" w:cs="Calibri"/>
          <w:sz w:val="20"/>
          <w:szCs w:val="20"/>
        </w:rPr>
      </w:pPr>
    </w:p>
    <w:p w14:paraId="55797788" w14:textId="77777777" w:rsidR="009B0346" w:rsidRDefault="009B0346">
      <w:pPr>
        <w:rPr>
          <w:rFonts w:ascii="Calibri" w:hAnsi="Calibri" w:cs="Calibri"/>
          <w:sz w:val="20"/>
          <w:szCs w:val="20"/>
        </w:rPr>
      </w:pPr>
    </w:p>
    <w:p w14:paraId="763B6209" w14:textId="77777777" w:rsidR="009B0346" w:rsidRDefault="009B0346">
      <w:pPr>
        <w:rPr>
          <w:rFonts w:ascii="Calibri" w:hAnsi="Calibri" w:cs="Calibri"/>
          <w:sz w:val="20"/>
          <w:szCs w:val="20"/>
        </w:rPr>
      </w:pPr>
    </w:p>
    <w:p w14:paraId="57605EEA" w14:textId="77777777" w:rsidR="009B0346" w:rsidRPr="006F4E02" w:rsidRDefault="009B0346">
      <w:pPr>
        <w:rPr>
          <w:rFonts w:ascii="Calibri" w:hAnsi="Calibri" w:cs="Calibri"/>
          <w:sz w:val="20"/>
          <w:szCs w:val="20"/>
        </w:rPr>
      </w:pPr>
    </w:p>
    <w:sectPr w:rsidR="009B0346" w:rsidRPr="006F4E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B1D"/>
    <w:rsid w:val="0000021D"/>
    <w:rsid w:val="00031AD3"/>
    <w:rsid w:val="00033675"/>
    <w:rsid w:val="000420C0"/>
    <w:rsid w:val="000C75A7"/>
    <w:rsid w:val="0011012E"/>
    <w:rsid w:val="00114355"/>
    <w:rsid w:val="00120C1C"/>
    <w:rsid w:val="00162388"/>
    <w:rsid w:val="00180316"/>
    <w:rsid w:val="00182E0E"/>
    <w:rsid w:val="001B5EEF"/>
    <w:rsid w:val="001C28E8"/>
    <w:rsid w:val="001E487D"/>
    <w:rsid w:val="00201AA8"/>
    <w:rsid w:val="00201EEE"/>
    <w:rsid w:val="00213753"/>
    <w:rsid w:val="00217F60"/>
    <w:rsid w:val="00224DB5"/>
    <w:rsid w:val="00235289"/>
    <w:rsid w:val="00244587"/>
    <w:rsid w:val="0025044E"/>
    <w:rsid w:val="00263A59"/>
    <w:rsid w:val="0026575F"/>
    <w:rsid w:val="00265DEF"/>
    <w:rsid w:val="002A406A"/>
    <w:rsid w:val="002E6B65"/>
    <w:rsid w:val="002F19EE"/>
    <w:rsid w:val="002F63D2"/>
    <w:rsid w:val="00310610"/>
    <w:rsid w:val="00334816"/>
    <w:rsid w:val="00336F5D"/>
    <w:rsid w:val="003611A2"/>
    <w:rsid w:val="00364B55"/>
    <w:rsid w:val="00380EED"/>
    <w:rsid w:val="00385B1D"/>
    <w:rsid w:val="003A69C6"/>
    <w:rsid w:val="003E6263"/>
    <w:rsid w:val="003F26E0"/>
    <w:rsid w:val="0040020A"/>
    <w:rsid w:val="004037EE"/>
    <w:rsid w:val="004079C6"/>
    <w:rsid w:val="00425170"/>
    <w:rsid w:val="00442E39"/>
    <w:rsid w:val="00444477"/>
    <w:rsid w:val="0044630E"/>
    <w:rsid w:val="00451B8C"/>
    <w:rsid w:val="00463A30"/>
    <w:rsid w:val="004735EE"/>
    <w:rsid w:val="0048486D"/>
    <w:rsid w:val="004960F4"/>
    <w:rsid w:val="004A3A44"/>
    <w:rsid w:val="004C1547"/>
    <w:rsid w:val="004D0481"/>
    <w:rsid w:val="004D271E"/>
    <w:rsid w:val="004D6141"/>
    <w:rsid w:val="004E5D16"/>
    <w:rsid w:val="00503F32"/>
    <w:rsid w:val="00516F92"/>
    <w:rsid w:val="005422D6"/>
    <w:rsid w:val="005864C9"/>
    <w:rsid w:val="005927EE"/>
    <w:rsid w:val="005A2A07"/>
    <w:rsid w:val="005A4871"/>
    <w:rsid w:val="005A52E5"/>
    <w:rsid w:val="005B121F"/>
    <w:rsid w:val="005C3B1F"/>
    <w:rsid w:val="005D321B"/>
    <w:rsid w:val="006065EE"/>
    <w:rsid w:val="006138DA"/>
    <w:rsid w:val="00615B9F"/>
    <w:rsid w:val="0061632F"/>
    <w:rsid w:val="00634950"/>
    <w:rsid w:val="00642E45"/>
    <w:rsid w:val="0065706A"/>
    <w:rsid w:val="00661E5C"/>
    <w:rsid w:val="0067125F"/>
    <w:rsid w:val="006A6C00"/>
    <w:rsid w:val="006A75F2"/>
    <w:rsid w:val="006B52F8"/>
    <w:rsid w:val="006D3632"/>
    <w:rsid w:val="006F4E02"/>
    <w:rsid w:val="006F5B39"/>
    <w:rsid w:val="0070153B"/>
    <w:rsid w:val="0070580B"/>
    <w:rsid w:val="00707C36"/>
    <w:rsid w:val="00722190"/>
    <w:rsid w:val="00724C6E"/>
    <w:rsid w:val="00727BF0"/>
    <w:rsid w:val="0074275F"/>
    <w:rsid w:val="00743081"/>
    <w:rsid w:val="007466E5"/>
    <w:rsid w:val="00782151"/>
    <w:rsid w:val="00785F0D"/>
    <w:rsid w:val="00796DAC"/>
    <w:rsid w:val="007A467C"/>
    <w:rsid w:val="007B7AB8"/>
    <w:rsid w:val="007D11F1"/>
    <w:rsid w:val="007F4B32"/>
    <w:rsid w:val="007F7E83"/>
    <w:rsid w:val="0080717D"/>
    <w:rsid w:val="00863911"/>
    <w:rsid w:val="00870089"/>
    <w:rsid w:val="00872D32"/>
    <w:rsid w:val="0087461B"/>
    <w:rsid w:val="008879F0"/>
    <w:rsid w:val="008A3038"/>
    <w:rsid w:val="008B76FA"/>
    <w:rsid w:val="008B7926"/>
    <w:rsid w:val="008D35A3"/>
    <w:rsid w:val="008D535B"/>
    <w:rsid w:val="008D563B"/>
    <w:rsid w:val="00903CBF"/>
    <w:rsid w:val="0091615A"/>
    <w:rsid w:val="00936245"/>
    <w:rsid w:val="00954D6C"/>
    <w:rsid w:val="00955558"/>
    <w:rsid w:val="009B0346"/>
    <w:rsid w:val="009B2608"/>
    <w:rsid w:val="009B5223"/>
    <w:rsid w:val="009C3C2A"/>
    <w:rsid w:val="00A01D8D"/>
    <w:rsid w:val="00A0728A"/>
    <w:rsid w:val="00A077F8"/>
    <w:rsid w:val="00A22DD3"/>
    <w:rsid w:val="00A31DF1"/>
    <w:rsid w:val="00A355DD"/>
    <w:rsid w:val="00A44BF1"/>
    <w:rsid w:val="00A657FC"/>
    <w:rsid w:val="00A742DF"/>
    <w:rsid w:val="00A81225"/>
    <w:rsid w:val="00A873B9"/>
    <w:rsid w:val="00AB431A"/>
    <w:rsid w:val="00AB5F09"/>
    <w:rsid w:val="00AC4307"/>
    <w:rsid w:val="00AC5E06"/>
    <w:rsid w:val="00AF51D8"/>
    <w:rsid w:val="00AF7927"/>
    <w:rsid w:val="00B10453"/>
    <w:rsid w:val="00B27D16"/>
    <w:rsid w:val="00B378F2"/>
    <w:rsid w:val="00B4247E"/>
    <w:rsid w:val="00B428CF"/>
    <w:rsid w:val="00B8176F"/>
    <w:rsid w:val="00B93704"/>
    <w:rsid w:val="00BB0D2F"/>
    <w:rsid w:val="00BB355E"/>
    <w:rsid w:val="00C444EF"/>
    <w:rsid w:val="00C70BE9"/>
    <w:rsid w:val="00C72C2F"/>
    <w:rsid w:val="00CA036E"/>
    <w:rsid w:val="00CB6050"/>
    <w:rsid w:val="00CE0092"/>
    <w:rsid w:val="00D00F38"/>
    <w:rsid w:val="00D51FFB"/>
    <w:rsid w:val="00D972BA"/>
    <w:rsid w:val="00DA3774"/>
    <w:rsid w:val="00DC66D3"/>
    <w:rsid w:val="00DD57C1"/>
    <w:rsid w:val="00DE4A24"/>
    <w:rsid w:val="00DF6249"/>
    <w:rsid w:val="00E06B73"/>
    <w:rsid w:val="00E17140"/>
    <w:rsid w:val="00E307C0"/>
    <w:rsid w:val="00E42168"/>
    <w:rsid w:val="00E56420"/>
    <w:rsid w:val="00E65E76"/>
    <w:rsid w:val="00E67BCF"/>
    <w:rsid w:val="00E758B8"/>
    <w:rsid w:val="00E8412F"/>
    <w:rsid w:val="00E965BB"/>
    <w:rsid w:val="00EA2FA9"/>
    <w:rsid w:val="00EA647A"/>
    <w:rsid w:val="00ED543F"/>
    <w:rsid w:val="00EE04A5"/>
    <w:rsid w:val="00EF0ECD"/>
    <w:rsid w:val="00EF5EA9"/>
    <w:rsid w:val="00F0423A"/>
    <w:rsid w:val="00F26ABE"/>
    <w:rsid w:val="00F30EB4"/>
    <w:rsid w:val="00F51962"/>
    <w:rsid w:val="00F56D3A"/>
    <w:rsid w:val="00F6469E"/>
    <w:rsid w:val="00F659A0"/>
    <w:rsid w:val="00F70266"/>
    <w:rsid w:val="00F94085"/>
    <w:rsid w:val="00F969DE"/>
    <w:rsid w:val="00FB35BB"/>
    <w:rsid w:val="00FB6239"/>
    <w:rsid w:val="00FF5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B4AD5"/>
  <w15:chartTrackingRefBased/>
  <w15:docId w15:val="{47430459-BCB6-4831-9877-2D268B13F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5B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85B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85B1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5B1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5B1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85B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B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B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B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B1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85B1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85B1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85B1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85B1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85B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B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B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B1D"/>
    <w:rPr>
      <w:rFonts w:eastAsiaTheme="majorEastAsia" w:cstheme="majorBidi"/>
      <w:color w:val="272727" w:themeColor="text1" w:themeTint="D8"/>
    </w:rPr>
  </w:style>
  <w:style w:type="paragraph" w:styleId="Title">
    <w:name w:val="Title"/>
    <w:basedOn w:val="Normal"/>
    <w:next w:val="Normal"/>
    <w:link w:val="TitleChar"/>
    <w:uiPriority w:val="10"/>
    <w:qFormat/>
    <w:rsid w:val="00385B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B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5B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5B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5B1D"/>
    <w:pPr>
      <w:spacing w:before="160"/>
      <w:jc w:val="center"/>
    </w:pPr>
    <w:rPr>
      <w:i/>
      <w:iCs/>
      <w:color w:val="404040" w:themeColor="text1" w:themeTint="BF"/>
    </w:rPr>
  </w:style>
  <w:style w:type="character" w:customStyle="1" w:styleId="QuoteChar">
    <w:name w:val="Quote Char"/>
    <w:basedOn w:val="DefaultParagraphFont"/>
    <w:link w:val="Quote"/>
    <w:uiPriority w:val="29"/>
    <w:rsid w:val="00385B1D"/>
    <w:rPr>
      <w:i/>
      <w:iCs/>
      <w:color w:val="404040" w:themeColor="text1" w:themeTint="BF"/>
    </w:rPr>
  </w:style>
  <w:style w:type="paragraph" w:styleId="ListParagraph">
    <w:name w:val="List Paragraph"/>
    <w:basedOn w:val="Normal"/>
    <w:uiPriority w:val="34"/>
    <w:qFormat/>
    <w:rsid w:val="00385B1D"/>
    <w:pPr>
      <w:ind w:left="720"/>
      <w:contextualSpacing/>
    </w:pPr>
  </w:style>
  <w:style w:type="character" w:styleId="IntenseEmphasis">
    <w:name w:val="Intense Emphasis"/>
    <w:basedOn w:val="DefaultParagraphFont"/>
    <w:uiPriority w:val="21"/>
    <w:qFormat/>
    <w:rsid w:val="00385B1D"/>
    <w:rPr>
      <w:i/>
      <w:iCs/>
      <w:color w:val="2F5496" w:themeColor="accent1" w:themeShade="BF"/>
    </w:rPr>
  </w:style>
  <w:style w:type="paragraph" w:styleId="IntenseQuote">
    <w:name w:val="Intense Quote"/>
    <w:basedOn w:val="Normal"/>
    <w:next w:val="Normal"/>
    <w:link w:val="IntenseQuoteChar"/>
    <w:uiPriority w:val="30"/>
    <w:qFormat/>
    <w:rsid w:val="00385B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5B1D"/>
    <w:rPr>
      <w:i/>
      <w:iCs/>
      <w:color w:val="2F5496" w:themeColor="accent1" w:themeShade="BF"/>
    </w:rPr>
  </w:style>
  <w:style w:type="character" w:styleId="IntenseReference">
    <w:name w:val="Intense Reference"/>
    <w:basedOn w:val="DefaultParagraphFont"/>
    <w:uiPriority w:val="32"/>
    <w:qFormat/>
    <w:rsid w:val="00385B1D"/>
    <w:rPr>
      <w:b/>
      <w:bCs/>
      <w:smallCaps/>
      <w:color w:val="2F5496" w:themeColor="accent1" w:themeShade="BF"/>
      <w:spacing w:val="5"/>
    </w:rPr>
  </w:style>
  <w:style w:type="character" w:customStyle="1" w:styleId="ui-provider">
    <w:name w:val="ui-provider"/>
    <w:rsid w:val="00385B1D"/>
  </w:style>
  <w:style w:type="character" w:styleId="Strong">
    <w:name w:val="Strong"/>
    <w:basedOn w:val="DefaultParagraphFont"/>
    <w:uiPriority w:val="22"/>
    <w:qFormat/>
    <w:rsid w:val="00385B1D"/>
    <w:rPr>
      <w:b/>
      <w:bCs/>
    </w:rPr>
  </w:style>
  <w:style w:type="paragraph" w:styleId="NormalWeb">
    <w:name w:val="Normal (Web)"/>
    <w:basedOn w:val="Normal"/>
    <w:uiPriority w:val="99"/>
    <w:unhideWhenUsed/>
    <w:rsid w:val="00385B1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9B0346"/>
    <w:rPr>
      <w:i/>
      <w:iCs/>
    </w:rPr>
  </w:style>
  <w:style w:type="character" w:styleId="Hyperlink">
    <w:name w:val="Hyperlink"/>
    <w:basedOn w:val="DefaultParagraphFont"/>
    <w:uiPriority w:val="99"/>
    <w:semiHidden/>
    <w:unhideWhenUsed/>
    <w:rsid w:val="004A3A44"/>
    <w:rPr>
      <w:color w:val="0000FF"/>
      <w:u w:val="single"/>
    </w:rPr>
  </w:style>
  <w:style w:type="character" w:customStyle="1" w:styleId="relative">
    <w:name w:val="relative"/>
    <w:basedOn w:val="DefaultParagraphFont"/>
    <w:rsid w:val="00E8412F"/>
  </w:style>
  <w:style w:type="paragraph" w:styleId="NoSpacing">
    <w:name w:val="No Spacing"/>
    <w:uiPriority w:val="1"/>
    <w:qFormat/>
    <w:rsid w:val="002E6B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26778">
      <w:bodyDiv w:val="1"/>
      <w:marLeft w:val="0"/>
      <w:marRight w:val="0"/>
      <w:marTop w:val="0"/>
      <w:marBottom w:val="0"/>
      <w:divBdr>
        <w:top w:val="none" w:sz="0" w:space="0" w:color="auto"/>
        <w:left w:val="none" w:sz="0" w:space="0" w:color="auto"/>
        <w:bottom w:val="none" w:sz="0" w:space="0" w:color="auto"/>
        <w:right w:val="none" w:sz="0" w:space="0" w:color="auto"/>
      </w:divBdr>
    </w:div>
    <w:div w:id="128674627">
      <w:bodyDiv w:val="1"/>
      <w:marLeft w:val="0"/>
      <w:marRight w:val="0"/>
      <w:marTop w:val="0"/>
      <w:marBottom w:val="0"/>
      <w:divBdr>
        <w:top w:val="none" w:sz="0" w:space="0" w:color="auto"/>
        <w:left w:val="none" w:sz="0" w:space="0" w:color="auto"/>
        <w:bottom w:val="none" w:sz="0" w:space="0" w:color="auto"/>
        <w:right w:val="none" w:sz="0" w:space="0" w:color="auto"/>
      </w:divBdr>
    </w:div>
    <w:div w:id="144275892">
      <w:bodyDiv w:val="1"/>
      <w:marLeft w:val="0"/>
      <w:marRight w:val="0"/>
      <w:marTop w:val="0"/>
      <w:marBottom w:val="0"/>
      <w:divBdr>
        <w:top w:val="none" w:sz="0" w:space="0" w:color="auto"/>
        <w:left w:val="none" w:sz="0" w:space="0" w:color="auto"/>
        <w:bottom w:val="none" w:sz="0" w:space="0" w:color="auto"/>
        <w:right w:val="none" w:sz="0" w:space="0" w:color="auto"/>
      </w:divBdr>
    </w:div>
    <w:div w:id="235363909">
      <w:bodyDiv w:val="1"/>
      <w:marLeft w:val="0"/>
      <w:marRight w:val="0"/>
      <w:marTop w:val="0"/>
      <w:marBottom w:val="0"/>
      <w:divBdr>
        <w:top w:val="none" w:sz="0" w:space="0" w:color="auto"/>
        <w:left w:val="none" w:sz="0" w:space="0" w:color="auto"/>
        <w:bottom w:val="none" w:sz="0" w:space="0" w:color="auto"/>
        <w:right w:val="none" w:sz="0" w:space="0" w:color="auto"/>
      </w:divBdr>
    </w:div>
    <w:div w:id="290939457">
      <w:bodyDiv w:val="1"/>
      <w:marLeft w:val="0"/>
      <w:marRight w:val="0"/>
      <w:marTop w:val="0"/>
      <w:marBottom w:val="0"/>
      <w:divBdr>
        <w:top w:val="none" w:sz="0" w:space="0" w:color="auto"/>
        <w:left w:val="none" w:sz="0" w:space="0" w:color="auto"/>
        <w:bottom w:val="none" w:sz="0" w:space="0" w:color="auto"/>
        <w:right w:val="none" w:sz="0" w:space="0" w:color="auto"/>
      </w:divBdr>
    </w:div>
    <w:div w:id="322240561">
      <w:bodyDiv w:val="1"/>
      <w:marLeft w:val="0"/>
      <w:marRight w:val="0"/>
      <w:marTop w:val="0"/>
      <w:marBottom w:val="0"/>
      <w:divBdr>
        <w:top w:val="none" w:sz="0" w:space="0" w:color="auto"/>
        <w:left w:val="none" w:sz="0" w:space="0" w:color="auto"/>
        <w:bottom w:val="none" w:sz="0" w:space="0" w:color="auto"/>
        <w:right w:val="none" w:sz="0" w:space="0" w:color="auto"/>
      </w:divBdr>
    </w:div>
    <w:div w:id="563181803">
      <w:bodyDiv w:val="1"/>
      <w:marLeft w:val="0"/>
      <w:marRight w:val="0"/>
      <w:marTop w:val="0"/>
      <w:marBottom w:val="0"/>
      <w:divBdr>
        <w:top w:val="none" w:sz="0" w:space="0" w:color="auto"/>
        <w:left w:val="none" w:sz="0" w:space="0" w:color="auto"/>
        <w:bottom w:val="none" w:sz="0" w:space="0" w:color="auto"/>
        <w:right w:val="none" w:sz="0" w:space="0" w:color="auto"/>
      </w:divBdr>
    </w:div>
    <w:div w:id="657222889">
      <w:bodyDiv w:val="1"/>
      <w:marLeft w:val="0"/>
      <w:marRight w:val="0"/>
      <w:marTop w:val="0"/>
      <w:marBottom w:val="0"/>
      <w:divBdr>
        <w:top w:val="none" w:sz="0" w:space="0" w:color="auto"/>
        <w:left w:val="none" w:sz="0" w:space="0" w:color="auto"/>
        <w:bottom w:val="none" w:sz="0" w:space="0" w:color="auto"/>
        <w:right w:val="none" w:sz="0" w:space="0" w:color="auto"/>
      </w:divBdr>
    </w:div>
    <w:div w:id="812451333">
      <w:bodyDiv w:val="1"/>
      <w:marLeft w:val="0"/>
      <w:marRight w:val="0"/>
      <w:marTop w:val="0"/>
      <w:marBottom w:val="0"/>
      <w:divBdr>
        <w:top w:val="none" w:sz="0" w:space="0" w:color="auto"/>
        <w:left w:val="none" w:sz="0" w:space="0" w:color="auto"/>
        <w:bottom w:val="none" w:sz="0" w:space="0" w:color="auto"/>
        <w:right w:val="none" w:sz="0" w:space="0" w:color="auto"/>
      </w:divBdr>
    </w:div>
    <w:div w:id="819930547">
      <w:bodyDiv w:val="1"/>
      <w:marLeft w:val="0"/>
      <w:marRight w:val="0"/>
      <w:marTop w:val="0"/>
      <w:marBottom w:val="0"/>
      <w:divBdr>
        <w:top w:val="none" w:sz="0" w:space="0" w:color="auto"/>
        <w:left w:val="none" w:sz="0" w:space="0" w:color="auto"/>
        <w:bottom w:val="none" w:sz="0" w:space="0" w:color="auto"/>
        <w:right w:val="none" w:sz="0" w:space="0" w:color="auto"/>
      </w:divBdr>
    </w:div>
    <w:div w:id="830604103">
      <w:bodyDiv w:val="1"/>
      <w:marLeft w:val="0"/>
      <w:marRight w:val="0"/>
      <w:marTop w:val="0"/>
      <w:marBottom w:val="0"/>
      <w:divBdr>
        <w:top w:val="none" w:sz="0" w:space="0" w:color="auto"/>
        <w:left w:val="none" w:sz="0" w:space="0" w:color="auto"/>
        <w:bottom w:val="none" w:sz="0" w:space="0" w:color="auto"/>
        <w:right w:val="none" w:sz="0" w:space="0" w:color="auto"/>
      </w:divBdr>
    </w:div>
    <w:div w:id="836505905">
      <w:bodyDiv w:val="1"/>
      <w:marLeft w:val="0"/>
      <w:marRight w:val="0"/>
      <w:marTop w:val="0"/>
      <w:marBottom w:val="0"/>
      <w:divBdr>
        <w:top w:val="none" w:sz="0" w:space="0" w:color="auto"/>
        <w:left w:val="none" w:sz="0" w:space="0" w:color="auto"/>
        <w:bottom w:val="none" w:sz="0" w:space="0" w:color="auto"/>
        <w:right w:val="none" w:sz="0" w:space="0" w:color="auto"/>
      </w:divBdr>
    </w:div>
    <w:div w:id="857086832">
      <w:bodyDiv w:val="1"/>
      <w:marLeft w:val="0"/>
      <w:marRight w:val="0"/>
      <w:marTop w:val="0"/>
      <w:marBottom w:val="0"/>
      <w:divBdr>
        <w:top w:val="none" w:sz="0" w:space="0" w:color="auto"/>
        <w:left w:val="none" w:sz="0" w:space="0" w:color="auto"/>
        <w:bottom w:val="none" w:sz="0" w:space="0" w:color="auto"/>
        <w:right w:val="none" w:sz="0" w:space="0" w:color="auto"/>
      </w:divBdr>
    </w:div>
    <w:div w:id="860359672">
      <w:bodyDiv w:val="1"/>
      <w:marLeft w:val="0"/>
      <w:marRight w:val="0"/>
      <w:marTop w:val="0"/>
      <w:marBottom w:val="0"/>
      <w:divBdr>
        <w:top w:val="none" w:sz="0" w:space="0" w:color="auto"/>
        <w:left w:val="none" w:sz="0" w:space="0" w:color="auto"/>
        <w:bottom w:val="none" w:sz="0" w:space="0" w:color="auto"/>
        <w:right w:val="none" w:sz="0" w:space="0" w:color="auto"/>
      </w:divBdr>
    </w:div>
    <w:div w:id="1092433152">
      <w:bodyDiv w:val="1"/>
      <w:marLeft w:val="0"/>
      <w:marRight w:val="0"/>
      <w:marTop w:val="0"/>
      <w:marBottom w:val="0"/>
      <w:divBdr>
        <w:top w:val="none" w:sz="0" w:space="0" w:color="auto"/>
        <w:left w:val="none" w:sz="0" w:space="0" w:color="auto"/>
        <w:bottom w:val="none" w:sz="0" w:space="0" w:color="auto"/>
        <w:right w:val="none" w:sz="0" w:space="0" w:color="auto"/>
      </w:divBdr>
    </w:div>
    <w:div w:id="1149445089">
      <w:bodyDiv w:val="1"/>
      <w:marLeft w:val="0"/>
      <w:marRight w:val="0"/>
      <w:marTop w:val="0"/>
      <w:marBottom w:val="0"/>
      <w:divBdr>
        <w:top w:val="none" w:sz="0" w:space="0" w:color="auto"/>
        <w:left w:val="none" w:sz="0" w:space="0" w:color="auto"/>
        <w:bottom w:val="none" w:sz="0" w:space="0" w:color="auto"/>
        <w:right w:val="none" w:sz="0" w:space="0" w:color="auto"/>
      </w:divBdr>
    </w:div>
    <w:div w:id="1351178504">
      <w:bodyDiv w:val="1"/>
      <w:marLeft w:val="0"/>
      <w:marRight w:val="0"/>
      <w:marTop w:val="0"/>
      <w:marBottom w:val="0"/>
      <w:divBdr>
        <w:top w:val="none" w:sz="0" w:space="0" w:color="auto"/>
        <w:left w:val="none" w:sz="0" w:space="0" w:color="auto"/>
        <w:bottom w:val="none" w:sz="0" w:space="0" w:color="auto"/>
        <w:right w:val="none" w:sz="0" w:space="0" w:color="auto"/>
      </w:divBdr>
    </w:div>
    <w:div w:id="1382098079">
      <w:bodyDiv w:val="1"/>
      <w:marLeft w:val="0"/>
      <w:marRight w:val="0"/>
      <w:marTop w:val="0"/>
      <w:marBottom w:val="0"/>
      <w:divBdr>
        <w:top w:val="none" w:sz="0" w:space="0" w:color="auto"/>
        <w:left w:val="none" w:sz="0" w:space="0" w:color="auto"/>
        <w:bottom w:val="none" w:sz="0" w:space="0" w:color="auto"/>
        <w:right w:val="none" w:sz="0" w:space="0" w:color="auto"/>
      </w:divBdr>
    </w:div>
    <w:div w:id="1455634537">
      <w:bodyDiv w:val="1"/>
      <w:marLeft w:val="0"/>
      <w:marRight w:val="0"/>
      <w:marTop w:val="0"/>
      <w:marBottom w:val="0"/>
      <w:divBdr>
        <w:top w:val="none" w:sz="0" w:space="0" w:color="auto"/>
        <w:left w:val="none" w:sz="0" w:space="0" w:color="auto"/>
        <w:bottom w:val="none" w:sz="0" w:space="0" w:color="auto"/>
        <w:right w:val="none" w:sz="0" w:space="0" w:color="auto"/>
      </w:divBdr>
    </w:div>
    <w:div w:id="1592079336">
      <w:bodyDiv w:val="1"/>
      <w:marLeft w:val="0"/>
      <w:marRight w:val="0"/>
      <w:marTop w:val="0"/>
      <w:marBottom w:val="0"/>
      <w:divBdr>
        <w:top w:val="none" w:sz="0" w:space="0" w:color="auto"/>
        <w:left w:val="none" w:sz="0" w:space="0" w:color="auto"/>
        <w:bottom w:val="none" w:sz="0" w:space="0" w:color="auto"/>
        <w:right w:val="none" w:sz="0" w:space="0" w:color="auto"/>
      </w:divBdr>
    </w:div>
    <w:div w:id="1733698523">
      <w:bodyDiv w:val="1"/>
      <w:marLeft w:val="0"/>
      <w:marRight w:val="0"/>
      <w:marTop w:val="0"/>
      <w:marBottom w:val="0"/>
      <w:divBdr>
        <w:top w:val="none" w:sz="0" w:space="0" w:color="auto"/>
        <w:left w:val="none" w:sz="0" w:space="0" w:color="auto"/>
        <w:bottom w:val="none" w:sz="0" w:space="0" w:color="auto"/>
        <w:right w:val="none" w:sz="0" w:space="0" w:color="auto"/>
      </w:divBdr>
    </w:div>
    <w:div w:id="1735662183">
      <w:bodyDiv w:val="1"/>
      <w:marLeft w:val="0"/>
      <w:marRight w:val="0"/>
      <w:marTop w:val="0"/>
      <w:marBottom w:val="0"/>
      <w:divBdr>
        <w:top w:val="none" w:sz="0" w:space="0" w:color="auto"/>
        <w:left w:val="none" w:sz="0" w:space="0" w:color="auto"/>
        <w:bottom w:val="none" w:sz="0" w:space="0" w:color="auto"/>
        <w:right w:val="none" w:sz="0" w:space="0" w:color="auto"/>
      </w:divBdr>
    </w:div>
    <w:div w:id="1883983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 TargetMode="External"/><Relationship Id="rId18" Type="http://schemas.openxmlformats.org/officeDocument/2006/relationships/hyperlink" Target="https://www.cipd.org/uk/knowledge/factsheets/succession-planning-factsheet/" TargetMode="External"/><Relationship Id="rId26" Type="http://schemas.openxmlformats.org/officeDocument/2006/relationships/hyperlink" Target="https://uk.indeed.com/career-advice/career-development/advantages-and-disadvantages-of-job-enrichment" TargetMode="External"/><Relationship Id="rId3" Type="http://schemas.openxmlformats.org/officeDocument/2006/relationships/webSettings" Target="webSettings.xml"/><Relationship Id="rId21" Type="http://schemas.openxmlformats.org/officeDocument/2006/relationships/hyperlink" Target="https://www.cipd.co.uk" TargetMode="External"/><Relationship Id="rId34" Type="http://schemas.openxmlformats.org/officeDocument/2006/relationships/theme" Target="theme/theme1.xml"/><Relationship Id="rId7" Type="http://schemas.openxmlformats.org/officeDocument/2006/relationships/hyperlink" Target="https://www.acas.org.uk/zero-hours-contracts" TargetMode="External"/><Relationship Id="rId12" Type="http://schemas.openxmlformats.org/officeDocument/2006/relationships/hyperlink" Target="https://www.cipd.org/uk/knowledge/factsheets/induction-factsheet/" TargetMode="External"/><Relationship Id="rId17" Type="http://schemas.openxmlformats.org/officeDocument/2006/relationships/hyperlink" Target="https://www.cipd.org/uk/knowledge/factsheets/selection-factsheet/" TargetMode="External"/><Relationship Id="rId25" Type="http://schemas.openxmlformats.org/officeDocument/2006/relationships/hyperlink" Target="https://www.indeed.com/career-advice/career-development/high-employee-turnover"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cipd.org/uk/knowledge/factsheets/reward-factsheet/" TargetMode="External"/><Relationship Id="rId20" Type="http://schemas.openxmlformats.org/officeDocument/2006/relationships/hyperlink" Target="https://www.cipd.org/uk/knowledge/factsheets/economy-labour-market-factsheet/" TargetMode="External"/><Relationship Id="rId29" Type="http://schemas.openxmlformats.org/officeDocument/2006/relationships/hyperlink" Target="https://business.linkedin.com/talent-solutions" TargetMode="External"/><Relationship Id="rId1" Type="http://schemas.openxmlformats.org/officeDocument/2006/relationships/styles" Target="styles.xml"/><Relationship Id="rId6" Type="http://schemas.openxmlformats.org/officeDocument/2006/relationships/hyperlink" Target="https://www.acas.org.uk/changing-an-employment-contract/advice-for-employees/if-your-employer-introduces-a-contract-change-without-your-agreement" TargetMode="External"/><Relationship Id="rId11" Type="http://schemas.openxmlformats.org/officeDocument/2006/relationships/hyperlink" Target="https://www.cipd.co.uk" TargetMode="External"/><Relationship Id="rId24" Type="http://schemas.openxmlformats.org/officeDocument/2006/relationships/hyperlink" Target="https://www.gov.uk/government/publications/simplifying-the-onboarding-process-for-new-starters-communication-resources" TargetMode="External"/><Relationship Id="rId32" Type="http://schemas.openxmlformats.org/officeDocument/2006/relationships/hyperlink" Target="https://www.hrmagazine.co.uk/content/features/retaining-talent-with-leadership-that-cares" TargetMode="External"/><Relationship Id="rId5" Type="http://schemas.openxmlformats.org/officeDocument/2006/relationships/hyperlink" Target="https://www.acas.org.uk/flexible-working" TargetMode="External"/><Relationship Id="rId15" Type="http://schemas.openxmlformats.org/officeDocument/2006/relationships/hyperlink" Target="https://www.cipd.org/uk/knowledge/factsheets/recruitment-factsheet/" TargetMode="External"/><Relationship Id="rId23" Type="http://schemas.openxmlformats.org/officeDocument/2006/relationships/hyperlink" Target="https://hbr.org" TargetMode="External"/><Relationship Id="rId28" Type="http://schemas.openxmlformats.org/officeDocument/2006/relationships/hyperlink" Target="https://uk.indeed.com/career-advice/career-development/recruiting-ats" TargetMode="External"/><Relationship Id="rId10" Type="http://schemas.openxmlformats.org/officeDocument/2006/relationships/hyperlink" Target="https://www.cipd.org/uk/knowledge/factsheets/turnover-retention-factsheet/" TargetMode="External"/><Relationship Id="rId19" Type="http://schemas.openxmlformats.org/officeDocument/2006/relationships/hyperlink" Target="https://www.cipd.org/uk/about/press-releases/150222tight-labour-market-employment-offer/" TargetMode="External"/><Relationship Id="rId31" Type="http://schemas.openxmlformats.org/officeDocument/2006/relationships/hyperlink" Target="https://www.linkedin.com/pulse/poor-induction-process-whats-effect-your-business-sarah-jane-thomas" TargetMode="External"/><Relationship Id="rId4" Type="http://schemas.openxmlformats.org/officeDocument/2006/relationships/hyperlink" Target="https://www.acas.org.uk/recruitment/choosing-who-to-interview" TargetMode="External"/><Relationship Id="rId9" Type="http://schemas.openxmlformats.org/officeDocument/2006/relationships/hyperlink" Target="https://www.cipd.org/uk/knowledge/factsheets/bonuses-factsheet/" TargetMode="External"/><Relationship Id="rId14" Type="http://schemas.openxmlformats.org/officeDocument/2006/relationships/hyperlink" Target="https://www.cipd.org/uk/knowledge/factsheets/organisational-development-factsheet/" TargetMode="External"/><Relationship Id="rId22" Type="http://schemas.openxmlformats.org/officeDocument/2006/relationships/hyperlink" Target="https://www.gov.uk/fixed-term-contracts" TargetMode="External"/><Relationship Id="rId27" Type="http://schemas.openxmlformats.org/officeDocument/2006/relationships/hyperlink" Target="https://www.indeed.com/career-advice/career-development/realistic-job-preview" TargetMode="External"/><Relationship Id="rId30" Type="http://schemas.openxmlformats.org/officeDocument/2006/relationships/hyperlink" Target="https://designnotes.blog.gov.uk/2023/03/13/using-scenario-building-to-think-through-options-for-your-service-or-policy/" TargetMode="External"/><Relationship Id="rId8" Type="http://schemas.openxmlformats.org/officeDocument/2006/relationships/hyperlink" Target="https://www.cipd.org/uk/views-and-insights/thought-leadership/cipd-voice/benchmarking-employee-turno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5639</Words>
  <Characters>32144</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Jones</dc:creator>
  <cp:keywords/>
  <dc:description/>
  <cp:lastModifiedBy>Andy Jones</cp:lastModifiedBy>
  <cp:revision>2</cp:revision>
  <dcterms:created xsi:type="dcterms:W3CDTF">2025-08-07T22:19:00Z</dcterms:created>
  <dcterms:modified xsi:type="dcterms:W3CDTF">2025-08-07T22:19:00Z</dcterms:modified>
</cp:coreProperties>
</file>