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4DA1" w:rsidRDefault="008F2522" w:rsidP="00D26A22">
      <w:pPr>
        <w:rPr>
          <w:rFonts w:ascii="Arial" w:hAnsi="Arial" w:cs="Arial"/>
          <w:b/>
          <w:bCs/>
          <w:sz w:val="22"/>
          <w:szCs w:val="22"/>
        </w:rPr>
      </w:pPr>
      <w:r w:rsidRPr="008F2522">
        <w:rPr>
          <w:rFonts w:ascii="Arial" w:hAnsi="Arial" w:cs="Arial"/>
          <w:b/>
          <w:bCs/>
          <w:noProof/>
          <w:color w:val="FFFFFF" w:themeColor="background1"/>
          <w:sz w:val="32"/>
          <w:szCs w:val="32"/>
        </w:rPr>
        <w:pict>
          <v:shapetype id="_x0000_t202" coordsize="21600,21600" o:spt="202" path="m,l,21600r21600,l21600,xe">
            <v:stroke joinstyle="miter"/>
            <v:path gradientshapeok="t" o:connecttype="rect"/>
          </v:shapetype>
          <v:shape id="Text Box 2" o:spid="_x0000_s1026" type="#_x0000_t202" style="position:absolute;margin-left:172.8pt;margin-top:0;width:341.95pt;height:110.6pt;flip:x;z-index:251660288;visibility:visible;mso-height-percent:200;mso-wrap-distance-top:3.6pt;mso-wrap-distance-bottom:3.6pt;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" strokecolor="white [3212]">
            <v:textbox style="mso-fit-shape-to-text:t">
              <w:txbxContent>
                <w:p w:rsidR="00AF0FCC" w:rsidRPr="00D8009A" w:rsidRDefault="00D8009A" w:rsidP="00D8009A">
                  <w:pPr>
                    <w:shd w:val="clear" w:color="auto" w:fill="FFFFFF" w:themeFill="background1"/>
                    <w:jc w:val="center"/>
                    <w:rPr>
                      <w:rFonts w:ascii="Arial" w:hAnsi="Arial" w:cs="Arial"/>
                      <w:color w:val="002060"/>
                      <w:sz w:val="28"/>
                      <w:szCs w:val="28"/>
                    </w:rPr>
                  </w:pPr>
                  <w:r>
                    <w:rPr>
                      <w:rFonts w:ascii="Arial" w:hAnsi="Arial" w:cs="Arial"/>
                      <w:b/>
                      <w:bCs/>
                      <w:color w:val="002060"/>
                      <w:sz w:val="28"/>
                      <w:szCs w:val="28"/>
                    </w:rPr>
                    <w:t>“</w:t>
                  </w:r>
                  <w:r w:rsidR="00AF0FCC" w:rsidRPr="00D8009A">
                    <w:rPr>
                      <w:rFonts w:ascii="Arial" w:hAnsi="Arial" w:cs="Arial"/>
                      <w:b/>
                      <w:bCs/>
                      <w:color w:val="002060"/>
                      <w:sz w:val="28"/>
                      <w:szCs w:val="28"/>
                    </w:rPr>
                    <w:t>Dementia Care and Management: A Professional Information Booklet for Health and Social Care Practitioners in the UK</w:t>
                  </w:r>
                  <w:r>
                    <w:rPr>
                      <w:rFonts w:ascii="Arial" w:hAnsi="Arial" w:cs="Arial"/>
                      <w:b/>
                      <w:bCs/>
                      <w:color w:val="002060"/>
                      <w:sz w:val="28"/>
                      <w:szCs w:val="28"/>
                    </w:rPr>
                    <w:t>”</w:t>
                  </w:r>
                </w:p>
                <w:p w:rsidR="00AF0FCC" w:rsidRDefault="00AF0FCC" w:rsidP="00D8009A">
                  <w:pPr>
                    <w:shd w:val="clear" w:color="auto" w:fill="FFFFFF" w:themeFill="background1"/>
                    <w:jc w:val="center"/>
                  </w:pPr>
                </w:p>
              </w:txbxContent>
            </v:textbox>
            <w10:wrap type="square"/>
          </v:shape>
        </w:pict>
      </w:r>
      <w:r w:rsidR="00D26A22">
        <w:rPr>
          <w:rFonts w:ascii="Arial" w:hAnsi="Arial" w:cs="Arial"/>
          <w:b/>
          <w:bCs/>
          <w:noProof/>
          <w:sz w:val="22"/>
          <w:szCs w:val="22"/>
        </w:rPr>
        <w:drawing>
          <wp:anchor distT="0" distB="0" distL="114300" distR="114300" simplePos="0" relativeHeight="251658240" behindDoc="1" locked="0" layoutInCell="1" allowOverlap="1">
            <wp:simplePos x="0" y="0"/>
            <wp:positionH relativeFrom="column">
              <wp:posOffset>-866275</wp:posOffset>
            </wp:positionH>
            <wp:positionV relativeFrom="paragraph">
              <wp:posOffset>-1051866</wp:posOffset>
            </wp:positionV>
            <wp:extent cx="2899611" cy="13599556"/>
            <wp:effectExtent l="0" t="0" r="0" b="2540"/>
            <wp:wrapNone/>
            <wp:docPr id="1994909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84251" cy="14465541"/>
                    </a:xfrm>
                    <a:prstGeom prst="rect">
                      <a:avLst/>
                    </a:prstGeom>
                    <a:noFill/>
                  </pic:spPr>
                </pic:pic>
              </a:graphicData>
            </a:graphic>
          </wp:anchor>
        </w:drawing>
      </w:r>
    </w:p>
    <w:p w:rsidR="00614DA1" w:rsidRDefault="00614DA1" w:rsidP="00614DA1">
      <w:pPr>
        <w:jc w:val="center"/>
        <w:rPr>
          <w:rFonts w:ascii="Arial" w:hAnsi="Arial" w:cs="Arial"/>
          <w:b/>
          <w:bCs/>
          <w:sz w:val="22"/>
          <w:szCs w:val="22"/>
        </w:rPr>
      </w:pPr>
    </w:p>
    <w:p w:rsidR="00614DA1" w:rsidRPr="00D26A22" w:rsidRDefault="00614DA1" w:rsidP="00614DA1">
      <w:pPr>
        <w:jc w:val="center"/>
        <w:rPr>
          <w:rFonts w:ascii="Arial" w:hAnsi="Arial" w:cs="Arial"/>
          <w:b/>
          <w:bCs/>
          <w:color w:val="FFFFFF" w:themeColor="background1"/>
          <w:sz w:val="22"/>
          <w:szCs w:val="22"/>
        </w:rPr>
      </w:pPr>
    </w:p>
    <w:p w:rsidR="00614DA1" w:rsidRPr="00D26A22" w:rsidRDefault="00614DA1" w:rsidP="00614DA1">
      <w:pPr>
        <w:jc w:val="center"/>
        <w:rPr>
          <w:rFonts w:ascii="Arial" w:hAnsi="Arial" w:cs="Arial"/>
          <w:b/>
          <w:bCs/>
          <w:color w:val="FFFFFF" w:themeColor="background1"/>
          <w:sz w:val="22"/>
          <w:szCs w:val="22"/>
        </w:rPr>
      </w:pPr>
    </w:p>
    <w:tbl>
      <w:tblPr>
        <w:tblStyle w:val="TableGrid"/>
        <w:tblpPr w:leftFromText="180" w:rightFromText="180" w:vertAnchor="page" w:horzAnchor="page" w:tblpX="5243" w:tblpY="3414"/>
        <w:tblW w:w="0" w:type="auto"/>
        <w:tblLook w:val="04A0"/>
      </w:tblPr>
      <w:tblGrid>
        <w:gridCol w:w="2230"/>
        <w:gridCol w:w="4466"/>
      </w:tblGrid>
      <w:tr w:rsidR="00D8009A" w:rsidTr="00D8009A">
        <w:trPr>
          <w:trHeight w:val="499"/>
        </w:trPr>
        <w:tc>
          <w:tcPr>
            <w:tcW w:w="2230"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Student Name</w:t>
            </w:r>
          </w:p>
        </w:tc>
        <w:tc>
          <w:tcPr>
            <w:tcW w:w="4466"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MD AKATARUJJAMAN</w:t>
            </w:r>
          </w:p>
        </w:tc>
      </w:tr>
      <w:tr w:rsidR="00D8009A" w:rsidRPr="00D26A22" w:rsidTr="00D8009A">
        <w:trPr>
          <w:trHeight w:val="538"/>
        </w:trPr>
        <w:tc>
          <w:tcPr>
            <w:tcW w:w="2230"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Student ID Number</w:t>
            </w:r>
          </w:p>
        </w:tc>
        <w:tc>
          <w:tcPr>
            <w:tcW w:w="4466"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2512989</w:t>
            </w:r>
          </w:p>
        </w:tc>
      </w:tr>
      <w:tr w:rsidR="00D8009A" w:rsidRPr="00D26A22" w:rsidTr="00D8009A">
        <w:trPr>
          <w:trHeight w:val="888"/>
        </w:trPr>
        <w:tc>
          <w:tcPr>
            <w:tcW w:w="2230"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Module Title</w:t>
            </w:r>
          </w:p>
        </w:tc>
        <w:tc>
          <w:tcPr>
            <w:tcW w:w="4466"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Community Care and Management of Longer-term Conditions</w:t>
            </w:r>
          </w:p>
        </w:tc>
      </w:tr>
      <w:tr w:rsidR="00D8009A" w:rsidRPr="00D26A22" w:rsidTr="00D8009A">
        <w:trPr>
          <w:trHeight w:val="499"/>
        </w:trPr>
        <w:tc>
          <w:tcPr>
            <w:tcW w:w="2230"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Module Code</w:t>
            </w:r>
          </w:p>
        </w:tc>
        <w:tc>
          <w:tcPr>
            <w:tcW w:w="4466"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LCHS7003</w:t>
            </w:r>
          </w:p>
        </w:tc>
      </w:tr>
      <w:tr w:rsidR="00D8009A" w:rsidRPr="00D26A22" w:rsidTr="00D8009A">
        <w:trPr>
          <w:trHeight w:val="499"/>
        </w:trPr>
        <w:tc>
          <w:tcPr>
            <w:tcW w:w="2230"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Lecturer’s Name</w:t>
            </w:r>
          </w:p>
        </w:tc>
        <w:tc>
          <w:tcPr>
            <w:tcW w:w="4466"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Dr Aishat Bakre</w:t>
            </w:r>
          </w:p>
        </w:tc>
      </w:tr>
      <w:tr w:rsidR="00D8009A" w:rsidRPr="00D26A22" w:rsidTr="00D8009A">
        <w:trPr>
          <w:trHeight w:val="1296"/>
        </w:trPr>
        <w:tc>
          <w:tcPr>
            <w:tcW w:w="2230"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Assignment Title</w:t>
            </w:r>
          </w:p>
        </w:tc>
        <w:tc>
          <w:tcPr>
            <w:tcW w:w="4466" w:type="dxa"/>
          </w:tcPr>
          <w:p w:rsidR="00D8009A" w:rsidRPr="00D26A22" w:rsidRDefault="00D8009A" w:rsidP="00D8009A">
            <w:pPr>
              <w:spacing w:line="360" w:lineRule="auto"/>
              <w:jc w:val="center"/>
              <w:rPr>
                <w:rFonts w:cstheme="minorHAnsi"/>
                <w:b/>
                <w:bCs/>
                <w:color w:val="000000" w:themeColor="text1"/>
              </w:rPr>
            </w:pPr>
            <w:r w:rsidRPr="00D26A22">
              <w:rPr>
                <w:rFonts w:cstheme="minorHAnsi"/>
                <w:b/>
                <w:bCs/>
                <w:color w:val="000000" w:themeColor="text1"/>
              </w:rPr>
              <w:t>Component 1</w:t>
            </w:r>
          </w:p>
          <w:p w:rsidR="00D8009A" w:rsidRPr="00D26A22" w:rsidRDefault="00D8009A" w:rsidP="00D8009A">
            <w:pPr>
              <w:spacing w:line="360" w:lineRule="auto"/>
              <w:jc w:val="center"/>
              <w:rPr>
                <w:rFonts w:cstheme="minorHAnsi"/>
                <w:b/>
                <w:color w:val="000000" w:themeColor="text1"/>
                <w:spacing w:val="10"/>
              </w:rPr>
            </w:pPr>
            <w:r w:rsidRPr="00D26A22">
              <w:rPr>
                <w:rFonts w:cstheme="minorHAnsi"/>
                <w:b/>
                <w:color w:val="000000" w:themeColor="text1"/>
                <w:spacing w:val="10"/>
              </w:rPr>
              <w:t>Information Booklet of Long-term Condition Management</w:t>
            </w:r>
          </w:p>
        </w:tc>
      </w:tr>
      <w:tr w:rsidR="00D8009A" w:rsidRPr="00D26A22" w:rsidTr="00D8009A">
        <w:trPr>
          <w:trHeight w:val="499"/>
        </w:trPr>
        <w:tc>
          <w:tcPr>
            <w:tcW w:w="2230"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Word Count (Actual)</w:t>
            </w:r>
          </w:p>
        </w:tc>
        <w:tc>
          <w:tcPr>
            <w:tcW w:w="4466"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3122</w:t>
            </w:r>
          </w:p>
        </w:tc>
      </w:tr>
      <w:tr w:rsidR="00D8009A" w:rsidRPr="00D26A22" w:rsidTr="00D8009A">
        <w:trPr>
          <w:trHeight w:val="538"/>
        </w:trPr>
        <w:tc>
          <w:tcPr>
            <w:tcW w:w="2230" w:type="dxa"/>
          </w:tcPr>
          <w:p w:rsidR="00D8009A" w:rsidRPr="00D26A22" w:rsidRDefault="00D8009A" w:rsidP="00D8009A">
            <w:pPr>
              <w:spacing w:after="120" w:line="360" w:lineRule="atLeast"/>
              <w:jc w:val="center"/>
              <w:rPr>
                <w:rFonts w:cstheme="minorHAnsi"/>
                <w:b/>
                <w:color w:val="000000" w:themeColor="text1"/>
                <w:spacing w:val="10"/>
              </w:rPr>
            </w:pPr>
            <w:r w:rsidRPr="00D26A22">
              <w:rPr>
                <w:rFonts w:cstheme="minorHAnsi"/>
                <w:b/>
                <w:color w:val="000000" w:themeColor="text1"/>
                <w:spacing w:val="10"/>
              </w:rPr>
              <w:t>Submission Date</w:t>
            </w:r>
          </w:p>
        </w:tc>
        <w:tc>
          <w:tcPr>
            <w:tcW w:w="4466" w:type="dxa"/>
          </w:tcPr>
          <w:p w:rsidR="00D8009A" w:rsidRPr="00D26A22" w:rsidRDefault="00F93027" w:rsidP="00D8009A">
            <w:pPr>
              <w:spacing w:after="120" w:line="360" w:lineRule="atLeast"/>
              <w:jc w:val="center"/>
              <w:rPr>
                <w:rFonts w:cstheme="minorHAnsi"/>
                <w:b/>
                <w:color w:val="000000" w:themeColor="text1"/>
                <w:spacing w:val="10"/>
              </w:rPr>
            </w:pPr>
            <w:r>
              <w:rPr>
                <w:rFonts w:cstheme="minorHAnsi"/>
                <w:b/>
                <w:color w:val="000000" w:themeColor="text1"/>
                <w:spacing w:val="10"/>
              </w:rPr>
              <w:t>22 October2025</w:t>
            </w:r>
          </w:p>
        </w:tc>
      </w:tr>
    </w:tbl>
    <w:p w:rsidR="00614DA1" w:rsidRDefault="00614DA1" w:rsidP="00614DA1">
      <w:pPr>
        <w:jc w:val="center"/>
        <w:rPr>
          <w:rFonts w:ascii="Arial" w:hAnsi="Arial" w:cs="Arial"/>
          <w:b/>
          <w:bCs/>
          <w:sz w:val="22"/>
          <w:szCs w:val="22"/>
        </w:rPr>
      </w:pPr>
    </w:p>
    <w:p w:rsidR="00614DA1" w:rsidRDefault="00614DA1" w:rsidP="00614DA1">
      <w:pPr>
        <w:jc w:val="center"/>
        <w:rPr>
          <w:rFonts w:ascii="Arial" w:hAnsi="Arial" w:cs="Arial"/>
          <w:b/>
          <w:bCs/>
          <w:sz w:val="22"/>
          <w:szCs w:val="22"/>
        </w:rPr>
      </w:pPr>
    </w:p>
    <w:p w:rsidR="00614DA1" w:rsidRPr="00614DA1" w:rsidRDefault="00614DA1" w:rsidP="00CB63C5">
      <w:pPr>
        <w:rPr>
          <w:rFonts w:ascii="Arial" w:hAnsi="Arial" w:cs="Arial"/>
          <w:b/>
          <w:bCs/>
          <w:sz w:val="28"/>
          <w:szCs w:val="28"/>
        </w:rPr>
      </w:pPr>
    </w:p>
    <w:p w:rsidR="00614DA1" w:rsidRPr="00614DA1" w:rsidRDefault="00614DA1" w:rsidP="00614DA1">
      <w:pPr>
        <w:rPr>
          <w:rFonts w:ascii="Arial" w:hAnsi="Arial" w:cs="Arial"/>
          <w:b/>
          <w:bCs/>
          <w:sz w:val="22"/>
          <w:szCs w:val="22"/>
        </w:rPr>
      </w:pPr>
    </w:p>
    <w:p w:rsidR="00614DA1" w:rsidRDefault="00614DA1">
      <w:pPr>
        <w:rPr>
          <w:rFonts w:ascii="Arial" w:hAnsi="Arial" w:cs="Arial"/>
          <w:b/>
          <w:bCs/>
          <w:sz w:val="22"/>
          <w:szCs w:val="22"/>
        </w:rPr>
      </w:pPr>
      <w:r>
        <w:rPr>
          <w:rFonts w:ascii="Arial" w:hAnsi="Arial" w:cs="Arial"/>
          <w:b/>
          <w:bCs/>
          <w:sz w:val="22"/>
          <w:szCs w:val="22"/>
        </w:rPr>
        <w:br w:type="page"/>
      </w:r>
    </w:p>
    <w:p w:rsidR="00C7154A" w:rsidRDefault="00C7154A">
      <w:pPr>
        <w:rPr>
          <w:rFonts w:ascii="Arial" w:hAnsi="Arial" w:cs="Arial"/>
          <w:b/>
          <w:bCs/>
          <w:sz w:val="22"/>
          <w:szCs w:val="22"/>
        </w:rPr>
      </w:pPr>
    </w:p>
    <w:sdt>
      <w:sdtPr>
        <w:rPr>
          <w:rFonts w:asciiTheme="minorHAnsi" w:eastAsiaTheme="minorHAnsi" w:hAnsiTheme="minorHAnsi" w:cstheme="minorBidi"/>
          <w:color w:val="auto"/>
          <w:kern w:val="2"/>
          <w:sz w:val="24"/>
          <w:szCs w:val="24"/>
        </w:rPr>
        <w:id w:val="1747612389"/>
        <w:docPartObj>
          <w:docPartGallery w:val="Table of Contents"/>
          <w:docPartUnique/>
        </w:docPartObj>
      </w:sdtPr>
      <w:sdtEndPr>
        <w:rPr>
          <w:b/>
          <w:bCs/>
          <w:noProof/>
        </w:rPr>
      </w:sdtEndPr>
      <w:sdtContent>
        <w:p w:rsidR="00E31B81" w:rsidRDefault="00E31B81">
          <w:pPr>
            <w:pStyle w:val="TOCHeading"/>
          </w:pPr>
          <w:r>
            <w:t>Table of Contents</w:t>
          </w:r>
        </w:p>
        <w:p w:rsidR="00E31B81" w:rsidRPr="00E31B81" w:rsidRDefault="008F2522">
          <w:pPr>
            <w:pStyle w:val="TOC1"/>
            <w:tabs>
              <w:tab w:val="right" w:leader="dot" w:pos="9350"/>
            </w:tabs>
            <w:rPr>
              <w:rFonts w:ascii="Arial" w:hAnsi="Arial" w:cs="Arial"/>
              <w:noProof/>
              <w:sz w:val="22"/>
              <w:szCs w:val="22"/>
            </w:rPr>
          </w:pPr>
          <w:r w:rsidRPr="00E31B81">
            <w:rPr>
              <w:rFonts w:ascii="Arial" w:hAnsi="Arial" w:cs="Arial"/>
              <w:sz w:val="22"/>
              <w:szCs w:val="22"/>
            </w:rPr>
            <w:fldChar w:fldCharType="begin"/>
          </w:r>
          <w:r w:rsidR="00E31B81" w:rsidRPr="00E31B81">
            <w:rPr>
              <w:rFonts w:ascii="Arial" w:hAnsi="Arial" w:cs="Arial"/>
              <w:sz w:val="22"/>
              <w:szCs w:val="22"/>
            </w:rPr>
            <w:instrText xml:space="preserve"> TOC \o "1-3" \h \z \u </w:instrText>
          </w:r>
          <w:r w:rsidRPr="00E31B81">
            <w:rPr>
              <w:rFonts w:ascii="Arial" w:hAnsi="Arial" w:cs="Arial"/>
              <w:sz w:val="22"/>
              <w:szCs w:val="22"/>
            </w:rPr>
            <w:fldChar w:fldCharType="separate"/>
          </w:r>
          <w:hyperlink w:anchor="_Toc211536055" w:history="1">
            <w:r w:rsidR="00E31B81" w:rsidRPr="00E31B81">
              <w:rPr>
                <w:rStyle w:val="Hyperlink"/>
                <w:rFonts w:ascii="Arial" w:hAnsi="Arial" w:cs="Arial"/>
                <w:noProof/>
                <w:sz w:val="22"/>
                <w:szCs w:val="22"/>
              </w:rPr>
              <w:t>Introduction</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_Toc211536055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3</w:t>
            </w:r>
            <w:r w:rsidRPr="00E31B81">
              <w:rPr>
                <w:rFonts w:ascii="Arial" w:hAnsi="Arial" w:cs="Arial"/>
                <w:noProof/>
                <w:webHidden/>
                <w:sz w:val="22"/>
                <w:szCs w:val="22"/>
              </w:rPr>
              <w:fldChar w:fldCharType="end"/>
            </w:r>
          </w:hyperlink>
        </w:p>
        <w:p w:rsidR="00E31B81" w:rsidRPr="00E31B81" w:rsidRDefault="008F2522">
          <w:pPr>
            <w:pStyle w:val="TOC1"/>
            <w:tabs>
              <w:tab w:val="right" w:leader="dot" w:pos="9350"/>
            </w:tabs>
            <w:rPr>
              <w:rFonts w:ascii="Arial" w:hAnsi="Arial" w:cs="Arial"/>
              <w:noProof/>
              <w:sz w:val="22"/>
              <w:szCs w:val="22"/>
            </w:rPr>
          </w:pPr>
          <w:hyperlink w:anchor="_Toc211536056" w:history="1">
            <w:r w:rsidR="00E31B81" w:rsidRPr="00E31B81">
              <w:rPr>
                <w:rStyle w:val="Hyperlink"/>
                <w:rFonts w:ascii="Arial" w:hAnsi="Arial" w:cs="Arial"/>
                <w:noProof/>
                <w:sz w:val="22"/>
                <w:szCs w:val="22"/>
              </w:rPr>
              <w:t>1. Understanding Dementia: Definition, Prevalence, and Aetiology</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_Toc211536056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3</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57" w:history="1">
            <w:r w:rsidR="00E31B81" w:rsidRPr="00E31B81">
              <w:rPr>
                <w:rStyle w:val="Hyperlink"/>
                <w:rFonts w:ascii="Arial" w:hAnsi="Arial" w:cs="Arial"/>
                <w:noProof/>
                <w:sz w:val="22"/>
                <w:szCs w:val="22"/>
              </w:rPr>
              <w:t>1.1 Definition and Types</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_Toc211536057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3</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58" w:history="1">
            <w:r w:rsidR="00E31B81" w:rsidRPr="00E31B81">
              <w:rPr>
                <w:rStyle w:val="Hyperlink"/>
                <w:rFonts w:ascii="Arial" w:hAnsi="Arial" w:cs="Arial"/>
                <w:noProof/>
                <w:sz w:val="22"/>
                <w:szCs w:val="22"/>
              </w:rPr>
              <w:t>1.2 Prevalence and Demographics</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_Toc211536058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4</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59" w:history="1">
            <w:r w:rsidR="00E31B81" w:rsidRPr="00E31B81">
              <w:rPr>
                <w:rStyle w:val="Hyperlink"/>
                <w:rFonts w:ascii="Arial" w:hAnsi="Arial" w:cs="Arial"/>
                <w:noProof/>
                <w:sz w:val="22"/>
                <w:szCs w:val="22"/>
              </w:rPr>
              <w:t>1.3 Aetiology and Risk Factors</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_Toc211536059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4</w:t>
            </w:r>
            <w:r w:rsidRPr="00E31B81">
              <w:rPr>
                <w:rFonts w:ascii="Arial" w:hAnsi="Arial" w:cs="Arial"/>
                <w:noProof/>
                <w:webHidden/>
                <w:sz w:val="22"/>
                <w:szCs w:val="22"/>
              </w:rPr>
              <w:fldChar w:fldCharType="end"/>
            </w:r>
          </w:hyperlink>
        </w:p>
        <w:p w:rsidR="00E31B81" w:rsidRPr="00E31B81" w:rsidRDefault="008F2522">
          <w:pPr>
            <w:pStyle w:val="TOC1"/>
            <w:tabs>
              <w:tab w:val="right" w:leader="dot" w:pos="9350"/>
            </w:tabs>
            <w:rPr>
              <w:rFonts w:ascii="Arial" w:hAnsi="Arial" w:cs="Arial"/>
              <w:noProof/>
              <w:sz w:val="22"/>
              <w:szCs w:val="22"/>
            </w:rPr>
          </w:pPr>
          <w:hyperlink w:anchor="_Toc211536060" w:history="1">
            <w:r w:rsidR="00E31B81" w:rsidRPr="00E31B81">
              <w:rPr>
                <w:rStyle w:val="Hyperlink"/>
                <w:rFonts w:ascii="Arial" w:hAnsi="Arial" w:cs="Arial"/>
                <w:noProof/>
                <w:sz w:val="22"/>
                <w:szCs w:val="22"/>
              </w:rPr>
              <w:t>2. Impact of Dementia</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_Toc211536060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6</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61" w:history="1">
            <w:r w:rsidR="00E31B81" w:rsidRPr="00E31B81">
              <w:rPr>
                <w:rStyle w:val="Hyperlink"/>
                <w:rFonts w:ascii="Arial" w:hAnsi="Arial" w:cs="Arial"/>
                <w:noProof/>
                <w:sz w:val="22"/>
                <w:szCs w:val="22"/>
              </w:rPr>
              <w:t>2.1 Physical and Cognitive Impact</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_Toc211536061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6</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62" w:history="1">
            <w:r w:rsidR="00E31B81" w:rsidRPr="00E31B81">
              <w:rPr>
                <w:rStyle w:val="Hyperlink"/>
                <w:rFonts w:ascii="Arial" w:hAnsi="Arial" w:cs="Arial"/>
                <w:noProof/>
                <w:sz w:val="22"/>
                <w:szCs w:val="22"/>
              </w:rPr>
              <w:t>2.2 Psychological and Emotional Impact</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_Toc211536062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6</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63" w:history="1">
            <w:r w:rsidR="00E31B81" w:rsidRPr="00E31B81">
              <w:rPr>
                <w:rStyle w:val="Hyperlink"/>
                <w:rFonts w:ascii="Arial" w:hAnsi="Arial" w:cs="Arial"/>
                <w:noProof/>
                <w:sz w:val="22"/>
                <w:szCs w:val="22"/>
              </w:rPr>
              <w:t>2.3 Social and Economic Impact</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_Toc211536063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7</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64" w:history="1">
            <w:r w:rsidR="00E31B81" w:rsidRPr="00E31B81">
              <w:rPr>
                <w:rStyle w:val="Hyperlink"/>
                <w:rFonts w:ascii="Arial" w:hAnsi="Arial" w:cs="Arial"/>
                <w:noProof/>
                <w:sz w:val="22"/>
                <w:szCs w:val="22"/>
              </w:rPr>
              <w:t>2.4 Public Health and Societal Implications</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_Toc211536064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7</w:t>
            </w:r>
            <w:r w:rsidRPr="00E31B81">
              <w:rPr>
                <w:rFonts w:ascii="Arial" w:hAnsi="Arial" w:cs="Arial"/>
                <w:noProof/>
                <w:webHidden/>
                <w:sz w:val="22"/>
                <w:szCs w:val="22"/>
              </w:rPr>
              <w:fldChar w:fldCharType="end"/>
            </w:r>
          </w:hyperlink>
        </w:p>
        <w:p w:rsidR="00E31B81" w:rsidRPr="00E31B81" w:rsidRDefault="008F2522">
          <w:pPr>
            <w:pStyle w:val="TOC1"/>
            <w:tabs>
              <w:tab w:val="right" w:leader="dot" w:pos="9350"/>
            </w:tabs>
            <w:rPr>
              <w:rFonts w:ascii="Arial" w:hAnsi="Arial" w:cs="Arial"/>
              <w:noProof/>
              <w:sz w:val="22"/>
              <w:szCs w:val="22"/>
            </w:rPr>
          </w:pPr>
          <w:hyperlink w:anchor="_Toc211536065" w:history="1">
            <w:r w:rsidR="00E31B81" w:rsidRPr="00E31B81">
              <w:rPr>
                <w:rStyle w:val="Hyperlink"/>
                <w:rFonts w:ascii="Arial" w:hAnsi="Arial" w:cs="Arial"/>
                <w:noProof/>
                <w:sz w:val="22"/>
                <w:szCs w:val="22"/>
              </w:rPr>
              <w:t>3. Evidence-Based Management of Dementia in the UK</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_Toc211536065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7</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66" w:history="1">
            <w:r w:rsidR="00E31B81" w:rsidRPr="00E31B81">
              <w:rPr>
                <w:rStyle w:val="Hyperlink"/>
                <w:rFonts w:ascii="Arial" w:hAnsi="Arial" w:cs="Arial"/>
                <w:noProof/>
                <w:sz w:val="22"/>
                <w:szCs w:val="22"/>
              </w:rPr>
              <w:t>3.1 Pharmacological Management</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_Toc211536066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8</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67" w:history="1">
            <w:r w:rsidR="00E31B81" w:rsidRPr="00E31B81">
              <w:rPr>
                <w:rStyle w:val="Hyperlink"/>
                <w:rFonts w:ascii="Arial" w:hAnsi="Arial" w:cs="Arial"/>
                <w:noProof/>
                <w:sz w:val="22"/>
                <w:szCs w:val="22"/>
              </w:rPr>
              <w:t>3.2 Non-Pharmacological and Psychosocial interventions</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_Toc211536067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8</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68" w:history="1">
            <w:r w:rsidR="00E31B81" w:rsidRPr="00E31B81">
              <w:rPr>
                <w:rStyle w:val="Hyperlink"/>
                <w:rFonts w:ascii="Arial" w:hAnsi="Arial" w:cs="Arial"/>
                <w:noProof/>
                <w:sz w:val="22"/>
                <w:szCs w:val="22"/>
              </w:rPr>
              <w:t>3.3 Community-Based and Integrated Care</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_Toc211536068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8</w:t>
            </w:r>
            <w:r w:rsidRPr="00E31B81">
              <w:rPr>
                <w:rFonts w:ascii="Arial" w:hAnsi="Arial" w:cs="Arial"/>
                <w:noProof/>
                <w:webHidden/>
                <w:sz w:val="22"/>
                <w:szCs w:val="22"/>
              </w:rPr>
              <w:fldChar w:fldCharType="end"/>
            </w:r>
          </w:hyperlink>
        </w:p>
        <w:p w:rsidR="00E31B81" w:rsidRPr="00E31B81" w:rsidRDefault="008F2522">
          <w:pPr>
            <w:pStyle w:val="TOC1"/>
            <w:tabs>
              <w:tab w:val="right" w:leader="dot" w:pos="9350"/>
            </w:tabs>
            <w:rPr>
              <w:rFonts w:ascii="Arial" w:hAnsi="Arial" w:cs="Arial"/>
              <w:noProof/>
              <w:sz w:val="22"/>
              <w:szCs w:val="22"/>
            </w:rPr>
          </w:pPr>
          <w:hyperlink w:anchor="_Toc211536069" w:history="1">
            <w:r w:rsidR="00E31B81" w:rsidRPr="00E31B81">
              <w:rPr>
                <w:rStyle w:val="Hyperlink"/>
                <w:rFonts w:ascii="Arial" w:hAnsi="Arial" w:cs="Arial"/>
                <w:noProof/>
                <w:sz w:val="22"/>
                <w:szCs w:val="22"/>
              </w:rPr>
              <w:t>4. Theoretical Models and Frameworks</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_Toc211536069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9</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70" w:history="1">
            <w:r w:rsidR="00E31B81" w:rsidRPr="00E31B81">
              <w:rPr>
                <w:rStyle w:val="Hyperlink"/>
                <w:rFonts w:ascii="Arial" w:hAnsi="Arial" w:cs="Arial"/>
                <w:noProof/>
                <w:sz w:val="22"/>
                <w:szCs w:val="22"/>
              </w:rPr>
              <w:t>4.1 Person-centered Care (UK) Kitwood Model</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_Toc211536070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9</w:t>
            </w:r>
            <w:r w:rsidRPr="00E31B81">
              <w:rPr>
                <w:rFonts w:ascii="Arial" w:hAnsi="Arial" w:cs="Arial"/>
                <w:noProof/>
                <w:webHidden/>
                <w:sz w:val="22"/>
                <w:szCs w:val="22"/>
              </w:rPr>
              <w:fldChar w:fldCharType="end"/>
            </w:r>
          </w:hyperlink>
        </w:p>
        <w:p w:rsidR="00E31B81" w:rsidRPr="00E31B81" w:rsidRDefault="008F2522">
          <w:pPr>
            <w:pStyle w:val="TOC2"/>
            <w:tabs>
              <w:tab w:val="right" w:leader="dot" w:pos="9350"/>
            </w:tabs>
            <w:rPr>
              <w:rFonts w:ascii="Arial" w:hAnsi="Arial" w:cs="Arial"/>
              <w:noProof/>
              <w:sz w:val="22"/>
              <w:szCs w:val="22"/>
            </w:rPr>
          </w:pPr>
          <w:hyperlink w:anchor="_Toc211536071" w:history="1">
            <w:r w:rsidR="00E31B81" w:rsidRPr="00E31B81">
              <w:rPr>
                <w:rStyle w:val="Hyperlink"/>
                <w:rFonts w:ascii="Arial" w:hAnsi="Arial" w:cs="Arial"/>
                <w:noProof/>
                <w:sz w:val="22"/>
                <w:szCs w:val="22"/>
              </w:rPr>
              <w:t>4.2 WHO Framework of Integrated Care of Older People (ICOPE)</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_Toc211536071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10</w:t>
            </w:r>
            <w:r w:rsidRPr="00E31B81">
              <w:rPr>
                <w:rFonts w:ascii="Arial" w:hAnsi="Arial" w:cs="Arial"/>
                <w:noProof/>
                <w:webHidden/>
                <w:sz w:val="22"/>
                <w:szCs w:val="22"/>
              </w:rPr>
              <w:fldChar w:fldCharType="end"/>
            </w:r>
          </w:hyperlink>
        </w:p>
        <w:p w:rsidR="00E31B81" w:rsidRPr="00E31B81" w:rsidRDefault="008F2522">
          <w:pPr>
            <w:pStyle w:val="TOC1"/>
            <w:tabs>
              <w:tab w:val="right" w:leader="dot" w:pos="9350"/>
            </w:tabs>
            <w:rPr>
              <w:rFonts w:ascii="Arial" w:hAnsi="Arial" w:cs="Arial"/>
              <w:noProof/>
              <w:sz w:val="22"/>
              <w:szCs w:val="22"/>
            </w:rPr>
          </w:pPr>
          <w:hyperlink w:anchor="_Toc211536072" w:history="1">
            <w:r w:rsidR="00E31B81" w:rsidRPr="00E31B81">
              <w:rPr>
                <w:rStyle w:val="Hyperlink"/>
                <w:rFonts w:ascii="Arial" w:hAnsi="Arial" w:cs="Arial"/>
                <w:noProof/>
                <w:sz w:val="22"/>
                <w:szCs w:val="22"/>
              </w:rPr>
              <w:t>5. Policy and Political Context</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_Toc211536072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10</w:t>
            </w:r>
            <w:r w:rsidRPr="00E31B81">
              <w:rPr>
                <w:rFonts w:ascii="Arial" w:hAnsi="Arial" w:cs="Arial"/>
                <w:noProof/>
                <w:webHidden/>
                <w:sz w:val="22"/>
                <w:szCs w:val="22"/>
              </w:rPr>
              <w:fldChar w:fldCharType="end"/>
            </w:r>
          </w:hyperlink>
        </w:p>
        <w:p w:rsidR="00E31B81" w:rsidRPr="00E31B81" w:rsidRDefault="008F2522">
          <w:pPr>
            <w:pStyle w:val="TOC1"/>
            <w:tabs>
              <w:tab w:val="right" w:leader="dot" w:pos="9350"/>
            </w:tabs>
            <w:rPr>
              <w:rFonts w:ascii="Arial" w:hAnsi="Arial" w:cs="Arial"/>
              <w:noProof/>
              <w:sz w:val="22"/>
              <w:szCs w:val="22"/>
            </w:rPr>
          </w:pPr>
          <w:hyperlink w:anchor="_Toc211536073" w:history="1">
            <w:r w:rsidR="00E31B81" w:rsidRPr="00E31B81">
              <w:rPr>
                <w:rStyle w:val="Hyperlink"/>
                <w:rFonts w:ascii="Arial" w:hAnsi="Arial" w:cs="Arial"/>
                <w:noProof/>
                <w:sz w:val="22"/>
                <w:szCs w:val="22"/>
              </w:rPr>
              <w:t>6. Recommendations for Improvement</w:t>
            </w:r>
            <w:r w:rsidR="00E31B81" w:rsidRPr="00E31B81">
              <w:rPr>
                <w:rFonts w:ascii="Arial" w:hAnsi="Arial" w:cs="Arial"/>
                <w:noProof/>
                <w:webHidden/>
                <w:sz w:val="22"/>
                <w:szCs w:val="22"/>
              </w:rPr>
              <w:tab/>
            </w:r>
            <w:r w:rsidRPr="00E31B81">
              <w:rPr>
                <w:rFonts w:ascii="Arial" w:hAnsi="Arial" w:cs="Arial"/>
                <w:noProof/>
                <w:webHidden/>
                <w:sz w:val="22"/>
                <w:szCs w:val="22"/>
              </w:rPr>
              <w:fldChar w:fldCharType="begin"/>
            </w:r>
            <w:r w:rsidR="00E31B81" w:rsidRPr="00E31B81">
              <w:rPr>
                <w:rFonts w:ascii="Arial" w:hAnsi="Arial" w:cs="Arial"/>
                <w:noProof/>
                <w:webHidden/>
                <w:sz w:val="22"/>
                <w:szCs w:val="22"/>
              </w:rPr>
              <w:instrText xml:space="preserve"> PAGEREF _Toc211536073 \h </w:instrText>
            </w:r>
            <w:r w:rsidRPr="00E31B81">
              <w:rPr>
                <w:rFonts w:ascii="Arial" w:hAnsi="Arial" w:cs="Arial"/>
                <w:noProof/>
                <w:webHidden/>
                <w:sz w:val="22"/>
                <w:szCs w:val="22"/>
              </w:rPr>
            </w:r>
            <w:r w:rsidRPr="00E31B81">
              <w:rPr>
                <w:rFonts w:ascii="Arial" w:hAnsi="Arial" w:cs="Arial"/>
                <w:noProof/>
                <w:webHidden/>
                <w:sz w:val="22"/>
                <w:szCs w:val="22"/>
              </w:rPr>
              <w:fldChar w:fldCharType="separate"/>
            </w:r>
            <w:r w:rsidR="00E31B81" w:rsidRPr="00E31B81">
              <w:rPr>
                <w:rFonts w:ascii="Arial" w:hAnsi="Arial" w:cs="Arial"/>
                <w:noProof/>
                <w:webHidden/>
                <w:sz w:val="22"/>
                <w:szCs w:val="22"/>
              </w:rPr>
              <w:t>11</w:t>
            </w:r>
            <w:r w:rsidRPr="00E31B81">
              <w:rPr>
                <w:rFonts w:ascii="Arial" w:hAnsi="Arial" w:cs="Arial"/>
                <w:noProof/>
                <w:webHidden/>
                <w:sz w:val="22"/>
                <w:szCs w:val="22"/>
              </w:rPr>
              <w:fldChar w:fldCharType="end"/>
            </w:r>
          </w:hyperlink>
        </w:p>
        <w:p w:rsidR="00E31B81" w:rsidRDefault="008F2522">
          <w:r w:rsidRPr="00E31B81">
            <w:rPr>
              <w:rFonts w:ascii="Arial" w:hAnsi="Arial" w:cs="Arial"/>
              <w:noProof/>
              <w:sz w:val="22"/>
              <w:szCs w:val="22"/>
            </w:rPr>
            <w:fldChar w:fldCharType="end"/>
          </w:r>
        </w:p>
      </w:sdtContent>
    </w:sdt>
    <w:p w:rsidR="00C7154A" w:rsidRDefault="00C7154A" w:rsidP="00EC273C">
      <w:pPr>
        <w:spacing w:line="360" w:lineRule="auto"/>
        <w:jc w:val="both"/>
        <w:rPr>
          <w:rFonts w:ascii="Arial" w:hAnsi="Arial" w:cs="Arial"/>
          <w:b/>
          <w:bCs/>
          <w:sz w:val="22"/>
          <w:szCs w:val="22"/>
        </w:rPr>
      </w:pPr>
    </w:p>
    <w:p w:rsidR="001238F4" w:rsidRPr="001238F4" w:rsidRDefault="00C7154A" w:rsidP="001238F4">
      <w:pPr>
        <w:rPr>
          <w:rFonts w:ascii="Arial" w:hAnsi="Arial" w:cs="Arial"/>
          <w:b/>
          <w:bCs/>
          <w:sz w:val="22"/>
          <w:szCs w:val="22"/>
        </w:rPr>
      </w:pPr>
      <w:r>
        <w:rPr>
          <w:rFonts w:ascii="Arial" w:hAnsi="Arial" w:cs="Arial"/>
          <w:b/>
          <w:bCs/>
          <w:sz w:val="22"/>
          <w:szCs w:val="22"/>
        </w:rPr>
        <w:br w:type="page"/>
      </w:r>
      <w:bookmarkStart w:id="0" w:name="_Toc211536055"/>
    </w:p>
    <w:p w:rsidR="00EC273C" w:rsidRPr="00C7154A" w:rsidRDefault="00EC273C" w:rsidP="00C7154A">
      <w:pPr>
        <w:pStyle w:val="Heading1"/>
        <w:numPr>
          <w:ilvl w:val="0"/>
          <w:numId w:val="0"/>
        </w:numPr>
        <w:rPr>
          <w:rFonts w:ascii="Arial" w:hAnsi="Arial" w:cs="Arial"/>
          <w:b/>
          <w:bCs/>
          <w:color w:val="000000" w:themeColor="text1"/>
          <w:sz w:val="32"/>
          <w:szCs w:val="32"/>
        </w:rPr>
      </w:pPr>
      <w:r w:rsidRPr="00C7154A">
        <w:rPr>
          <w:rFonts w:ascii="Arial" w:hAnsi="Arial" w:cs="Arial"/>
          <w:b/>
          <w:bCs/>
          <w:color w:val="000000" w:themeColor="text1"/>
          <w:sz w:val="32"/>
          <w:szCs w:val="32"/>
        </w:rPr>
        <w:lastRenderedPageBreak/>
        <w:t>Introduction</w:t>
      </w:r>
      <w:bookmarkEnd w:id="0"/>
    </w:p>
    <w:p w:rsidR="00C7154A" w:rsidRDefault="00BB1F2F" w:rsidP="00C7154A">
      <w:pPr>
        <w:spacing w:line="360" w:lineRule="auto"/>
        <w:jc w:val="both"/>
        <w:rPr>
          <w:rFonts w:ascii="Arial" w:hAnsi="Arial" w:cs="Arial"/>
          <w:sz w:val="22"/>
          <w:szCs w:val="22"/>
        </w:rPr>
      </w:pPr>
      <w:r w:rsidRPr="00C7154A">
        <w:rPr>
          <w:rFonts w:ascii="Arial" w:hAnsi="Arial" w:cs="Arial"/>
          <w:sz w:val="22"/>
          <w:szCs w:val="22"/>
        </w:rPr>
        <w:t xml:space="preserve">Dementia is a progressive neurological disorder which impairs the memory, cognition, communication and daily activity. It is not a disease but a general name encompassing a variety of diseases, including Alzheimer, vascular, dementia with Lewy bodies, and frontotemporal dementia (Alzheimer Society, 2024a). It was estimated that approximately 57 million individuals were living with dementia in 2021 across the globe and almost 10 million new cases are reported annually (World Health Organization [WHO], 2023). In the UK, it is estimated that there are already 982,000 individuals living with dementia and that this will increase to 1.4 million by 2040 as a result of ageing in the population (Alzheimer's Society, 2024b). </w:t>
      </w:r>
    </w:p>
    <w:p w:rsidR="00BB1F2F" w:rsidRPr="00C7154A" w:rsidRDefault="00BB1F2F" w:rsidP="00C7154A">
      <w:pPr>
        <w:spacing w:line="360" w:lineRule="auto"/>
        <w:jc w:val="both"/>
        <w:rPr>
          <w:rFonts w:ascii="Arial" w:hAnsi="Arial" w:cs="Arial"/>
          <w:sz w:val="22"/>
          <w:szCs w:val="22"/>
        </w:rPr>
      </w:pPr>
      <w:r w:rsidRPr="00C7154A">
        <w:rPr>
          <w:rFonts w:ascii="Arial" w:hAnsi="Arial" w:cs="Arial"/>
          <w:sz w:val="22"/>
          <w:szCs w:val="22"/>
        </w:rPr>
        <w:t>Dementia is one of the key challenges to the general public health with significant consequences to individuals, family, and health and social care systems. It is a cause of disability and dependency that is among the top in older adults, and the financial burden in the UK was estimated to be PS42 billion in 2024, which is projected to grow to PS90 billion in 2040 (Alzheimer's Society, 2024c). Besides the financial impact, dementia is a major source of emotional pressure to informal carers, which in most cases results in physical and mental health decline (Carers UK, 2023). The purpose of this booklet is to offer an evidence-based perspective of dementia, such as definition, prevalence, causes, effects, and management strategies. It also examines theoretical care concepts, policy frameworks and suggestions to enhance person-oriented and integrated care of dementia in the UK setting.</w:t>
      </w:r>
    </w:p>
    <w:p w:rsidR="00FD5752" w:rsidRPr="00C7154A" w:rsidRDefault="00FD5752" w:rsidP="00C7154A">
      <w:pPr>
        <w:pStyle w:val="Heading1"/>
        <w:rPr>
          <w:rFonts w:ascii="Arial" w:hAnsi="Arial" w:cs="Arial"/>
          <w:b/>
          <w:bCs/>
          <w:color w:val="000000" w:themeColor="text1"/>
        </w:rPr>
      </w:pPr>
      <w:bookmarkStart w:id="1" w:name="_Toc211536056"/>
      <w:r w:rsidRPr="00C7154A">
        <w:rPr>
          <w:rFonts w:ascii="Arial" w:hAnsi="Arial" w:cs="Arial"/>
          <w:b/>
          <w:bCs/>
          <w:color w:val="000000" w:themeColor="text1"/>
          <w:sz w:val="32"/>
          <w:szCs w:val="32"/>
        </w:rPr>
        <w:t>Understanding Dementia: Definition, Prevalence, and Aetiology</w:t>
      </w:r>
      <w:bookmarkEnd w:id="1"/>
    </w:p>
    <w:p w:rsidR="00FD5752" w:rsidRPr="00C7154A" w:rsidRDefault="00FD5752" w:rsidP="00C7154A">
      <w:pPr>
        <w:spacing w:line="360" w:lineRule="auto"/>
        <w:jc w:val="both"/>
        <w:rPr>
          <w:rFonts w:ascii="Arial" w:hAnsi="Arial" w:cs="Arial"/>
          <w:sz w:val="22"/>
          <w:szCs w:val="22"/>
        </w:rPr>
      </w:pPr>
      <w:r w:rsidRPr="00C7154A">
        <w:rPr>
          <w:rFonts w:ascii="Arial" w:hAnsi="Arial" w:cs="Arial"/>
          <w:sz w:val="22"/>
          <w:szCs w:val="22"/>
        </w:rPr>
        <w:t xml:space="preserve">Dementia is a collective term describing a range of progressive neurological conditions that affect cognitive functioning, </w:t>
      </w:r>
      <w:r w:rsidR="00E31B81" w:rsidRPr="00C7154A">
        <w:rPr>
          <w:rFonts w:ascii="Arial" w:hAnsi="Arial" w:cs="Arial"/>
          <w:sz w:val="22"/>
          <w:szCs w:val="22"/>
        </w:rPr>
        <w:t>behavior</w:t>
      </w:r>
      <w:r w:rsidRPr="00C7154A">
        <w:rPr>
          <w:rFonts w:ascii="Arial" w:hAnsi="Arial" w:cs="Arial"/>
          <w:sz w:val="22"/>
          <w:szCs w:val="22"/>
        </w:rPr>
        <w:t xml:space="preserve">, and the ability to perform everyday tasks. </w:t>
      </w:r>
    </w:p>
    <w:p w:rsidR="00FD5752" w:rsidRPr="00C7154A" w:rsidRDefault="00FD5752" w:rsidP="00C7154A">
      <w:pPr>
        <w:pStyle w:val="Heading2"/>
        <w:rPr>
          <w:rFonts w:ascii="Arial" w:hAnsi="Arial" w:cs="Arial"/>
          <w:b/>
          <w:bCs/>
          <w:color w:val="000000" w:themeColor="text1"/>
          <w:sz w:val="28"/>
          <w:szCs w:val="28"/>
        </w:rPr>
      </w:pPr>
      <w:bookmarkStart w:id="2" w:name="_Toc211536057"/>
      <w:r w:rsidRPr="00C7154A">
        <w:rPr>
          <w:rFonts w:ascii="Arial" w:hAnsi="Arial" w:cs="Arial"/>
          <w:b/>
          <w:bCs/>
          <w:color w:val="000000" w:themeColor="text1"/>
          <w:sz w:val="28"/>
          <w:szCs w:val="28"/>
        </w:rPr>
        <w:t>Definition and Types</w:t>
      </w:r>
      <w:bookmarkEnd w:id="2"/>
    </w:p>
    <w:p w:rsidR="00FD5752" w:rsidRPr="00C7154A" w:rsidRDefault="00FD5752" w:rsidP="00C7154A">
      <w:pPr>
        <w:spacing w:line="360" w:lineRule="auto"/>
        <w:jc w:val="both"/>
        <w:rPr>
          <w:rFonts w:ascii="Arial" w:hAnsi="Arial" w:cs="Arial"/>
          <w:sz w:val="22"/>
          <w:szCs w:val="22"/>
        </w:rPr>
      </w:pPr>
      <w:r w:rsidRPr="00C7154A">
        <w:rPr>
          <w:rFonts w:ascii="Arial" w:hAnsi="Arial" w:cs="Arial"/>
          <w:sz w:val="22"/>
          <w:szCs w:val="22"/>
        </w:rPr>
        <w:t xml:space="preserve">The </w:t>
      </w:r>
      <w:r w:rsidRPr="00C7154A">
        <w:rPr>
          <w:rFonts w:ascii="Arial" w:hAnsi="Arial" w:cs="Arial"/>
          <w:b/>
          <w:bCs/>
          <w:sz w:val="22"/>
          <w:szCs w:val="22"/>
        </w:rPr>
        <w:t>National Institute for Health and Care Excellence (NICE, 2018)</w:t>
      </w:r>
      <w:r w:rsidRPr="00C7154A">
        <w:rPr>
          <w:rFonts w:ascii="Arial" w:hAnsi="Arial" w:cs="Arial"/>
          <w:sz w:val="22"/>
          <w:szCs w:val="22"/>
        </w:rPr>
        <w:t xml:space="preserve"> defines dementia as a syndrome resulting from different brain disorders that cause progressive cognitive decline. The four most common subtypes are:</w:t>
      </w:r>
    </w:p>
    <w:p w:rsidR="00FD5752" w:rsidRPr="00C7154A" w:rsidRDefault="00FD5752" w:rsidP="00C7154A">
      <w:pPr>
        <w:numPr>
          <w:ilvl w:val="0"/>
          <w:numId w:val="1"/>
        </w:numPr>
        <w:spacing w:line="360" w:lineRule="auto"/>
        <w:jc w:val="both"/>
        <w:rPr>
          <w:rFonts w:ascii="Arial" w:hAnsi="Arial" w:cs="Arial"/>
          <w:sz w:val="22"/>
          <w:szCs w:val="22"/>
        </w:rPr>
      </w:pPr>
      <w:r w:rsidRPr="00C7154A">
        <w:rPr>
          <w:rFonts w:ascii="Arial" w:hAnsi="Arial" w:cs="Arial"/>
          <w:b/>
          <w:bCs/>
          <w:sz w:val="22"/>
          <w:szCs w:val="22"/>
        </w:rPr>
        <w:t xml:space="preserve">Alzheimer’s </w:t>
      </w:r>
      <w:r w:rsidR="00C7154A" w:rsidRPr="00C7154A">
        <w:rPr>
          <w:rFonts w:ascii="Arial" w:hAnsi="Arial" w:cs="Arial"/>
          <w:b/>
          <w:bCs/>
          <w:sz w:val="22"/>
          <w:szCs w:val="22"/>
        </w:rPr>
        <w:t>disease</w:t>
      </w:r>
      <w:r w:rsidR="00C7154A">
        <w:rPr>
          <w:rFonts w:ascii="Arial" w:hAnsi="Arial" w:cs="Arial"/>
          <w:sz w:val="22"/>
          <w:szCs w:val="22"/>
        </w:rPr>
        <w:t>s: T</w:t>
      </w:r>
      <w:r w:rsidRPr="00C7154A">
        <w:rPr>
          <w:rFonts w:ascii="Arial" w:hAnsi="Arial" w:cs="Arial"/>
          <w:sz w:val="22"/>
          <w:szCs w:val="22"/>
        </w:rPr>
        <w:t>he most prevalent form, accounting for around 60–70% of cases, caused by abnormal accumulation of beta-amyloid plaques and tau tangles leading to neuronal death (Alzheimer’s Research UK, 2024).</w:t>
      </w:r>
    </w:p>
    <w:p w:rsidR="00FD5752" w:rsidRPr="00C7154A" w:rsidRDefault="00FD5752" w:rsidP="00C7154A">
      <w:pPr>
        <w:numPr>
          <w:ilvl w:val="0"/>
          <w:numId w:val="1"/>
        </w:numPr>
        <w:spacing w:line="360" w:lineRule="auto"/>
        <w:jc w:val="both"/>
        <w:rPr>
          <w:rFonts w:ascii="Arial" w:hAnsi="Arial" w:cs="Arial"/>
          <w:sz w:val="22"/>
          <w:szCs w:val="22"/>
        </w:rPr>
      </w:pPr>
      <w:r w:rsidRPr="00C7154A">
        <w:rPr>
          <w:rFonts w:ascii="Arial" w:hAnsi="Arial" w:cs="Arial"/>
          <w:b/>
          <w:bCs/>
          <w:sz w:val="22"/>
          <w:szCs w:val="22"/>
        </w:rPr>
        <w:lastRenderedPageBreak/>
        <w:t xml:space="preserve">Vascular </w:t>
      </w:r>
      <w:r w:rsidR="00C7154A" w:rsidRPr="00C7154A">
        <w:rPr>
          <w:rFonts w:ascii="Arial" w:hAnsi="Arial" w:cs="Arial"/>
          <w:b/>
          <w:bCs/>
          <w:sz w:val="22"/>
          <w:szCs w:val="22"/>
        </w:rPr>
        <w:t>dementia</w:t>
      </w:r>
      <w:r w:rsidR="00C7154A">
        <w:rPr>
          <w:rFonts w:ascii="Arial" w:hAnsi="Arial" w:cs="Arial"/>
          <w:sz w:val="22"/>
          <w:szCs w:val="22"/>
        </w:rPr>
        <w:t>: T</w:t>
      </w:r>
      <w:r w:rsidRPr="00C7154A">
        <w:rPr>
          <w:rFonts w:ascii="Arial" w:hAnsi="Arial" w:cs="Arial"/>
          <w:sz w:val="22"/>
          <w:szCs w:val="22"/>
        </w:rPr>
        <w:t>he second most common form, resulting from reduced blood flow to the brain, often after strokes or due to chronic vascular damage.</w:t>
      </w:r>
    </w:p>
    <w:p w:rsidR="00FD5752" w:rsidRPr="00C7154A" w:rsidRDefault="00FD5752" w:rsidP="00C7154A">
      <w:pPr>
        <w:numPr>
          <w:ilvl w:val="0"/>
          <w:numId w:val="1"/>
        </w:numPr>
        <w:spacing w:line="360" w:lineRule="auto"/>
        <w:jc w:val="both"/>
        <w:rPr>
          <w:rFonts w:ascii="Arial" w:hAnsi="Arial" w:cs="Arial"/>
          <w:sz w:val="22"/>
          <w:szCs w:val="22"/>
        </w:rPr>
      </w:pPr>
      <w:r w:rsidRPr="00C7154A">
        <w:rPr>
          <w:rFonts w:ascii="Arial" w:hAnsi="Arial" w:cs="Arial"/>
          <w:b/>
          <w:bCs/>
          <w:sz w:val="22"/>
          <w:szCs w:val="22"/>
        </w:rPr>
        <w:t>Dementia with Lewy bodies (DLB)</w:t>
      </w:r>
      <w:r w:rsidR="00C7154A">
        <w:rPr>
          <w:rFonts w:ascii="Arial" w:hAnsi="Arial" w:cs="Arial"/>
          <w:sz w:val="22"/>
          <w:szCs w:val="22"/>
        </w:rPr>
        <w:t>:C</w:t>
      </w:r>
      <w:r w:rsidRPr="00C7154A">
        <w:rPr>
          <w:rFonts w:ascii="Arial" w:hAnsi="Arial" w:cs="Arial"/>
          <w:sz w:val="22"/>
          <w:szCs w:val="22"/>
        </w:rPr>
        <w:t>aused by protein deposits (alpha-synuclein) that disrupt brain cell communication, typically presenting with fluctuating cognition and visual hallucinations.</w:t>
      </w:r>
    </w:p>
    <w:p w:rsidR="00FD5752" w:rsidRPr="00C7154A" w:rsidRDefault="00FD5752" w:rsidP="00C7154A">
      <w:pPr>
        <w:numPr>
          <w:ilvl w:val="0"/>
          <w:numId w:val="1"/>
        </w:numPr>
        <w:spacing w:line="360" w:lineRule="auto"/>
        <w:jc w:val="both"/>
        <w:rPr>
          <w:rFonts w:ascii="Arial" w:hAnsi="Arial" w:cs="Arial"/>
          <w:sz w:val="22"/>
          <w:szCs w:val="22"/>
        </w:rPr>
      </w:pPr>
      <w:r w:rsidRPr="00C7154A">
        <w:rPr>
          <w:rFonts w:ascii="Arial" w:hAnsi="Arial" w:cs="Arial"/>
          <w:b/>
          <w:bCs/>
          <w:sz w:val="22"/>
          <w:szCs w:val="22"/>
        </w:rPr>
        <w:t>Frontotemporal dementia (FTD)</w:t>
      </w:r>
      <w:r w:rsidR="00C7154A">
        <w:rPr>
          <w:rFonts w:ascii="Arial" w:hAnsi="Arial" w:cs="Arial"/>
          <w:sz w:val="22"/>
          <w:szCs w:val="22"/>
        </w:rPr>
        <w:t>: A</w:t>
      </w:r>
      <w:r w:rsidRPr="00C7154A">
        <w:rPr>
          <w:rFonts w:ascii="Arial" w:hAnsi="Arial" w:cs="Arial"/>
          <w:sz w:val="22"/>
          <w:szCs w:val="22"/>
        </w:rPr>
        <w:t xml:space="preserve">ffects the frontal and temporal lobes, leading to changes in personality, language, and </w:t>
      </w:r>
      <w:r w:rsidR="00C7154A" w:rsidRPr="00C7154A">
        <w:rPr>
          <w:rFonts w:ascii="Arial" w:hAnsi="Arial" w:cs="Arial"/>
          <w:sz w:val="22"/>
          <w:szCs w:val="22"/>
        </w:rPr>
        <w:t>behavior</w:t>
      </w:r>
      <w:r w:rsidRPr="00C7154A">
        <w:rPr>
          <w:rFonts w:ascii="Arial" w:hAnsi="Arial" w:cs="Arial"/>
          <w:sz w:val="22"/>
          <w:szCs w:val="22"/>
        </w:rPr>
        <w:t>, often occurring in younger individuals (under 65 years).</w:t>
      </w:r>
    </w:p>
    <w:p w:rsidR="00FD5752" w:rsidRPr="00C7154A" w:rsidRDefault="00FD5752" w:rsidP="00C7154A">
      <w:pPr>
        <w:pStyle w:val="Heading2"/>
        <w:rPr>
          <w:rFonts w:ascii="Arial" w:hAnsi="Arial" w:cs="Arial"/>
          <w:b/>
          <w:bCs/>
          <w:color w:val="000000" w:themeColor="text1"/>
          <w:sz w:val="28"/>
          <w:szCs w:val="28"/>
        </w:rPr>
      </w:pPr>
      <w:bookmarkStart w:id="3" w:name="_Toc211536058"/>
      <w:r w:rsidRPr="00C7154A">
        <w:rPr>
          <w:rFonts w:ascii="Arial" w:hAnsi="Arial" w:cs="Arial"/>
          <w:b/>
          <w:bCs/>
          <w:color w:val="000000" w:themeColor="text1"/>
          <w:sz w:val="28"/>
          <w:szCs w:val="28"/>
        </w:rPr>
        <w:t>Prevalence and Demographics</w:t>
      </w:r>
      <w:bookmarkEnd w:id="3"/>
    </w:p>
    <w:p w:rsidR="00C634BD" w:rsidRDefault="00C634BD" w:rsidP="00C7154A">
      <w:pPr>
        <w:spacing w:line="360" w:lineRule="auto"/>
        <w:jc w:val="both"/>
        <w:rPr>
          <w:rFonts w:ascii="Arial" w:hAnsi="Arial" w:cs="Arial"/>
          <w:sz w:val="22"/>
          <w:szCs w:val="22"/>
        </w:rPr>
      </w:pPr>
      <w:r w:rsidRPr="00C634BD">
        <w:rPr>
          <w:rFonts w:ascii="Arial" w:hAnsi="Arial" w:cs="Arial"/>
          <w:sz w:val="22"/>
          <w:szCs w:val="22"/>
        </w:rPr>
        <w:t>Dementia is among the fastest-increasing health problems across the world. WHO (2023) estimates that in 2021, there were about 57 million individuals with dementia across the globe, and that the figure will increase to 153 million by 2050 as a result of increasing population age and increased life expectancy. Dementia prevalence is estimated to be approximately 982,000 people in the United Kingdom today (Alzheimer Society 2024), and is expected to rise to 1.4 million at a later date of 2040.</w:t>
      </w:r>
    </w:p>
    <w:p w:rsidR="00C634BD" w:rsidRDefault="00C634BD" w:rsidP="00C7154A">
      <w:pPr>
        <w:spacing w:line="360" w:lineRule="auto"/>
        <w:jc w:val="both"/>
        <w:rPr>
          <w:rFonts w:ascii="Arial" w:hAnsi="Arial" w:cs="Arial"/>
          <w:sz w:val="22"/>
          <w:szCs w:val="22"/>
        </w:rPr>
      </w:pPr>
      <w:r w:rsidRPr="00C634BD">
        <w:rPr>
          <w:rFonts w:ascii="Arial" w:hAnsi="Arial" w:cs="Arial"/>
          <w:sz w:val="22"/>
          <w:szCs w:val="22"/>
        </w:rPr>
        <w:t>According to the Office for National Statistics (ONS, 2023), dementia is the current leading cause of death in England and Wales with 65,967 deaths (11.4% of all deaths) in 2022. Those who are affected are mostly aged above 75, although early-onset dementia (below 65 years) is approximately 5 percent of the overall cases (Young Dementia Network, 2023). Women are another disadvantaged group since they make up almost two-thirds of individuals with dementia, mainly because of the extended lifespan (ONS, 2023).</w:t>
      </w:r>
    </w:p>
    <w:p w:rsidR="00FD5752" w:rsidRPr="00C7154A" w:rsidRDefault="00FD5752" w:rsidP="00C7154A">
      <w:pPr>
        <w:pStyle w:val="Heading2"/>
        <w:rPr>
          <w:rFonts w:ascii="Arial" w:hAnsi="Arial" w:cs="Arial"/>
          <w:b/>
          <w:bCs/>
          <w:color w:val="000000" w:themeColor="text1"/>
          <w:sz w:val="28"/>
          <w:szCs w:val="28"/>
        </w:rPr>
      </w:pPr>
      <w:bookmarkStart w:id="4" w:name="_Toc211536059"/>
      <w:r w:rsidRPr="00C7154A">
        <w:rPr>
          <w:rFonts w:ascii="Arial" w:hAnsi="Arial" w:cs="Arial"/>
          <w:b/>
          <w:bCs/>
          <w:color w:val="000000" w:themeColor="text1"/>
          <w:sz w:val="28"/>
          <w:szCs w:val="28"/>
        </w:rPr>
        <w:t>Aetiology and Risk Factors</w:t>
      </w:r>
      <w:bookmarkEnd w:id="4"/>
    </w:p>
    <w:p w:rsidR="00C634BD" w:rsidRDefault="00C634BD" w:rsidP="00C7154A">
      <w:pPr>
        <w:spacing w:line="360" w:lineRule="auto"/>
        <w:rPr>
          <w:rFonts w:ascii="Arial" w:hAnsi="Arial" w:cs="Arial"/>
          <w:sz w:val="22"/>
          <w:szCs w:val="22"/>
        </w:rPr>
      </w:pPr>
      <w:r w:rsidRPr="00C634BD">
        <w:rPr>
          <w:rFonts w:ascii="Arial" w:hAnsi="Arial" w:cs="Arial"/>
          <w:sz w:val="22"/>
          <w:szCs w:val="22"/>
        </w:rPr>
        <w:t>Dementia has multifactorial Aetiology, which entails genetic factors as well as environmental factors. Age is the most important non-modifiable risk factor, which increases the prevalence twice every five years after the age of 65 (Livingston et al., 2024). The risk of getting the Alzheimer disease is predetermined by genetic predisposition, especially the presence of the APOE e4 allele (Corder et al., 1993). Nonetheless, there is an accumulating amount of evidence indicating that a risk of up to 40% of dementia cases can be connected to factors that can be changed (Livingston et al., 2024).</w:t>
      </w:r>
    </w:p>
    <w:p w:rsidR="00AE4D76" w:rsidRPr="00FD5752" w:rsidRDefault="00AE4D76" w:rsidP="00FD5752">
      <w:r>
        <w:rPr>
          <w:noProof/>
        </w:rPr>
        <w:lastRenderedPageBreak/>
        <w:drawing>
          <wp:inline distT="0" distB="0" distL="0" distR="0">
            <wp:extent cx="5890260" cy="2834640"/>
            <wp:effectExtent l="0" t="0" r="0" b="3810"/>
            <wp:docPr id="1175944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04058" cy="2841280"/>
                    </a:xfrm>
                    <a:prstGeom prst="rect">
                      <a:avLst/>
                    </a:prstGeom>
                    <a:noFill/>
                  </pic:spPr>
                </pic:pic>
              </a:graphicData>
            </a:graphic>
          </wp:inline>
        </w:drawing>
      </w:r>
    </w:p>
    <w:p w:rsidR="00FD5752" w:rsidRPr="00C7154A" w:rsidRDefault="00FD5752" w:rsidP="00C7154A">
      <w:pPr>
        <w:spacing w:line="360" w:lineRule="auto"/>
        <w:jc w:val="both"/>
        <w:rPr>
          <w:rFonts w:ascii="Arial" w:hAnsi="Arial" w:cs="Arial"/>
        </w:rPr>
      </w:pPr>
      <w:r w:rsidRPr="00C7154A">
        <w:rPr>
          <w:rFonts w:ascii="Arial" w:hAnsi="Arial" w:cs="Arial"/>
        </w:rPr>
        <w:t>The 2024 Lancet Commission identifies 14 modifiable risk factors, including low education, hearing loss, hypertension, obesity, smoking, depression, physical inactivity, diabetes, low social contact, alcohol misuse, traumatic brain injury, air pollution, and limited access to cognitive stimulation. Interventions targeting these factors—such as promoting cardiovascular health, physical activity, and lifelong learning—could significantly delay or prevent dementia onset.</w:t>
      </w:r>
    </w:p>
    <w:p w:rsidR="00FD5752" w:rsidRPr="00C7154A" w:rsidRDefault="00FD5752" w:rsidP="00C7154A">
      <w:pPr>
        <w:spacing w:line="360" w:lineRule="auto"/>
        <w:jc w:val="both"/>
        <w:rPr>
          <w:rFonts w:ascii="Arial" w:hAnsi="Arial" w:cs="Arial"/>
        </w:rPr>
      </w:pPr>
      <w:r w:rsidRPr="00C7154A">
        <w:rPr>
          <w:rFonts w:ascii="Arial" w:hAnsi="Arial" w:cs="Arial"/>
        </w:rPr>
        <w:t>Lifestyle and environmental influences also play critical roles. Diets rich in fruits, vegetables, and omega-3 fatty acids, such as the Mediterranean diet, have been linked to a lower risk of cognitive decline (Scarmeas et al., 2018). Conversely, social isolation, poor mental health, and chronic stress may accelerate cognitive deterioration (Kuiper et al., 2015).</w:t>
      </w:r>
    </w:p>
    <w:p w:rsidR="00FD5752" w:rsidRPr="00C7154A" w:rsidRDefault="00FD5752" w:rsidP="00FD5752">
      <w:pPr>
        <w:rPr>
          <w:rFonts w:ascii="Arial" w:hAnsi="Arial" w:cs="Arial"/>
          <w:b/>
          <w:bCs/>
          <w:sz w:val="22"/>
          <w:szCs w:val="22"/>
        </w:rPr>
      </w:pPr>
      <w:r w:rsidRPr="00C7154A">
        <w:rPr>
          <w:rFonts w:ascii="Arial" w:hAnsi="Arial" w:cs="Arial"/>
          <w:b/>
          <w:bCs/>
          <w:sz w:val="22"/>
          <w:szCs w:val="22"/>
        </w:rPr>
        <w:t>Table</w:t>
      </w:r>
      <w:r w:rsidR="00C7154A" w:rsidRPr="00C7154A">
        <w:rPr>
          <w:rFonts w:ascii="Arial" w:hAnsi="Arial" w:cs="Arial"/>
          <w:b/>
          <w:bCs/>
          <w:sz w:val="22"/>
          <w:szCs w:val="22"/>
        </w:rPr>
        <w:t xml:space="preserve"> 1</w:t>
      </w:r>
      <w:r w:rsidRPr="00C7154A">
        <w:rPr>
          <w:rFonts w:ascii="Arial" w:hAnsi="Arial" w:cs="Arial"/>
          <w:b/>
          <w:bCs/>
          <w:sz w:val="22"/>
          <w:szCs w:val="22"/>
        </w:rPr>
        <w:t>: Common Dementia Subtypes and Key Features</w:t>
      </w:r>
    </w:p>
    <w:tbl>
      <w:tblPr>
        <w:tblStyle w:val="TableGrid"/>
        <w:tblW w:w="0" w:type="auto"/>
        <w:tblLook w:val="04A0"/>
      </w:tblPr>
      <w:tblGrid>
        <w:gridCol w:w="2337"/>
        <w:gridCol w:w="2337"/>
        <w:gridCol w:w="2338"/>
        <w:gridCol w:w="2338"/>
      </w:tblGrid>
      <w:tr w:rsidR="00280FE4" w:rsidRPr="00280FE4">
        <w:tc>
          <w:tcPr>
            <w:tcW w:w="2337" w:type="dxa"/>
          </w:tcPr>
          <w:p w:rsidR="00280FE4" w:rsidRPr="00280FE4" w:rsidRDefault="00280FE4" w:rsidP="00280FE4">
            <w:pPr>
              <w:spacing w:line="360" w:lineRule="auto"/>
              <w:rPr>
                <w:rFonts w:ascii="Arial" w:hAnsi="Arial" w:cs="Arial"/>
                <w:b/>
                <w:bCs/>
                <w:sz w:val="22"/>
                <w:szCs w:val="22"/>
              </w:rPr>
            </w:pPr>
            <w:r w:rsidRPr="00280FE4">
              <w:rPr>
                <w:rFonts w:ascii="Arial" w:hAnsi="Arial" w:cs="Arial"/>
                <w:b/>
                <w:bCs/>
                <w:sz w:val="22"/>
                <w:szCs w:val="22"/>
              </w:rPr>
              <w:t>Type</w:t>
            </w:r>
          </w:p>
        </w:tc>
        <w:tc>
          <w:tcPr>
            <w:tcW w:w="2337" w:type="dxa"/>
          </w:tcPr>
          <w:p w:rsidR="00280FE4" w:rsidRPr="00280FE4" w:rsidRDefault="00280FE4" w:rsidP="00280FE4">
            <w:pPr>
              <w:spacing w:line="360" w:lineRule="auto"/>
              <w:rPr>
                <w:rFonts w:ascii="Arial" w:hAnsi="Arial" w:cs="Arial"/>
                <w:b/>
                <w:bCs/>
                <w:sz w:val="22"/>
                <w:szCs w:val="22"/>
              </w:rPr>
            </w:pPr>
            <w:r w:rsidRPr="00280FE4">
              <w:rPr>
                <w:rFonts w:ascii="Arial" w:hAnsi="Arial" w:cs="Arial"/>
                <w:b/>
                <w:bCs/>
                <w:sz w:val="22"/>
                <w:szCs w:val="22"/>
              </w:rPr>
              <w:t>Primary Cause</w:t>
            </w:r>
          </w:p>
        </w:tc>
        <w:tc>
          <w:tcPr>
            <w:tcW w:w="2338" w:type="dxa"/>
          </w:tcPr>
          <w:p w:rsidR="00280FE4" w:rsidRPr="00280FE4" w:rsidRDefault="00280FE4" w:rsidP="00280FE4">
            <w:pPr>
              <w:spacing w:line="360" w:lineRule="auto"/>
              <w:rPr>
                <w:rFonts w:ascii="Arial" w:hAnsi="Arial" w:cs="Arial"/>
                <w:b/>
                <w:bCs/>
                <w:sz w:val="22"/>
                <w:szCs w:val="22"/>
              </w:rPr>
            </w:pPr>
            <w:r w:rsidRPr="00280FE4">
              <w:rPr>
                <w:rFonts w:ascii="Arial" w:hAnsi="Arial" w:cs="Arial"/>
                <w:b/>
                <w:bCs/>
                <w:sz w:val="22"/>
                <w:szCs w:val="22"/>
              </w:rPr>
              <w:t>Main Symptoms</w:t>
            </w:r>
          </w:p>
        </w:tc>
        <w:tc>
          <w:tcPr>
            <w:tcW w:w="2338" w:type="dxa"/>
          </w:tcPr>
          <w:p w:rsidR="00280FE4" w:rsidRPr="00280FE4" w:rsidRDefault="00280FE4" w:rsidP="00280FE4">
            <w:pPr>
              <w:spacing w:line="360" w:lineRule="auto"/>
              <w:rPr>
                <w:rFonts w:ascii="Arial" w:hAnsi="Arial" w:cs="Arial"/>
                <w:b/>
                <w:bCs/>
                <w:sz w:val="22"/>
                <w:szCs w:val="22"/>
              </w:rPr>
            </w:pPr>
            <w:r w:rsidRPr="00280FE4">
              <w:rPr>
                <w:rFonts w:ascii="Arial" w:hAnsi="Arial" w:cs="Arial"/>
                <w:b/>
                <w:bCs/>
                <w:sz w:val="22"/>
                <w:szCs w:val="22"/>
              </w:rPr>
              <w:t>Typical Onset Age</w:t>
            </w:r>
          </w:p>
        </w:tc>
      </w:tr>
      <w:tr w:rsidR="00280FE4" w:rsidRPr="00280FE4">
        <w:tc>
          <w:tcPr>
            <w:tcW w:w="2337"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Alzheimer’s Disease</w:t>
            </w:r>
          </w:p>
        </w:tc>
        <w:tc>
          <w:tcPr>
            <w:tcW w:w="2337"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Amyloid and tau pathology</w:t>
            </w:r>
          </w:p>
        </w:tc>
        <w:tc>
          <w:tcPr>
            <w:tcW w:w="2338"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Memory loss, confusion, disorientation</w:t>
            </w:r>
          </w:p>
        </w:tc>
        <w:tc>
          <w:tcPr>
            <w:tcW w:w="2338"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65+</w:t>
            </w:r>
          </w:p>
        </w:tc>
      </w:tr>
      <w:tr w:rsidR="00280FE4" w:rsidRPr="00280FE4">
        <w:tc>
          <w:tcPr>
            <w:tcW w:w="2337"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Vascular Dementia</w:t>
            </w:r>
          </w:p>
        </w:tc>
        <w:tc>
          <w:tcPr>
            <w:tcW w:w="2337"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Cerebrovascular damage</w:t>
            </w:r>
          </w:p>
        </w:tc>
        <w:tc>
          <w:tcPr>
            <w:tcW w:w="2338"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Impaired planning, slowed thinking</w:t>
            </w:r>
          </w:p>
        </w:tc>
        <w:tc>
          <w:tcPr>
            <w:tcW w:w="2338"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65+</w:t>
            </w:r>
          </w:p>
        </w:tc>
      </w:tr>
      <w:tr w:rsidR="00280FE4" w:rsidRPr="00280FE4">
        <w:tc>
          <w:tcPr>
            <w:tcW w:w="2337"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Lewy Body Dementia</w:t>
            </w:r>
          </w:p>
        </w:tc>
        <w:tc>
          <w:tcPr>
            <w:tcW w:w="2337"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 xml:space="preserve">Alpha-synuclein </w:t>
            </w:r>
            <w:r w:rsidRPr="00280FE4">
              <w:rPr>
                <w:rFonts w:ascii="Arial" w:hAnsi="Arial" w:cs="Arial"/>
                <w:sz w:val="22"/>
                <w:szCs w:val="22"/>
              </w:rPr>
              <w:lastRenderedPageBreak/>
              <w:t>deposits</w:t>
            </w:r>
          </w:p>
        </w:tc>
        <w:tc>
          <w:tcPr>
            <w:tcW w:w="2338"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lastRenderedPageBreak/>
              <w:t xml:space="preserve">Fluctuating cognition, </w:t>
            </w:r>
            <w:r w:rsidRPr="00280FE4">
              <w:rPr>
                <w:rFonts w:ascii="Arial" w:hAnsi="Arial" w:cs="Arial"/>
                <w:sz w:val="22"/>
                <w:szCs w:val="22"/>
              </w:rPr>
              <w:lastRenderedPageBreak/>
              <w:t>visual hallucinations</w:t>
            </w:r>
          </w:p>
        </w:tc>
        <w:tc>
          <w:tcPr>
            <w:tcW w:w="2338"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lastRenderedPageBreak/>
              <w:t>70+</w:t>
            </w:r>
          </w:p>
        </w:tc>
      </w:tr>
      <w:tr w:rsidR="00280FE4" w:rsidRPr="00280FE4">
        <w:tc>
          <w:tcPr>
            <w:tcW w:w="2337"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lastRenderedPageBreak/>
              <w:t>Frontotemporal Dementia</w:t>
            </w:r>
          </w:p>
        </w:tc>
        <w:tc>
          <w:tcPr>
            <w:tcW w:w="2337"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Frontal/temporal lobe degeneration</w:t>
            </w:r>
          </w:p>
        </w:tc>
        <w:tc>
          <w:tcPr>
            <w:tcW w:w="2338"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Personality and language changes</w:t>
            </w:r>
          </w:p>
        </w:tc>
        <w:tc>
          <w:tcPr>
            <w:tcW w:w="2338" w:type="dxa"/>
          </w:tcPr>
          <w:p w:rsidR="00280FE4" w:rsidRPr="00280FE4" w:rsidRDefault="00280FE4" w:rsidP="00280FE4">
            <w:pPr>
              <w:spacing w:line="360" w:lineRule="auto"/>
              <w:rPr>
                <w:rFonts w:ascii="Arial" w:hAnsi="Arial" w:cs="Arial"/>
                <w:sz w:val="22"/>
                <w:szCs w:val="22"/>
              </w:rPr>
            </w:pPr>
            <w:r w:rsidRPr="00280FE4">
              <w:rPr>
                <w:rFonts w:ascii="Arial" w:hAnsi="Arial" w:cs="Arial"/>
                <w:sz w:val="22"/>
                <w:szCs w:val="22"/>
              </w:rPr>
              <w:t>45–65</w:t>
            </w:r>
          </w:p>
        </w:tc>
      </w:tr>
    </w:tbl>
    <w:p w:rsidR="00280FE4" w:rsidRPr="00FD5752" w:rsidRDefault="00280FE4" w:rsidP="00FD5752">
      <w:pPr>
        <w:rPr>
          <w:b/>
          <w:bCs/>
        </w:rPr>
      </w:pPr>
    </w:p>
    <w:p w:rsidR="00FD5752" w:rsidRPr="00C7154A" w:rsidRDefault="00FD5752" w:rsidP="00C7154A">
      <w:pPr>
        <w:pStyle w:val="Heading1"/>
        <w:rPr>
          <w:rFonts w:ascii="Arial" w:hAnsi="Arial" w:cs="Arial"/>
          <w:b/>
          <w:bCs/>
          <w:color w:val="000000" w:themeColor="text1"/>
          <w:sz w:val="32"/>
          <w:szCs w:val="32"/>
        </w:rPr>
      </w:pPr>
      <w:bookmarkStart w:id="5" w:name="_Toc211536060"/>
      <w:r w:rsidRPr="00C7154A">
        <w:rPr>
          <w:rFonts w:ascii="Arial" w:hAnsi="Arial" w:cs="Arial"/>
          <w:b/>
          <w:bCs/>
          <w:color w:val="000000" w:themeColor="text1"/>
          <w:sz w:val="32"/>
          <w:szCs w:val="32"/>
        </w:rPr>
        <w:t>Impact of Dementia</w:t>
      </w:r>
      <w:bookmarkEnd w:id="5"/>
    </w:p>
    <w:p w:rsidR="00BB1F2F" w:rsidRPr="00C7154A" w:rsidRDefault="00BB1F2F" w:rsidP="00C7154A">
      <w:pPr>
        <w:spacing w:line="360" w:lineRule="auto"/>
        <w:jc w:val="both"/>
        <w:rPr>
          <w:rFonts w:ascii="Arial" w:hAnsi="Arial" w:cs="Arial"/>
          <w:sz w:val="22"/>
          <w:szCs w:val="22"/>
        </w:rPr>
      </w:pPr>
      <w:r w:rsidRPr="00C7154A">
        <w:rPr>
          <w:rFonts w:ascii="Arial" w:hAnsi="Arial" w:cs="Arial"/>
          <w:sz w:val="22"/>
          <w:szCs w:val="22"/>
        </w:rPr>
        <w:t>The consequences of dementia on the population, family, and the community are pervasive and extensive. Being a progressive neurological disorder, it influences physical, psychological and social wellbeing and may involve extensive and prolonged multidisciplinary management and assistance. Its effects are not limited to the individual but also cover the family, the healthcare system as well as the entire economy (Livingston et al., 2024).</w:t>
      </w:r>
    </w:p>
    <w:p w:rsidR="00FD5752" w:rsidRPr="00782022" w:rsidRDefault="00FD5752" w:rsidP="00782022">
      <w:pPr>
        <w:pStyle w:val="Heading2"/>
        <w:rPr>
          <w:rFonts w:ascii="Arial" w:hAnsi="Arial" w:cs="Arial"/>
          <w:b/>
          <w:bCs/>
          <w:color w:val="000000" w:themeColor="text1"/>
          <w:sz w:val="28"/>
          <w:szCs w:val="28"/>
        </w:rPr>
      </w:pPr>
      <w:bookmarkStart w:id="6" w:name="_Toc211536061"/>
      <w:r w:rsidRPr="00782022">
        <w:rPr>
          <w:rFonts w:ascii="Arial" w:hAnsi="Arial" w:cs="Arial"/>
          <w:b/>
          <w:bCs/>
          <w:color w:val="000000" w:themeColor="text1"/>
          <w:sz w:val="28"/>
          <w:szCs w:val="28"/>
        </w:rPr>
        <w:t>Physical and Cognitive Impact</w:t>
      </w:r>
      <w:bookmarkEnd w:id="6"/>
    </w:p>
    <w:p w:rsidR="00BB1F2F" w:rsidRPr="00C7154A" w:rsidRDefault="00BB1F2F" w:rsidP="00C7154A">
      <w:pPr>
        <w:spacing w:line="360" w:lineRule="auto"/>
        <w:jc w:val="both"/>
        <w:rPr>
          <w:rFonts w:ascii="Arial" w:hAnsi="Arial" w:cs="Arial"/>
          <w:sz w:val="22"/>
          <w:szCs w:val="22"/>
        </w:rPr>
      </w:pPr>
      <w:r w:rsidRPr="00C7154A">
        <w:rPr>
          <w:rFonts w:ascii="Arial" w:hAnsi="Arial" w:cs="Arial"/>
          <w:sz w:val="22"/>
          <w:szCs w:val="22"/>
        </w:rPr>
        <w:t xml:space="preserve">The bodily impacts of dementia are highly associated with a breakdown of the brain cells causing functional capabilities to be eroded. The initial symptoms involve the loss of short-term memory, disorientation, and the inability to cope with the problem, which over time develop into speech, movement, and swallowing impairments (NICE, 2018). At later stages, people can be completely reliant on others to carry out daily life tasks and activities like eating, dressing, and hygiene (WHO, 2023). Dementia constitutes a significant killer and disabling illness in the elderly. According to the Office for National Statistics (ONS, 2023), in 2022, dementia and Alzheimer's disease were noted as the ultimate cause of death in England and Wales, having caused 65,967 deaths (11.4% of all deaths). </w:t>
      </w:r>
    </w:p>
    <w:p w:rsidR="00FD5752" w:rsidRPr="00782022" w:rsidRDefault="00FD5752" w:rsidP="00782022">
      <w:pPr>
        <w:pStyle w:val="Heading2"/>
        <w:rPr>
          <w:rFonts w:ascii="Arial" w:hAnsi="Arial" w:cs="Arial"/>
          <w:b/>
          <w:bCs/>
          <w:color w:val="000000" w:themeColor="text1"/>
          <w:sz w:val="28"/>
          <w:szCs w:val="28"/>
        </w:rPr>
      </w:pPr>
      <w:bookmarkStart w:id="7" w:name="_Toc211536062"/>
      <w:r w:rsidRPr="00782022">
        <w:rPr>
          <w:rFonts w:ascii="Arial" w:hAnsi="Arial" w:cs="Arial"/>
          <w:b/>
          <w:bCs/>
          <w:color w:val="000000" w:themeColor="text1"/>
          <w:sz w:val="28"/>
          <w:szCs w:val="28"/>
        </w:rPr>
        <w:t>Psychological and Emotional Impact</w:t>
      </w:r>
      <w:bookmarkEnd w:id="7"/>
    </w:p>
    <w:p w:rsidR="00BB1F2F" w:rsidRPr="00C7154A" w:rsidRDefault="00BB1F2F" w:rsidP="00C7154A">
      <w:pPr>
        <w:spacing w:line="360" w:lineRule="auto"/>
        <w:jc w:val="both"/>
        <w:rPr>
          <w:rFonts w:ascii="Arial" w:hAnsi="Arial" w:cs="Arial"/>
          <w:sz w:val="22"/>
          <w:szCs w:val="22"/>
        </w:rPr>
      </w:pPr>
      <w:r w:rsidRPr="00C7154A">
        <w:rPr>
          <w:rFonts w:ascii="Arial" w:hAnsi="Arial" w:cs="Arial"/>
          <w:sz w:val="22"/>
          <w:szCs w:val="22"/>
        </w:rPr>
        <w:t xml:space="preserve">In addition to the physical manifestations, dementia is having a terrible psychological effect on both patients and care givers. While cognitive degradation commonly causes degradation of autonomy, identity, and confidence. The most prevalent neuropsychiatric symptoms include anxiety, depression, apathy, and agitation, and they may affect 70% of individuals with dementia (Zhao et al., 2016). Such symptoms may also worsen the quality of life and augment behavioural problems, occasionally leading to inappropriate consumption of psychotropic medicine (Livingston et al., 2024). There is also a lot of psychological strain on the carers and family members. Research has shown that depression or anxiety affect up to 40 percent of informal carers because of the continued emotional and physical burden of care provision (Carers UK, 2023). Late dementia stages are characterized by a high level of emotional </w:t>
      </w:r>
      <w:r w:rsidRPr="00C7154A">
        <w:rPr>
          <w:rFonts w:ascii="Arial" w:hAnsi="Arial" w:cs="Arial"/>
          <w:sz w:val="22"/>
          <w:szCs w:val="22"/>
        </w:rPr>
        <w:lastRenderedPageBreak/>
        <w:t>distress, as does the emergence of communication problems and personality changes. Dementia-related stigma may further hurt feelings of isolation and shame and deter families to reach out to support (Werner et al., 2020).</w:t>
      </w:r>
    </w:p>
    <w:p w:rsidR="00FD5752" w:rsidRPr="00782022" w:rsidRDefault="00FD5752" w:rsidP="00782022">
      <w:pPr>
        <w:pStyle w:val="Heading2"/>
        <w:rPr>
          <w:rFonts w:ascii="Arial" w:hAnsi="Arial" w:cs="Arial"/>
          <w:b/>
          <w:bCs/>
          <w:color w:val="000000" w:themeColor="text1"/>
          <w:sz w:val="28"/>
          <w:szCs w:val="28"/>
        </w:rPr>
      </w:pPr>
      <w:bookmarkStart w:id="8" w:name="_Toc211536063"/>
      <w:r w:rsidRPr="00782022">
        <w:rPr>
          <w:rFonts w:ascii="Arial" w:hAnsi="Arial" w:cs="Arial"/>
          <w:b/>
          <w:bCs/>
          <w:color w:val="000000" w:themeColor="text1"/>
          <w:sz w:val="28"/>
          <w:szCs w:val="28"/>
        </w:rPr>
        <w:t>Social and Economic Impact</w:t>
      </w:r>
      <w:bookmarkEnd w:id="8"/>
    </w:p>
    <w:p w:rsidR="00782022" w:rsidRDefault="00BB1F2F" w:rsidP="00C7154A">
      <w:pPr>
        <w:spacing w:line="360" w:lineRule="auto"/>
        <w:jc w:val="both"/>
        <w:rPr>
          <w:rFonts w:ascii="Arial" w:hAnsi="Arial" w:cs="Arial"/>
          <w:sz w:val="22"/>
          <w:szCs w:val="22"/>
        </w:rPr>
      </w:pPr>
      <w:r w:rsidRPr="00C7154A">
        <w:rPr>
          <w:rFonts w:ascii="Arial" w:hAnsi="Arial" w:cs="Arial"/>
          <w:sz w:val="22"/>
          <w:szCs w:val="22"/>
        </w:rPr>
        <w:t xml:space="preserve">Dementia has a social burden that transcends societies and national economies. As noted by Alzheimer Society (2024), the UK has an annual economic cost of PS42 billion on dementia which is projected to escalate to PS90 billion by the year 2040. Out of this, approximately 40 percent is unpaid informal care by the family members, 45 percent is social care costs and 15 percent is health services. The role of informal carers is central but not much valued. An estimated 700,000 caregivers in the UK care for a person living with dementia without payment, and it is often more than 100 hours per week (Carers UK, 2023). </w:t>
      </w:r>
    </w:p>
    <w:p w:rsidR="00BB1F2F" w:rsidRPr="00C7154A" w:rsidRDefault="00BB1F2F" w:rsidP="00C7154A">
      <w:pPr>
        <w:spacing w:line="360" w:lineRule="auto"/>
        <w:jc w:val="both"/>
        <w:rPr>
          <w:rFonts w:ascii="Arial" w:hAnsi="Arial" w:cs="Arial"/>
          <w:sz w:val="22"/>
          <w:szCs w:val="22"/>
        </w:rPr>
      </w:pPr>
      <w:r w:rsidRPr="00C7154A">
        <w:rPr>
          <w:rFonts w:ascii="Arial" w:hAnsi="Arial" w:cs="Arial"/>
          <w:sz w:val="22"/>
          <w:szCs w:val="22"/>
        </w:rPr>
        <w:t>The overall social impacts are also worrying. Dementia often subjects people to social isolation and loss of community with the condition especially after diagnosis. It has also been found that one out of three individuals with dementia claim that they lost friends after revealing their condition (Alzheimer Society, 2022). The community services, transportation, and inclusive environments are still unequal across the UK, which leads to disparities in the quality of life and care outcomes (The King’s Fund, 2023).</w:t>
      </w:r>
    </w:p>
    <w:p w:rsidR="00FD5752" w:rsidRPr="00782022" w:rsidRDefault="00FD5752" w:rsidP="00782022">
      <w:pPr>
        <w:pStyle w:val="Heading2"/>
        <w:rPr>
          <w:rFonts w:ascii="Arial" w:hAnsi="Arial" w:cs="Arial"/>
          <w:b/>
          <w:bCs/>
          <w:color w:val="000000" w:themeColor="text1"/>
          <w:sz w:val="28"/>
          <w:szCs w:val="28"/>
        </w:rPr>
      </w:pPr>
      <w:bookmarkStart w:id="9" w:name="_Toc211536064"/>
      <w:r w:rsidRPr="00782022">
        <w:rPr>
          <w:rFonts w:ascii="Arial" w:hAnsi="Arial" w:cs="Arial"/>
          <w:b/>
          <w:bCs/>
          <w:color w:val="000000" w:themeColor="text1"/>
          <w:sz w:val="28"/>
          <w:szCs w:val="28"/>
        </w:rPr>
        <w:t>Public Health and Societal Implications</w:t>
      </w:r>
      <w:bookmarkEnd w:id="9"/>
    </w:p>
    <w:p w:rsidR="00BB1F2F" w:rsidRPr="00C7154A" w:rsidRDefault="00BB1F2F" w:rsidP="00C7154A">
      <w:pPr>
        <w:spacing w:line="360" w:lineRule="auto"/>
        <w:jc w:val="both"/>
        <w:rPr>
          <w:rFonts w:ascii="Arial" w:hAnsi="Arial" w:cs="Arial"/>
          <w:sz w:val="22"/>
          <w:szCs w:val="22"/>
        </w:rPr>
      </w:pPr>
      <w:r w:rsidRPr="00C7154A">
        <w:rPr>
          <w:rFonts w:ascii="Arial" w:hAnsi="Arial" w:cs="Arial"/>
          <w:sz w:val="22"/>
          <w:szCs w:val="22"/>
        </w:rPr>
        <w:t xml:space="preserve">Cases of dementia are becoming a significant burden to health and social care systems. With the aging population, this is likely to increase the demand of memory services, residential care and trained healthcare personnel significantly. According to the estimates made by the World Health Organization (2023), the number of individuals who will need care related to dementia in the world will triple by 2050. </w:t>
      </w:r>
    </w:p>
    <w:p w:rsidR="00FD5752" w:rsidRPr="00782022" w:rsidRDefault="00FD5752" w:rsidP="00782022">
      <w:pPr>
        <w:pStyle w:val="Heading1"/>
        <w:rPr>
          <w:rFonts w:ascii="Arial" w:hAnsi="Arial" w:cs="Arial"/>
          <w:b/>
          <w:bCs/>
          <w:color w:val="000000" w:themeColor="text1"/>
          <w:sz w:val="32"/>
          <w:szCs w:val="32"/>
        </w:rPr>
      </w:pPr>
      <w:bookmarkStart w:id="10" w:name="_Toc211536065"/>
      <w:r w:rsidRPr="00782022">
        <w:rPr>
          <w:rFonts w:ascii="Arial" w:hAnsi="Arial" w:cs="Arial"/>
          <w:b/>
          <w:bCs/>
          <w:color w:val="000000" w:themeColor="text1"/>
          <w:sz w:val="32"/>
          <w:szCs w:val="32"/>
        </w:rPr>
        <w:t>Evidence-Based Management of Dementia in the UK</w:t>
      </w:r>
      <w:bookmarkEnd w:id="10"/>
    </w:p>
    <w:p w:rsidR="00AF2AF1" w:rsidRPr="00782022" w:rsidRDefault="00AF2AF1" w:rsidP="00782022">
      <w:pPr>
        <w:spacing w:line="360" w:lineRule="auto"/>
        <w:jc w:val="both"/>
        <w:rPr>
          <w:rFonts w:ascii="Arial" w:hAnsi="Arial" w:cs="Arial"/>
          <w:sz w:val="22"/>
          <w:szCs w:val="22"/>
        </w:rPr>
      </w:pPr>
      <w:r w:rsidRPr="00782022">
        <w:rPr>
          <w:rFonts w:ascii="Arial" w:hAnsi="Arial" w:cs="Arial"/>
          <w:sz w:val="22"/>
          <w:szCs w:val="22"/>
        </w:rPr>
        <w:t>The dementia management in the United Kingdom is based on an extensive, evidence-based practice, which combines pharmacological intervention, non-pharmacological interventions, and an integrated multidisciplinary approach to the treatment of dementia. The UK dementia plan is directed by the National Institute of Health and Care Excellence (NICE, 2018) and the NHS Long Term Plan (2019) and is expected to enhance the quality of life, the effectiveness of the support offered to individuals and carers across the disease journey, and diagnose the disease in its early stages.</w:t>
      </w:r>
    </w:p>
    <w:p w:rsidR="00AF2AF1" w:rsidRPr="00782022" w:rsidRDefault="00AF2AF1" w:rsidP="00782022">
      <w:pPr>
        <w:pStyle w:val="Heading2"/>
        <w:rPr>
          <w:rFonts w:ascii="Arial" w:hAnsi="Arial" w:cs="Arial"/>
          <w:b/>
          <w:bCs/>
          <w:color w:val="000000" w:themeColor="text1"/>
          <w:sz w:val="28"/>
          <w:szCs w:val="28"/>
        </w:rPr>
      </w:pPr>
      <w:bookmarkStart w:id="11" w:name="_Toc211536066"/>
      <w:r w:rsidRPr="00782022">
        <w:rPr>
          <w:rFonts w:ascii="Arial" w:hAnsi="Arial" w:cs="Arial"/>
          <w:b/>
          <w:bCs/>
          <w:color w:val="000000" w:themeColor="text1"/>
          <w:sz w:val="28"/>
          <w:szCs w:val="28"/>
        </w:rPr>
        <w:lastRenderedPageBreak/>
        <w:t>Pharmacological Management</w:t>
      </w:r>
      <w:bookmarkEnd w:id="11"/>
    </w:p>
    <w:p w:rsidR="00AF2AF1" w:rsidRPr="00782022" w:rsidRDefault="00AF2AF1" w:rsidP="00782022">
      <w:pPr>
        <w:spacing w:line="360" w:lineRule="auto"/>
        <w:jc w:val="both"/>
        <w:rPr>
          <w:rFonts w:ascii="Arial" w:hAnsi="Arial" w:cs="Arial"/>
          <w:sz w:val="22"/>
          <w:szCs w:val="22"/>
        </w:rPr>
      </w:pPr>
      <w:r w:rsidRPr="00782022">
        <w:rPr>
          <w:rFonts w:ascii="Arial" w:hAnsi="Arial" w:cs="Arial"/>
          <w:sz w:val="22"/>
          <w:szCs w:val="22"/>
        </w:rPr>
        <w:t>The pharmacological management of dementia aims at clinical treatment and prevention of the disease progression. The NICE guideline NG97 (2018) recommends that individuals with mild-to-moderate Alzheimer's disease can have acetylcholinesterase inhibitors like donepezil, galantaminewhich target the enhancement of cholinergic transmission and better the cognitive ability of the former. In moderate-to-severe cases of Alzheimer, memantine, which is an NMDA receptor antagonist, should be used as the sole treatment or with cholinesterase inhibitors (NICE, 2018).</w:t>
      </w:r>
    </w:p>
    <w:p w:rsidR="00AF2AF1" w:rsidRPr="00782022" w:rsidRDefault="00AF2AF1" w:rsidP="00782022">
      <w:pPr>
        <w:pStyle w:val="Heading2"/>
        <w:rPr>
          <w:rFonts w:ascii="Arial" w:hAnsi="Arial" w:cs="Arial"/>
          <w:b/>
          <w:bCs/>
          <w:color w:val="000000" w:themeColor="text1"/>
          <w:sz w:val="28"/>
          <w:szCs w:val="28"/>
        </w:rPr>
      </w:pPr>
      <w:bookmarkStart w:id="12" w:name="_Toc211536067"/>
      <w:r w:rsidRPr="00782022">
        <w:rPr>
          <w:rFonts w:ascii="Arial" w:hAnsi="Arial" w:cs="Arial"/>
          <w:b/>
          <w:bCs/>
          <w:color w:val="000000" w:themeColor="text1"/>
          <w:sz w:val="28"/>
          <w:szCs w:val="28"/>
        </w:rPr>
        <w:t>Non-Pharmacological and Psychosocial interventions</w:t>
      </w:r>
      <w:bookmarkEnd w:id="12"/>
    </w:p>
    <w:p w:rsidR="00AF2AF1" w:rsidRPr="00782022" w:rsidRDefault="00AF2AF1" w:rsidP="00782022">
      <w:pPr>
        <w:spacing w:line="360" w:lineRule="auto"/>
        <w:jc w:val="both"/>
        <w:rPr>
          <w:rFonts w:ascii="Arial" w:hAnsi="Arial" w:cs="Arial"/>
          <w:sz w:val="22"/>
          <w:szCs w:val="22"/>
        </w:rPr>
      </w:pPr>
      <w:r w:rsidRPr="00782022">
        <w:rPr>
          <w:rFonts w:ascii="Arial" w:hAnsi="Arial" w:cs="Arial"/>
          <w:sz w:val="22"/>
          <w:szCs w:val="22"/>
        </w:rPr>
        <w:t xml:space="preserve">The management of dementia is based on non-pharmacological treatments aimed at maintaining functionality, enhancing wellbeing, and promoting independence. Structured </w:t>
      </w:r>
      <w:r w:rsidR="00782022" w:rsidRPr="00782022">
        <w:rPr>
          <w:rFonts w:ascii="Arial" w:hAnsi="Arial" w:cs="Arial"/>
          <w:sz w:val="22"/>
          <w:szCs w:val="22"/>
        </w:rPr>
        <w:t>programs</w:t>
      </w:r>
      <w:r w:rsidRPr="00782022">
        <w:rPr>
          <w:rFonts w:ascii="Arial" w:hAnsi="Arial" w:cs="Arial"/>
          <w:sz w:val="22"/>
          <w:szCs w:val="22"/>
        </w:rPr>
        <w:t xml:space="preserve"> suggested by NICE (2018) include cognitive stimulation therapy (CST), reminiscence therapy and occupational therapy that have shown considerable improvements in mood and cognitive functioning (Woods et al., 2018).</w:t>
      </w:r>
    </w:p>
    <w:p w:rsidR="00AF2AF1" w:rsidRPr="00782022" w:rsidRDefault="00AF2AF1" w:rsidP="00782022">
      <w:pPr>
        <w:spacing w:line="360" w:lineRule="auto"/>
        <w:jc w:val="both"/>
        <w:rPr>
          <w:rFonts w:ascii="Arial" w:hAnsi="Arial" w:cs="Arial"/>
          <w:sz w:val="22"/>
          <w:szCs w:val="22"/>
        </w:rPr>
      </w:pPr>
      <w:r w:rsidRPr="00782022">
        <w:rPr>
          <w:rFonts w:ascii="Arial" w:hAnsi="Arial" w:cs="Arial"/>
          <w:sz w:val="22"/>
          <w:szCs w:val="22"/>
        </w:rPr>
        <w:t>Evidence also has a strong support on physical activity, music therapy, and social engagement. A systematic review by Blankevoort et al. (2019) discovered that moderate exercise can result in better mobility, mood, and quality of life of individuals with dementia. In a similar manner, NHS England Dementia Well Pathway (2021) endorses the activities that are based on personal interests to ensure social inclusion and mental health.</w:t>
      </w:r>
    </w:p>
    <w:p w:rsidR="00AF2AF1" w:rsidRPr="00782022" w:rsidRDefault="00AF2AF1" w:rsidP="00782022">
      <w:pPr>
        <w:pStyle w:val="Heading2"/>
        <w:rPr>
          <w:rFonts w:ascii="Arial" w:hAnsi="Arial" w:cs="Arial"/>
          <w:b/>
          <w:bCs/>
        </w:rPr>
      </w:pPr>
      <w:bookmarkStart w:id="13" w:name="_Toc211536068"/>
      <w:r w:rsidRPr="00782022">
        <w:rPr>
          <w:rFonts w:ascii="Arial" w:hAnsi="Arial" w:cs="Arial"/>
          <w:b/>
          <w:bCs/>
          <w:color w:val="000000" w:themeColor="text1"/>
          <w:sz w:val="28"/>
          <w:szCs w:val="28"/>
        </w:rPr>
        <w:t>Community-Based and Integrated Care</w:t>
      </w:r>
      <w:bookmarkEnd w:id="13"/>
    </w:p>
    <w:p w:rsidR="00AF2AF1" w:rsidRPr="00782022" w:rsidRDefault="00AF2AF1" w:rsidP="00782022">
      <w:pPr>
        <w:spacing w:line="360" w:lineRule="auto"/>
        <w:jc w:val="both"/>
        <w:rPr>
          <w:rFonts w:ascii="Arial" w:hAnsi="Arial" w:cs="Arial"/>
          <w:sz w:val="22"/>
          <w:szCs w:val="22"/>
        </w:rPr>
      </w:pPr>
      <w:r w:rsidRPr="00782022">
        <w:rPr>
          <w:rFonts w:ascii="Arial" w:hAnsi="Arial" w:cs="Arial"/>
          <w:sz w:val="22"/>
          <w:szCs w:val="22"/>
        </w:rPr>
        <w:t xml:space="preserve">The main characteristic of management of dementia in the UK is the interaction between health and social care services. According to the NHS Long Term Plan (2019), focus is put on community-based care, early diagnosis, and post-diagnostic support by memory assessment services (MAS). Through these services, timely intervention becomes easier, and it is possible to plan the </w:t>
      </w:r>
      <w:r w:rsidR="00782022" w:rsidRPr="00782022">
        <w:rPr>
          <w:rFonts w:ascii="Arial" w:hAnsi="Arial" w:cs="Arial"/>
          <w:sz w:val="22"/>
          <w:szCs w:val="22"/>
        </w:rPr>
        <w:t>personalized</w:t>
      </w:r>
      <w:r w:rsidRPr="00782022">
        <w:rPr>
          <w:rFonts w:ascii="Arial" w:hAnsi="Arial" w:cs="Arial"/>
          <w:sz w:val="22"/>
          <w:szCs w:val="22"/>
        </w:rPr>
        <w:t xml:space="preserve"> care, review the medications, and refer to the social support networks (The King's Fund, 2023).</w:t>
      </w:r>
    </w:p>
    <w:p w:rsidR="00AF2AF1" w:rsidRPr="00782022" w:rsidRDefault="00AF2AF1" w:rsidP="00782022">
      <w:pPr>
        <w:spacing w:line="360" w:lineRule="auto"/>
        <w:jc w:val="both"/>
        <w:rPr>
          <w:rFonts w:ascii="Arial" w:hAnsi="Arial" w:cs="Arial"/>
          <w:sz w:val="22"/>
          <w:szCs w:val="22"/>
        </w:rPr>
      </w:pPr>
      <w:r w:rsidRPr="00782022">
        <w:rPr>
          <w:rFonts w:ascii="Arial" w:hAnsi="Arial" w:cs="Arial"/>
          <w:sz w:val="22"/>
          <w:szCs w:val="22"/>
        </w:rPr>
        <w:t xml:space="preserve">Latin authorities and voluntary </w:t>
      </w:r>
      <w:r w:rsidR="00782022" w:rsidRPr="00782022">
        <w:rPr>
          <w:rFonts w:ascii="Arial" w:hAnsi="Arial" w:cs="Arial"/>
          <w:sz w:val="22"/>
          <w:szCs w:val="22"/>
        </w:rPr>
        <w:t>organizations</w:t>
      </w:r>
      <w:r w:rsidRPr="00782022">
        <w:rPr>
          <w:rFonts w:ascii="Arial" w:hAnsi="Arial" w:cs="Arial"/>
          <w:sz w:val="22"/>
          <w:szCs w:val="22"/>
        </w:rPr>
        <w:t xml:space="preserve"> like Alzheimer Society and Dementia UK are vital in offering the community outreach, helplines, and dementia-friendly communities that support inclusion and awareness (Alzheimer's Society, 2024).</w:t>
      </w:r>
    </w:p>
    <w:p w:rsidR="00AF2AF1" w:rsidRPr="00782022" w:rsidRDefault="00AF2AF1" w:rsidP="00782022">
      <w:pPr>
        <w:spacing w:line="360" w:lineRule="auto"/>
        <w:jc w:val="both"/>
        <w:rPr>
          <w:rFonts w:ascii="Arial" w:hAnsi="Arial" w:cs="Arial"/>
          <w:sz w:val="22"/>
          <w:szCs w:val="22"/>
        </w:rPr>
      </w:pPr>
      <w:r w:rsidRPr="00782022">
        <w:rPr>
          <w:rFonts w:ascii="Arial" w:hAnsi="Arial" w:cs="Arial"/>
          <w:sz w:val="22"/>
          <w:szCs w:val="22"/>
        </w:rPr>
        <w:t xml:space="preserve">Despite the advancement of policies, there have remained difficulties such as inequality in the rates of diagnosis at the regional level, labor shortages, and unequal access to care (CQC, </w:t>
      </w:r>
      <w:r w:rsidRPr="00782022">
        <w:rPr>
          <w:rFonts w:ascii="Arial" w:hAnsi="Arial" w:cs="Arial"/>
          <w:sz w:val="22"/>
          <w:szCs w:val="22"/>
        </w:rPr>
        <w:lastRenderedPageBreak/>
        <w:t>2022). The solution to these barriers is to enable sustainable financing and training of the workforce on dementia care competencies.</w:t>
      </w:r>
    </w:p>
    <w:p w:rsidR="00AF2AF1" w:rsidRPr="00782022" w:rsidRDefault="00AF2AF1" w:rsidP="00782022">
      <w:pPr>
        <w:spacing w:line="360" w:lineRule="auto"/>
        <w:jc w:val="both"/>
        <w:rPr>
          <w:rFonts w:ascii="Arial" w:hAnsi="Arial" w:cs="Arial"/>
          <w:sz w:val="22"/>
          <w:szCs w:val="22"/>
        </w:rPr>
      </w:pPr>
      <w:r w:rsidRPr="00782022">
        <w:rPr>
          <w:rFonts w:ascii="Arial" w:hAnsi="Arial" w:cs="Arial"/>
          <w:sz w:val="22"/>
          <w:szCs w:val="22"/>
        </w:rPr>
        <w:t>In the UK, evidence-based management of dementia focuses on the person-centred, multidisciplinary, and preventative approach. Pharmacological interventions have been found to have limitations but a combination of medication and psychosocial interventions, support by carers and community-based integration is much more successful. It must be constantly invested in research, staff education and innovation to support the increase in demand and equitable, caring dementia services in all regions.</w:t>
      </w:r>
    </w:p>
    <w:p w:rsidR="00FD5752" w:rsidRPr="00782022" w:rsidRDefault="00FD5752" w:rsidP="00782022">
      <w:pPr>
        <w:pStyle w:val="Heading1"/>
        <w:rPr>
          <w:rFonts w:ascii="Arial" w:hAnsi="Arial" w:cs="Arial"/>
          <w:b/>
          <w:bCs/>
          <w:color w:val="000000" w:themeColor="text1"/>
          <w:sz w:val="32"/>
          <w:szCs w:val="32"/>
        </w:rPr>
      </w:pPr>
      <w:bookmarkStart w:id="14" w:name="_Toc211536069"/>
      <w:r w:rsidRPr="00782022">
        <w:rPr>
          <w:rFonts w:ascii="Arial" w:hAnsi="Arial" w:cs="Arial"/>
          <w:b/>
          <w:bCs/>
          <w:color w:val="000000" w:themeColor="text1"/>
          <w:sz w:val="32"/>
          <w:szCs w:val="32"/>
        </w:rPr>
        <w:t>Theoretical Models and Frameworks</w:t>
      </w:r>
      <w:bookmarkEnd w:id="14"/>
    </w:p>
    <w:p w:rsidR="009F2786" w:rsidRPr="009F2786" w:rsidRDefault="009F2786" w:rsidP="009F2786">
      <w:pPr>
        <w:spacing w:line="360" w:lineRule="auto"/>
        <w:jc w:val="both"/>
        <w:rPr>
          <w:rFonts w:ascii="Arial" w:hAnsi="Arial" w:cs="Arial"/>
          <w:sz w:val="22"/>
          <w:szCs w:val="22"/>
        </w:rPr>
      </w:pPr>
      <w:r w:rsidRPr="009F2786">
        <w:rPr>
          <w:rFonts w:ascii="Arial" w:hAnsi="Arial" w:cs="Arial"/>
          <w:sz w:val="22"/>
          <w:szCs w:val="22"/>
        </w:rPr>
        <w:t>Effective provision of dementia care within the UK and other countries of the world is anchored on strong theoretical models that advance dignity, autonomy and coordinated care. The existing practice is based on two major models; the Person-center</w:t>
      </w:r>
      <w:r>
        <w:rPr>
          <w:rFonts w:ascii="Arial" w:hAnsi="Arial" w:cs="Arial"/>
          <w:sz w:val="22"/>
          <w:szCs w:val="22"/>
        </w:rPr>
        <w:t>ed</w:t>
      </w:r>
      <w:r w:rsidRPr="009F2786">
        <w:rPr>
          <w:rFonts w:ascii="Arial" w:hAnsi="Arial" w:cs="Arial"/>
          <w:sz w:val="22"/>
          <w:szCs w:val="22"/>
        </w:rPr>
        <w:t xml:space="preserve"> Care Model by Kitwood, which is used extensively in the UK, and the Integrated Care for Older People (ICOPE) framework by the World Health Organization, which is applied in the design of international health systems when dealing with ageing populations. </w:t>
      </w:r>
    </w:p>
    <w:p w:rsidR="009F2786" w:rsidRPr="00782022" w:rsidRDefault="009F2786" w:rsidP="00782022">
      <w:pPr>
        <w:pStyle w:val="Heading2"/>
        <w:rPr>
          <w:rFonts w:ascii="Arial" w:hAnsi="Arial" w:cs="Arial"/>
          <w:b/>
          <w:bCs/>
          <w:color w:val="000000" w:themeColor="text1"/>
          <w:sz w:val="28"/>
          <w:szCs w:val="28"/>
        </w:rPr>
      </w:pPr>
      <w:bookmarkStart w:id="15" w:name="_Toc211536070"/>
      <w:r w:rsidRPr="00782022">
        <w:rPr>
          <w:rFonts w:ascii="Arial" w:hAnsi="Arial" w:cs="Arial"/>
          <w:b/>
          <w:bCs/>
          <w:color w:val="000000" w:themeColor="text1"/>
          <w:sz w:val="28"/>
          <w:szCs w:val="28"/>
        </w:rPr>
        <w:t>Person-centered Care (UK) Kitwood Model</w:t>
      </w:r>
      <w:bookmarkEnd w:id="15"/>
    </w:p>
    <w:p w:rsidR="009F2786" w:rsidRPr="009F2786" w:rsidRDefault="009F2786" w:rsidP="009F2786">
      <w:pPr>
        <w:spacing w:line="360" w:lineRule="auto"/>
        <w:jc w:val="both"/>
        <w:rPr>
          <w:rFonts w:ascii="Arial" w:hAnsi="Arial" w:cs="Arial"/>
          <w:sz w:val="22"/>
          <w:szCs w:val="22"/>
        </w:rPr>
      </w:pPr>
      <w:r w:rsidRPr="009F2786">
        <w:rPr>
          <w:rFonts w:ascii="Arial" w:hAnsi="Arial" w:cs="Arial"/>
          <w:sz w:val="22"/>
          <w:szCs w:val="22"/>
        </w:rPr>
        <w:t xml:space="preserve"> The Person-centered Care (PCC) model was created by Tom Kitwood (1997) to transform dementia care into an individual experience of the disease, rather than its pathology. Kitwood claimed that individuals with dementia have not lost their personhood, which is a sense of identity, agency and value that ought to be nurtured by respectful and empathetic relationships. The model focuses on 5 major psychological needs that include comfort, attachment, inclusion, occupation, and identity (Kitwood, 1997). PCC has become a foundation of UK policy and professional practice on dementia in both the NICE guidelines (2018) and the NHS Dementia Well Pathway (2021). It advances relationship-based care and interactions between caregivers and individuals are based on empathy, respect and understanding. It has been demonstrated that person-centred strategies decrease the agitation level, improve mood, and positively influence the quality of life (Fazio et al., 2018).</w:t>
      </w:r>
    </w:p>
    <w:p w:rsidR="009F2786" w:rsidRPr="00782022" w:rsidRDefault="009F2786" w:rsidP="00782022">
      <w:pPr>
        <w:pStyle w:val="Heading2"/>
        <w:rPr>
          <w:rFonts w:ascii="Arial" w:hAnsi="Arial" w:cs="Arial"/>
          <w:b/>
          <w:bCs/>
          <w:color w:val="000000" w:themeColor="text1"/>
          <w:sz w:val="28"/>
          <w:szCs w:val="28"/>
        </w:rPr>
      </w:pPr>
      <w:bookmarkStart w:id="16" w:name="_Toc211536071"/>
      <w:r w:rsidRPr="00782022">
        <w:rPr>
          <w:rFonts w:ascii="Arial" w:hAnsi="Arial" w:cs="Arial"/>
          <w:b/>
          <w:bCs/>
          <w:color w:val="000000" w:themeColor="text1"/>
          <w:sz w:val="28"/>
          <w:szCs w:val="28"/>
        </w:rPr>
        <w:t>WHO Framework of Integrated Care of Older People (ICOPE)</w:t>
      </w:r>
      <w:bookmarkEnd w:id="16"/>
    </w:p>
    <w:p w:rsidR="009F2786" w:rsidRPr="009F2786" w:rsidRDefault="009F2786" w:rsidP="009F2786">
      <w:pPr>
        <w:spacing w:line="360" w:lineRule="auto"/>
        <w:jc w:val="both"/>
        <w:rPr>
          <w:rFonts w:ascii="Arial" w:hAnsi="Arial" w:cs="Arial"/>
          <w:sz w:val="22"/>
          <w:szCs w:val="22"/>
        </w:rPr>
      </w:pPr>
      <w:r w:rsidRPr="009F2786">
        <w:rPr>
          <w:rFonts w:ascii="Arial" w:hAnsi="Arial" w:cs="Arial"/>
          <w:sz w:val="22"/>
          <w:szCs w:val="22"/>
        </w:rPr>
        <w:t xml:space="preserve">A system-level model that can assist in the management of chronic conditions, such as dementia, is the WHO ICOPE Framework (World Health Organization, 2017). It is committed to preserve intrinsic capacity - physical and mental abilities through coordinated community-based </w:t>
      </w:r>
      <w:r w:rsidRPr="009F2786">
        <w:rPr>
          <w:rFonts w:ascii="Arial" w:hAnsi="Arial" w:cs="Arial"/>
          <w:sz w:val="22"/>
          <w:szCs w:val="22"/>
        </w:rPr>
        <w:lastRenderedPageBreak/>
        <w:t>care. The ICOPE model is organized utilizing six domains, including self-management support, delivery system design, decision support, clinical information systems, community resources, and policy linkage (WHO, 2017). The key element of ICOPE is self-management support, which enables older adults and carers to engage in care decisions and apply digital health tools to monitor symptoms and receive education (Bousquet et al., 2019).</w:t>
      </w:r>
    </w:p>
    <w:p w:rsidR="00FD5752" w:rsidRPr="00782022" w:rsidRDefault="00FD5752" w:rsidP="00782022">
      <w:pPr>
        <w:pStyle w:val="Heading1"/>
        <w:rPr>
          <w:rFonts w:ascii="Arial" w:hAnsi="Arial" w:cs="Arial"/>
          <w:b/>
          <w:bCs/>
          <w:color w:val="000000" w:themeColor="text1"/>
          <w:sz w:val="32"/>
          <w:szCs w:val="32"/>
        </w:rPr>
      </w:pPr>
      <w:bookmarkStart w:id="17" w:name="_Toc211536072"/>
      <w:r w:rsidRPr="00782022">
        <w:rPr>
          <w:rFonts w:ascii="Arial" w:hAnsi="Arial" w:cs="Arial"/>
          <w:b/>
          <w:bCs/>
          <w:color w:val="000000" w:themeColor="text1"/>
          <w:sz w:val="32"/>
          <w:szCs w:val="32"/>
        </w:rPr>
        <w:t>Policy and Political Context</w:t>
      </w:r>
      <w:bookmarkEnd w:id="17"/>
    </w:p>
    <w:p w:rsidR="009F2786" w:rsidRPr="00782022" w:rsidRDefault="009F2786" w:rsidP="00782022">
      <w:pPr>
        <w:spacing w:line="360" w:lineRule="auto"/>
        <w:jc w:val="both"/>
        <w:rPr>
          <w:rFonts w:ascii="Arial" w:hAnsi="Arial" w:cs="Arial"/>
          <w:sz w:val="22"/>
          <w:szCs w:val="22"/>
        </w:rPr>
      </w:pPr>
      <w:r w:rsidRPr="00782022">
        <w:rPr>
          <w:rFonts w:ascii="Arial" w:hAnsi="Arial" w:cs="Arial"/>
          <w:sz w:val="22"/>
          <w:szCs w:val="22"/>
        </w:rPr>
        <w:t>The UK policies regarding national health and social care have had a significant impact on dementia care by seeking to ensure better outcomes, improvement in service delivery, and offer support to individuals and families with long-term conditions. In the UK, the government acknowledges dementia as a significant health issue, and by 2025, more than 944000 individuals with dementia are living in the UK, which will be increased to 1.6 million by 2040 (Alzheimer's Society, 2025).</w:t>
      </w:r>
    </w:p>
    <w:p w:rsidR="009F2786" w:rsidRDefault="009F2786" w:rsidP="00782022">
      <w:pPr>
        <w:spacing w:line="360" w:lineRule="auto"/>
        <w:jc w:val="both"/>
        <w:rPr>
          <w:rFonts w:ascii="Arial" w:hAnsi="Arial" w:cs="Arial"/>
          <w:b/>
          <w:bCs/>
          <w:sz w:val="22"/>
          <w:szCs w:val="22"/>
        </w:rPr>
      </w:pPr>
      <w:r w:rsidRPr="00782022">
        <w:rPr>
          <w:rFonts w:ascii="Arial" w:hAnsi="Arial" w:cs="Arial"/>
          <w:b/>
          <w:bCs/>
          <w:sz w:val="22"/>
          <w:szCs w:val="22"/>
        </w:rPr>
        <w:t xml:space="preserve">Dementia Strategies at National Level </w:t>
      </w:r>
    </w:p>
    <w:p w:rsidR="00C634BD" w:rsidRPr="00C634BD" w:rsidRDefault="00C634BD" w:rsidP="00782022">
      <w:pPr>
        <w:spacing w:line="360" w:lineRule="auto"/>
        <w:jc w:val="both"/>
        <w:rPr>
          <w:rFonts w:ascii="Arial" w:hAnsi="Arial" w:cs="Arial"/>
          <w:sz w:val="22"/>
          <w:szCs w:val="22"/>
        </w:rPr>
      </w:pPr>
      <w:r w:rsidRPr="00C634BD">
        <w:rPr>
          <w:rFonts w:ascii="Arial" w:hAnsi="Arial" w:cs="Arial"/>
          <w:sz w:val="22"/>
          <w:szCs w:val="22"/>
        </w:rPr>
        <w:t>The Challenger Dementia 2020 was an innovative initiative that aimed at improving the extent of diagnosis, quality care, and care delivery to the carers. The increasing levels of public awareness, provision of health and social care services, and facilitating the investigation of prevention and treatment were among the priority objectives (Department of Health and Social Care, 2015). Then, the need to identify the disease at an early stage, develop an individual care plan, and deliver the post-diagnostic care was reinforced in the NHS Long Term Plan (2019). It describes the significance of multidisciplinary teams (MDT) work, digital tools of care coordination, and the improvement of memory services (NHS England, 2019).</w:t>
      </w:r>
    </w:p>
    <w:p w:rsidR="009F2786" w:rsidRPr="00782022" w:rsidRDefault="009F2786" w:rsidP="00782022">
      <w:pPr>
        <w:spacing w:line="360" w:lineRule="auto"/>
        <w:jc w:val="both"/>
        <w:rPr>
          <w:rFonts w:ascii="Arial" w:hAnsi="Arial" w:cs="Arial"/>
          <w:b/>
          <w:bCs/>
          <w:sz w:val="22"/>
          <w:szCs w:val="22"/>
        </w:rPr>
      </w:pPr>
      <w:r w:rsidRPr="00782022">
        <w:rPr>
          <w:rFonts w:ascii="Arial" w:hAnsi="Arial" w:cs="Arial"/>
          <w:b/>
          <w:bCs/>
          <w:sz w:val="22"/>
          <w:szCs w:val="22"/>
        </w:rPr>
        <w:t xml:space="preserve">Carer Support and Social Policy </w:t>
      </w:r>
    </w:p>
    <w:p w:rsidR="00C634BD" w:rsidRDefault="00C634BD" w:rsidP="00782022">
      <w:pPr>
        <w:spacing w:line="360" w:lineRule="auto"/>
        <w:jc w:val="both"/>
        <w:rPr>
          <w:rFonts w:ascii="Arial" w:hAnsi="Arial" w:cs="Arial"/>
          <w:sz w:val="22"/>
          <w:szCs w:val="22"/>
        </w:rPr>
      </w:pPr>
      <w:r w:rsidRPr="00C634BD">
        <w:rPr>
          <w:rFonts w:ascii="Arial" w:hAnsi="Arial" w:cs="Arial"/>
          <w:sz w:val="22"/>
          <w:szCs w:val="22"/>
        </w:rPr>
        <w:t>The UK policies also address the social aspects of dementia including the Carers Action Plan (2018-2020) that is aimed at training, financial support, and respite services of the informal caregivers (Department of Health and Social Care, 2018). Due to the financial and emotional strain of managing and treating autistic children, the financial support mechanisms including Carer allowance and local council funded respite offer such support.</w:t>
      </w:r>
    </w:p>
    <w:p w:rsidR="00C634BD" w:rsidRPr="00C634BD" w:rsidRDefault="009F2786" w:rsidP="00782022">
      <w:pPr>
        <w:spacing w:line="360" w:lineRule="auto"/>
        <w:jc w:val="both"/>
        <w:rPr>
          <w:rFonts w:ascii="Arial" w:hAnsi="Arial" w:cs="Arial"/>
          <w:b/>
          <w:bCs/>
          <w:sz w:val="22"/>
          <w:szCs w:val="22"/>
        </w:rPr>
      </w:pPr>
      <w:r w:rsidRPr="00C634BD">
        <w:rPr>
          <w:rFonts w:ascii="Arial" w:hAnsi="Arial" w:cs="Arial"/>
          <w:b/>
          <w:bCs/>
          <w:sz w:val="22"/>
          <w:szCs w:val="22"/>
        </w:rPr>
        <w:t>International Policy Alignment</w:t>
      </w:r>
    </w:p>
    <w:p w:rsidR="00C634BD" w:rsidRDefault="00C634BD" w:rsidP="00782022">
      <w:pPr>
        <w:spacing w:line="360" w:lineRule="auto"/>
        <w:jc w:val="both"/>
        <w:rPr>
          <w:rFonts w:ascii="Arial" w:hAnsi="Arial" w:cs="Arial"/>
          <w:sz w:val="22"/>
          <w:szCs w:val="22"/>
        </w:rPr>
      </w:pPr>
      <w:r w:rsidRPr="00C634BD">
        <w:rPr>
          <w:rFonts w:ascii="Arial" w:hAnsi="Arial" w:cs="Arial"/>
          <w:sz w:val="22"/>
          <w:szCs w:val="22"/>
        </w:rPr>
        <w:t xml:space="preserve">he UK dementia policies align with the international guidelines, such as the WHO Global Action Plan on the Public Health Response to Dementia 2017-2025, which is aimed at the minimization </w:t>
      </w:r>
      <w:r w:rsidRPr="00C634BD">
        <w:rPr>
          <w:rFonts w:ascii="Arial" w:hAnsi="Arial" w:cs="Arial"/>
          <w:sz w:val="22"/>
          <w:szCs w:val="22"/>
        </w:rPr>
        <w:lastRenderedPageBreak/>
        <w:t>of risks, awareness, and integrated care systems (WHO, 2017). This congruency holds that UK strategies have the access to the best practice in the world and also addressing the needs of its local population.</w:t>
      </w:r>
    </w:p>
    <w:p w:rsidR="00FD5752" w:rsidRPr="00782022" w:rsidRDefault="00FD5752" w:rsidP="00782022">
      <w:pPr>
        <w:pStyle w:val="Heading1"/>
        <w:rPr>
          <w:rFonts w:ascii="Arial" w:hAnsi="Arial" w:cs="Arial"/>
          <w:b/>
          <w:bCs/>
          <w:color w:val="000000" w:themeColor="text1"/>
          <w:sz w:val="32"/>
          <w:szCs w:val="32"/>
        </w:rPr>
      </w:pPr>
      <w:bookmarkStart w:id="18" w:name="_Toc211536073"/>
      <w:r w:rsidRPr="00782022">
        <w:rPr>
          <w:rFonts w:ascii="Arial" w:hAnsi="Arial" w:cs="Arial"/>
          <w:b/>
          <w:bCs/>
          <w:color w:val="000000" w:themeColor="text1"/>
          <w:sz w:val="32"/>
          <w:szCs w:val="32"/>
        </w:rPr>
        <w:t>Recommendations for Improvement</w:t>
      </w:r>
      <w:bookmarkEnd w:id="18"/>
    </w:p>
    <w:p w:rsidR="00E53675" w:rsidRPr="00782022" w:rsidRDefault="00E53675" w:rsidP="00782022">
      <w:pPr>
        <w:spacing w:line="360" w:lineRule="auto"/>
        <w:jc w:val="both"/>
        <w:rPr>
          <w:rFonts w:ascii="Arial" w:hAnsi="Arial" w:cs="Arial"/>
          <w:sz w:val="22"/>
          <w:szCs w:val="22"/>
        </w:rPr>
      </w:pPr>
      <w:r w:rsidRPr="00782022">
        <w:rPr>
          <w:rFonts w:ascii="Arial" w:hAnsi="Arial" w:cs="Arial"/>
          <w:sz w:val="22"/>
          <w:szCs w:val="22"/>
        </w:rPr>
        <w:t>Dementia management needs continuous development of holistic, person-</w:t>
      </w:r>
      <w:r w:rsidR="00782022" w:rsidRPr="00782022">
        <w:rPr>
          <w:rFonts w:ascii="Arial" w:hAnsi="Arial" w:cs="Arial"/>
          <w:sz w:val="22"/>
          <w:szCs w:val="22"/>
        </w:rPr>
        <w:t>centered</w:t>
      </w:r>
      <w:r w:rsidRPr="00782022">
        <w:rPr>
          <w:rFonts w:ascii="Arial" w:hAnsi="Arial" w:cs="Arial"/>
          <w:sz w:val="22"/>
          <w:szCs w:val="22"/>
        </w:rPr>
        <w:t xml:space="preserve">, and evidence-based services and care approaches. Although a lot has been achieved in the UK, it is still possible to further improve the quality of life and support self-management and care delivery to people with dementia in addition to their families. </w:t>
      </w:r>
    </w:p>
    <w:p w:rsidR="00E53675" w:rsidRPr="00782022" w:rsidRDefault="00E53675" w:rsidP="00782022">
      <w:pPr>
        <w:spacing w:line="360" w:lineRule="auto"/>
        <w:jc w:val="both"/>
        <w:rPr>
          <w:rFonts w:ascii="Arial" w:hAnsi="Arial" w:cs="Arial"/>
          <w:b/>
          <w:bCs/>
          <w:sz w:val="22"/>
          <w:szCs w:val="22"/>
        </w:rPr>
      </w:pPr>
      <w:r w:rsidRPr="00782022">
        <w:rPr>
          <w:rFonts w:ascii="Arial" w:hAnsi="Arial" w:cs="Arial"/>
          <w:b/>
          <w:bCs/>
          <w:sz w:val="22"/>
          <w:szCs w:val="22"/>
        </w:rPr>
        <w:t>Enhancing Person-Centered Care</w:t>
      </w:r>
    </w:p>
    <w:p w:rsidR="00E53675" w:rsidRPr="00782022" w:rsidRDefault="00E53675" w:rsidP="00782022">
      <w:pPr>
        <w:spacing w:line="360" w:lineRule="auto"/>
        <w:jc w:val="both"/>
        <w:rPr>
          <w:rFonts w:ascii="Arial" w:hAnsi="Arial" w:cs="Arial"/>
          <w:sz w:val="22"/>
          <w:szCs w:val="22"/>
        </w:rPr>
      </w:pPr>
      <w:r w:rsidRPr="00782022">
        <w:rPr>
          <w:rFonts w:ascii="Arial" w:hAnsi="Arial" w:cs="Arial"/>
          <w:sz w:val="22"/>
          <w:szCs w:val="22"/>
        </w:rPr>
        <w:t xml:space="preserve">Dementia services should be anchored on person-centered care (PCC). The application of the Kitwood model to more care settings, such as hospitals, memory clinics, or community services, can also be useful to enhance the results as care will be provided based on individual preferences, abilities, and histories (Brooker and Latham, 2016). A high-quality communication, relationship building, and empathy should be prioritized in staff training programs, which should be reinforced by reflective practice and supervision (Fazio et al., 2018). The principles of PCC can as well be integrated into electronic care planning systems to ensure that all professionals engaged in care are in a position to access customized information to facilitate uniformity and continuity. </w:t>
      </w:r>
    </w:p>
    <w:p w:rsidR="00E53675" w:rsidRPr="00782022" w:rsidRDefault="00E53675" w:rsidP="00782022">
      <w:pPr>
        <w:spacing w:line="360" w:lineRule="auto"/>
        <w:jc w:val="both"/>
        <w:rPr>
          <w:rFonts w:ascii="Arial" w:hAnsi="Arial" w:cs="Arial"/>
          <w:b/>
          <w:bCs/>
          <w:sz w:val="22"/>
          <w:szCs w:val="22"/>
        </w:rPr>
      </w:pPr>
      <w:r w:rsidRPr="00782022">
        <w:rPr>
          <w:rFonts w:ascii="Arial" w:hAnsi="Arial" w:cs="Arial"/>
          <w:b/>
          <w:bCs/>
          <w:sz w:val="22"/>
          <w:szCs w:val="22"/>
        </w:rPr>
        <w:t>Advocating Self-Management and Carer Support</w:t>
      </w:r>
    </w:p>
    <w:p w:rsidR="00E53675" w:rsidRPr="00782022" w:rsidRDefault="00E53675" w:rsidP="00782022">
      <w:pPr>
        <w:spacing w:line="360" w:lineRule="auto"/>
        <w:jc w:val="both"/>
        <w:rPr>
          <w:rFonts w:ascii="Arial" w:hAnsi="Arial" w:cs="Arial"/>
          <w:sz w:val="22"/>
          <w:szCs w:val="22"/>
        </w:rPr>
      </w:pPr>
      <w:r w:rsidRPr="00782022">
        <w:rPr>
          <w:rFonts w:ascii="Arial" w:hAnsi="Arial" w:cs="Arial"/>
          <w:sz w:val="22"/>
          <w:szCs w:val="22"/>
        </w:rPr>
        <w:t xml:space="preserve">Individuals with dementia should be empowered to be involved in their care and this will allow them to be independent and will decrease the burden on the caregivers. Daily functioning can be improved with the help of memory support, computer reminders, and organized activity programs (Boustani et al., 2021). Based on the Carers Action Plan, carers are supposed to be offered specific assistance, such as training regarding symptom management, coping mechanisms, and access to respite services (DHSC, 2018). MDTs are recommended to work together in order to track functional deterioration, identify requirements before they arise, and customize interventions, promote shared decision-making, and enhance overall outcomes. </w:t>
      </w:r>
    </w:p>
    <w:p w:rsidR="00E53675" w:rsidRPr="00782022" w:rsidRDefault="00E53675" w:rsidP="00782022">
      <w:pPr>
        <w:spacing w:line="360" w:lineRule="auto"/>
        <w:jc w:val="both"/>
        <w:rPr>
          <w:rFonts w:ascii="Arial" w:hAnsi="Arial" w:cs="Arial"/>
          <w:b/>
          <w:bCs/>
          <w:sz w:val="22"/>
          <w:szCs w:val="22"/>
        </w:rPr>
      </w:pPr>
      <w:r w:rsidRPr="00782022">
        <w:rPr>
          <w:rFonts w:ascii="Arial" w:hAnsi="Arial" w:cs="Arial"/>
          <w:b/>
          <w:bCs/>
          <w:sz w:val="22"/>
          <w:szCs w:val="22"/>
        </w:rPr>
        <w:t xml:space="preserve">Enhancing End-of-Life Care </w:t>
      </w:r>
    </w:p>
    <w:p w:rsidR="00E53675" w:rsidRPr="00782022" w:rsidRDefault="00E53675" w:rsidP="00782022">
      <w:pPr>
        <w:spacing w:line="360" w:lineRule="auto"/>
        <w:jc w:val="both"/>
        <w:rPr>
          <w:rFonts w:ascii="Arial" w:hAnsi="Arial" w:cs="Arial"/>
          <w:sz w:val="22"/>
          <w:szCs w:val="22"/>
        </w:rPr>
      </w:pPr>
      <w:r w:rsidRPr="00782022">
        <w:rPr>
          <w:rFonts w:ascii="Arial" w:hAnsi="Arial" w:cs="Arial"/>
          <w:sz w:val="22"/>
          <w:szCs w:val="22"/>
        </w:rPr>
        <w:t xml:space="preserve">Dementia is a disease that develops over time and advanced care planning is necessary to provide dignity at the end of life. The initial conversations concerning preferences regarding </w:t>
      </w:r>
      <w:r w:rsidRPr="00782022">
        <w:rPr>
          <w:rFonts w:ascii="Arial" w:hAnsi="Arial" w:cs="Arial"/>
          <w:sz w:val="22"/>
          <w:szCs w:val="22"/>
        </w:rPr>
        <w:lastRenderedPageBreak/>
        <w:t xml:space="preserve">care, palliative care, and symptom care should become a norm (van der Steen et al., 2014). By placing memory services and primary care providers together with the palliative care teams, one will be able to provide holistic support to the client and consider the physical, psychological, and spiritual needs. It has been shown that timely involvement of palliative care minimizes avoidable hospitalization, pain, and enhances family satisfaction (Ferri et al., 2020). </w:t>
      </w:r>
    </w:p>
    <w:p w:rsidR="00E53675" w:rsidRPr="00782022" w:rsidRDefault="00E53675" w:rsidP="00782022">
      <w:pPr>
        <w:spacing w:line="360" w:lineRule="auto"/>
        <w:jc w:val="both"/>
        <w:rPr>
          <w:rFonts w:ascii="Arial" w:hAnsi="Arial" w:cs="Arial"/>
          <w:b/>
          <w:bCs/>
          <w:sz w:val="22"/>
          <w:szCs w:val="22"/>
        </w:rPr>
      </w:pPr>
      <w:r w:rsidRPr="00782022">
        <w:rPr>
          <w:rFonts w:ascii="Arial" w:hAnsi="Arial" w:cs="Arial"/>
          <w:b/>
          <w:bCs/>
          <w:sz w:val="22"/>
          <w:szCs w:val="22"/>
        </w:rPr>
        <w:t>Leveraging Technology and Innovation</w:t>
      </w:r>
    </w:p>
    <w:p w:rsidR="00E53675" w:rsidRPr="00782022" w:rsidRDefault="00E53675" w:rsidP="00782022">
      <w:pPr>
        <w:spacing w:line="360" w:lineRule="auto"/>
        <w:jc w:val="both"/>
        <w:rPr>
          <w:rFonts w:ascii="Arial" w:hAnsi="Arial" w:cs="Arial"/>
          <w:sz w:val="22"/>
          <w:szCs w:val="22"/>
        </w:rPr>
      </w:pPr>
      <w:r w:rsidRPr="00782022">
        <w:rPr>
          <w:rFonts w:ascii="Arial" w:hAnsi="Arial" w:cs="Arial"/>
          <w:sz w:val="22"/>
          <w:szCs w:val="22"/>
        </w:rPr>
        <w:t xml:space="preserve"> Care coordination and self-management can be improved with the help of digital tools and telehealth. Electronic care records, distance monitoring, and virtual consultations allow acting in time, and assist people at their home (WHO, 2023). Cognitive stimulation, symptom management, and medication are examples of aspects that can be enhanced through mobile applications and wearable devices to enhance independence and safety. </w:t>
      </w:r>
    </w:p>
    <w:p w:rsidR="00280FE4" w:rsidRDefault="00280FE4">
      <w:pPr>
        <w:rPr>
          <w:b/>
          <w:bCs/>
        </w:rPr>
      </w:pPr>
      <w:r>
        <w:rPr>
          <w:b/>
          <w:bCs/>
        </w:rPr>
        <w:br w:type="page"/>
      </w:r>
    </w:p>
    <w:p w:rsidR="00C7154A" w:rsidRDefault="00FD5752" w:rsidP="00FD5752">
      <w:pPr>
        <w:rPr>
          <w:b/>
          <w:bCs/>
        </w:rPr>
      </w:pPr>
      <w:r w:rsidRPr="00FD5752">
        <w:rPr>
          <w:b/>
          <w:bCs/>
        </w:rPr>
        <w:lastRenderedPageBreak/>
        <w:t>References</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Alzheimer’s Society (2025) 'Dementia statistics'. Available at: </w:t>
      </w:r>
      <w:hyperlink r:id="rId9" w:tgtFrame="_new" w:history="1">
        <w:r w:rsidRPr="00862EF9">
          <w:rPr>
            <w:rStyle w:val="Hyperlink"/>
            <w:rFonts w:ascii="Arial" w:hAnsi="Arial" w:cs="Arial"/>
            <w:sz w:val="22"/>
            <w:szCs w:val="22"/>
          </w:rPr>
          <w:t>https://www.alzheimers.org.uk/about-us/news-and-media/facts-media</w:t>
        </w:r>
      </w:hyperlink>
      <w:r w:rsidRPr="00862EF9">
        <w:rPr>
          <w:rFonts w:ascii="Arial" w:hAnsi="Arial" w:cs="Arial"/>
          <w:sz w:val="22"/>
          <w:szCs w:val="22"/>
        </w:rPr>
        <w:t xml:space="preserve"> (Accessed: 16 October 2025).</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Alzheimer’s Society (2024) </w:t>
      </w:r>
      <w:r w:rsidRPr="00862EF9">
        <w:rPr>
          <w:rFonts w:ascii="Arial" w:hAnsi="Arial" w:cs="Arial"/>
          <w:i/>
          <w:iCs/>
          <w:sz w:val="22"/>
          <w:szCs w:val="22"/>
        </w:rPr>
        <w:t>Understanding dementia: Symptoms, diagnosis, and care</w:t>
      </w:r>
      <w:r w:rsidRPr="00862EF9">
        <w:rPr>
          <w:rFonts w:ascii="Arial" w:hAnsi="Arial" w:cs="Arial"/>
          <w:sz w:val="22"/>
          <w:szCs w:val="22"/>
        </w:rPr>
        <w:t>. London: Alzheimer’s Society.</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Alzheimer’s Society (2023) </w:t>
      </w:r>
      <w:r w:rsidRPr="00862EF9">
        <w:rPr>
          <w:rFonts w:ascii="Arial" w:hAnsi="Arial" w:cs="Arial"/>
          <w:i/>
          <w:iCs/>
          <w:sz w:val="22"/>
          <w:szCs w:val="22"/>
        </w:rPr>
        <w:t>Dementia and carers: Supporting families</w:t>
      </w:r>
      <w:r w:rsidRPr="00862EF9">
        <w:rPr>
          <w:rFonts w:ascii="Arial" w:hAnsi="Arial" w:cs="Arial"/>
          <w:sz w:val="22"/>
          <w:szCs w:val="22"/>
        </w:rPr>
        <w:t>. London: Alzheimer’s Society.</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Alzheimer’s Research UK (2024) 'Dementia prevalence and risk factors'. Available at: </w:t>
      </w:r>
      <w:hyperlink r:id="rId10" w:tgtFrame="_new" w:history="1">
        <w:r w:rsidRPr="00862EF9">
          <w:rPr>
            <w:rStyle w:val="Hyperlink"/>
            <w:rFonts w:ascii="Arial" w:hAnsi="Arial" w:cs="Arial"/>
            <w:sz w:val="22"/>
            <w:szCs w:val="22"/>
          </w:rPr>
          <w:t>https://www.alzheimersresearchuk.org/dementia-information/dementia-risk/</w:t>
        </w:r>
      </w:hyperlink>
      <w:r w:rsidRPr="00862EF9">
        <w:rPr>
          <w:rFonts w:ascii="Arial" w:hAnsi="Arial" w:cs="Arial"/>
          <w:sz w:val="22"/>
          <w:szCs w:val="22"/>
        </w:rPr>
        <w:t xml:space="preserve"> (Accessed: 16 October 2025).</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Boustani, M., Peterson, B., Hanson, L. and Harris, R. (2021) 'Innovations in dementia care: Evidence-based strategies for self-management', </w:t>
      </w:r>
      <w:r w:rsidRPr="00862EF9">
        <w:rPr>
          <w:rFonts w:ascii="Arial" w:hAnsi="Arial" w:cs="Arial"/>
          <w:i/>
          <w:iCs/>
          <w:sz w:val="22"/>
          <w:szCs w:val="22"/>
        </w:rPr>
        <w:t>Journal of the American Geriatrics Society</w:t>
      </w:r>
      <w:r w:rsidRPr="00862EF9">
        <w:rPr>
          <w:rFonts w:ascii="Arial" w:hAnsi="Arial" w:cs="Arial"/>
          <w:sz w:val="22"/>
          <w:szCs w:val="22"/>
        </w:rPr>
        <w:t xml:space="preserve">, 69(4), pp. 1025–1034. Available at: </w:t>
      </w:r>
      <w:hyperlink r:id="rId11" w:history="1">
        <w:r w:rsidRPr="00862EF9">
          <w:rPr>
            <w:rStyle w:val="Hyperlink"/>
            <w:rFonts w:ascii="Arial" w:hAnsi="Arial" w:cs="Arial"/>
            <w:sz w:val="22"/>
            <w:szCs w:val="22"/>
          </w:rPr>
          <w:t>https://doi.org/10.1111/jgs.17035</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Brooker, D. and Latham, I. (2016) </w:t>
      </w:r>
      <w:r w:rsidRPr="00862EF9">
        <w:rPr>
          <w:rFonts w:ascii="Arial" w:hAnsi="Arial" w:cs="Arial"/>
          <w:i/>
          <w:iCs/>
          <w:sz w:val="22"/>
          <w:szCs w:val="22"/>
        </w:rPr>
        <w:t>Person-centred dementia care: Making services better with the VIPS framework</w:t>
      </w:r>
      <w:r w:rsidRPr="00862EF9">
        <w:rPr>
          <w:rFonts w:ascii="Arial" w:hAnsi="Arial" w:cs="Arial"/>
          <w:sz w:val="22"/>
          <w:szCs w:val="22"/>
        </w:rPr>
        <w:t>. London: Jessica Kingsley Publishers.</w:t>
      </w:r>
    </w:p>
    <w:p w:rsidR="00D8009A" w:rsidRDefault="00862EF9" w:rsidP="00D8009A">
      <w:pPr>
        <w:spacing w:after="0" w:line="480" w:lineRule="auto"/>
        <w:ind w:left="720" w:hanging="720"/>
        <w:jc w:val="both"/>
        <w:rPr>
          <w:rFonts w:ascii="Arial" w:hAnsi="Arial" w:cs="Arial"/>
          <w:sz w:val="22"/>
          <w:szCs w:val="22"/>
        </w:rPr>
      </w:pPr>
      <w:r w:rsidRPr="00862EF9">
        <w:rPr>
          <w:rFonts w:ascii="Arial" w:hAnsi="Arial" w:cs="Arial"/>
          <w:sz w:val="22"/>
          <w:szCs w:val="22"/>
        </w:rPr>
        <w:t xml:space="preserve">Brooker, D. (2004) 'What is person-centred care in dementia?', </w:t>
      </w:r>
      <w:r w:rsidRPr="00862EF9">
        <w:rPr>
          <w:rFonts w:ascii="Arial" w:hAnsi="Arial" w:cs="Arial"/>
          <w:i/>
          <w:iCs/>
          <w:sz w:val="22"/>
          <w:szCs w:val="22"/>
        </w:rPr>
        <w:t>Reviews in Clinical Gerontology</w:t>
      </w:r>
      <w:r w:rsidRPr="00862EF9">
        <w:rPr>
          <w:rFonts w:ascii="Arial" w:hAnsi="Arial" w:cs="Arial"/>
          <w:sz w:val="22"/>
          <w:szCs w:val="22"/>
        </w:rPr>
        <w:t xml:space="preserve">, 13(3), pp. 215–222. Available at: </w:t>
      </w:r>
      <w:hyperlink r:id="rId12" w:history="1">
        <w:r w:rsidRPr="00862EF9">
          <w:rPr>
            <w:rStyle w:val="Hyperlink"/>
            <w:rFonts w:ascii="Arial" w:hAnsi="Arial" w:cs="Arial"/>
            <w:sz w:val="22"/>
            <w:szCs w:val="22"/>
          </w:rPr>
          <w:t>https://doi.org/10.1017/S095925980400108X</w:t>
        </w:r>
      </w:hyperlink>
    </w:p>
    <w:p w:rsidR="00862EF9" w:rsidRPr="00862EF9" w:rsidRDefault="00862EF9" w:rsidP="00D8009A">
      <w:pPr>
        <w:spacing w:after="0" w:line="480" w:lineRule="auto"/>
        <w:ind w:left="720" w:hanging="720"/>
        <w:jc w:val="both"/>
        <w:rPr>
          <w:rFonts w:ascii="Arial" w:hAnsi="Arial" w:cs="Arial"/>
          <w:sz w:val="22"/>
          <w:szCs w:val="22"/>
        </w:rPr>
      </w:pPr>
      <w:r w:rsidRPr="00862EF9">
        <w:rPr>
          <w:rFonts w:ascii="Arial" w:hAnsi="Arial" w:cs="Arial"/>
          <w:sz w:val="22"/>
          <w:szCs w:val="22"/>
        </w:rPr>
        <w:t xml:space="preserve">Cahill, S., Pierce, M., Werner, P. and Darley, A. (2015) 'Public health approaches to dementia care: UK perspectives', </w:t>
      </w:r>
      <w:r w:rsidRPr="00862EF9">
        <w:rPr>
          <w:rFonts w:ascii="Arial" w:hAnsi="Arial" w:cs="Arial"/>
          <w:i/>
          <w:iCs/>
          <w:sz w:val="22"/>
          <w:szCs w:val="22"/>
        </w:rPr>
        <w:t>International Journal of Geriatric Psychiatry</w:t>
      </w:r>
      <w:r w:rsidRPr="00862EF9">
        <w:rPr>
          <w:rFonts w:ascii="Arial" w:hAnsi="Arial" w:cs="Arial"/>
          <w:sz w:val="22"/>
          <w:szCs w:val="22"/>
        </w:rPr>
        <w:t xml:space="preserve">, 30(12), pp. 1215–1222. Available at: </w:t>
      </w:r>
      <w:hyperlink r:id="rId13" w:history="1">
        <w:r w:rsidRPr="00862EF9">
          <w:rPr>
            <w:rStyle w:val="Hyperlink"/>
            <w:rFonts w:ascii="Arial" w:hAnsi="Arial" w:cs="Arial"/>
            <w:sz w:val="22"/>
            <w:szCs w:val="22"/>
          </w:rPr>
          <w:t>https://doi.org/10.1002/gps.4290</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Department of Health &amp; Social Care (DHSC) (2015) </w:t>
      </w:r>
      <w:r w:rsidRPr="00862EF9">
        <w:rPr>
          <w:rFonts w:ascii="Arial" w:hAnsi="Arial" w:cs="Arial"/>
          <w:i/>
          <w:iCs/>
          <w:sz w:val="22"/>
          <w:szCs w:val="22"/>
        </w:rPr>
        <w:t>Prime Minister’s Challenge on Dementia 2020</w:t>
      </w:r>
      <w:r w:rsidRPr="00862EF9">
        <w:rPr>
          <w:rFonts w:ascii="Arial" w:hAnsi="Arial" w:cs="Arial"/>
          <w:sz w:val="22"/>
          <w:szCs w:val="22"/>
        </w:rPr>
        <w:t>. London: DHSC.</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Department of Health &amp; Social Care (DHSC) (2018) </w:t>
      </w:r>
      <w:r w:rsidRPr="00862EF9">
        <w:rPr>
          <w:rFonts w:ascii="Arial" w:hAnsi="Arial" w:cs="Arial"/>
          <w:i/>
          <w:iCs/>
          <w:sz w:val="22"/>
          <w:szCs w:val="22"/>
        </w:rPr>
        <w:t>Carers Action Plan 2018–2020</w:t>
      </w:r>
      <w:r w:rsidRPr="00862EF9">
        <w:rPr>
          <w:rFonts w:ascii="Arial" w:hAnsi="Arial" w:cs="Arial"/>
          <w:sz w:val="22"/>
          <w:szCs w:val="22"/>
        </w:rPr>
        <w:t>. London: DHSC.</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lastRenderedPageBreak/>
        <w:t xml:space="preserve">Fazio, S., Pace, D., Flinner, J. and Kallmyer, B. (2018) 'The fundamentals of person-centred dementia care: A policy framework and approach', </w:t>
      </w:r>
      <w:r w:rsidRPr="00862EF9">
        <w:rPr>
          <w:rFonts w:ascii="Arial" w:hAnsi="Arial" w:cs="Arial"/>
          <w:i/>
          <w:iCs/>
          <w:sz w:val="22"/>
          <w:szCs w:val="22"/>
        </w:rPr>
        <w:t>The Gerontologist</w:t>
      </w:r>
      <w:r w:rsidRPr="00862EF9">
        <w:rPr>
          <w:rFonts w:ascii="Arial" w:hAnsi="Arial" w:cs="Arial"/>
          <w:sz w:val="22"/>
          <w:szCs w:val="22"/>
        </w:rPr>
        <w:t xml:space="preserve">, 58(Suppl 1), pp. S10–S19. Available at: </w:t>
      </w:r>
      <w:hyperlink r:id="rId14" w:history="1">
        <w:r w:rsidRPr="00862EF9">
          <w:rPr>
            <w:rStyle w:val="Hyperlink"/>
            <w:rFonts w:ascii="Arial" w:hAnsi="Arial" w:cs="Arial"/>
            <w:sz w:val="22"/>
            <w:szCs w:val="22"/>
          </w:rPr>
          <w:t>https://doi.org/10.1093/geront/gnx122</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Ferri, C.P., Lobo, A., Jorm, A.F., Prince, M., and Brayne, C. (2020) 'Palliative care for people with dementia: Evidence and recommendations', </w:t>
      </w:r>
      <w:r w:rsidRPr="00862EF9">
        <w:rPr>
          <w:rFonts w:ascii="Arial" w:hAnsi="Arial" w:cs="Arial"/>
          <w:i/>
          <w:iCs/>
          <w:sz w:val="22"/>
          <w:szCs w:val="22"/>
        </w:rPr>
        <w:t>BMC Palliative Care</w:t>
      </w:r>
      <w:r w:rsidRPr="00862EF9">
        <w:rPr>
          <w:rFonts w:ascii="Arial" w:hAnsi="Arial" w:cs="Arial"/>
          <w:sz w:val="22"/>
          <w:szCs w:val="22"/>
        </w:rPr>
        <w:t xml:space="preserve">, 19(1), pp. 1–12. Available at: </w:t>
      </w:r>
      <w:hyperlink r:id="rId15" w:history="1">
        <w:r w:rsidRPr="00862EF9">
          <w:rPr>
            <w:rStyle w:val="Hyperlink"/>
            <w:rFonts w:ascii="Arial" w:hAnsi="Arial" w:cs="Arial"/>
            <w:sz w:val="22"/>
            <w:szCs w:val="22"/>
          </w:rPr>
          <w:t>https://doi.org/10.1186/s12904-020-00601-7</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Gaugler, J.E., Kane, R.L., Kane, R.A., and Newcomer, R. (2005) 'Unmet care needs and key outcomes in dementia', </w:t>
      </w:r>
      <w:r w:rsidRPr="00862EF9">
        <w:rPr>
          <w:rFonts w:ascii="Arial" w:hAnsi="Arial" w:cs="Arial"/>
          <w:i/>
          <w:iCs/>
          <w:sz w:val="22"/>
          <w:szCs w:val="22"/>
        </w:rPr>
        <w:t>Journal of the American Geriatrics Society</w:t>
      </w:r>
      <w:r w:rsidRPr="00862EF9">
        <w:rPr>
          <w:rFonts w:ascii="Arial" w:hAnsi="Arial" w:cs="Arial"/>
          <w:sz w:val="22"/>
          <w:szCs w:val="22"/>
        </w:rPr>
        <w:t xml:space="preserve">, 53(12), pp. 2098–2105. Available at: </w:t>
      </w:r>
      <w:hyperlink r:id="rId16" w:history="1">
        <w:r w:rsidRPr="00862EF9">
          <w:rPr>
            <w:rStyle w:val="Hyperlink"/>
            <w:rFonts w:ascii="Arial" w:hAnsi="Arial" w:cs="Arial"/>
            <w:sz w:val="22"/>
            <w:szCs w:val="22"/>
          </w:rPr>
          <w:t>https://doi.org/10.1111/j.1532-5415.2005.53576.x</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Livingston, G., Sommerlad, A., Orgeta, V., Costafreda, S.G., Huntley, J., Ames, D., Ballard, C., Banerjee, S., Burns, A., Cohen-Mansfield, J. et al. (2017) 'Dementia prevention, intervention, and care', </w:t>
      </w:r>
      <w:r w:rsidRPr="00862EF9">
        <w:rPr>
          <w:rFonts w:ascii="Arial" w:hAnsi="Arial" w:cs="Arial"/>
          <w:i/>
          <w:iCs/>
          <w:sz w:val="22"/>
          <w:szCs w:val="22"/>
        </w:rPr>
        <w:t>The Lancet</w:t>
      </w:r>
      <w:r w:rsidRPr="00862EF9">
        <w:rPr>
          <w:rFonts w:ascii="Arial" w:hAnsi="Arial" w:cs="Arial"/>
          <w:sz w:val="22"/>
          <w:szCs w:val="22"/>
        </w:rPr>
        <w:t>, 390(10113), pp. 2673–2734.</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Mukadam, N., Cooper, C. and Livingston, G. (2017) 'A systematic review of the effectiveness of interventions for carers of people with dementia', </w:t>
      </w:r>
      <w:r w:rsidRPr="00862EF9">
        <w:rPr>
          <w:rFonts w:ascii="Arial" w:hAnsi="Arial" w:cs="Arial"/>
          <w:i/>
          <w:iCs/>
          <w:sz w:val="22"/>
          <w:szCs w:val="22"/>
        </w:rPr>
        <w:t>International Journal of Geriatric Psychiatry</w:t>
      </w:r>
      <w:r w:rsidRPr="00862EF9">
        <w:rPr>
          <w:rFonts w:ascii="Arial" w:hAnsi="Arial" w:cs="Arial"/>
          <w:sz w:val="22"/>
          <w:szCs w:val="22"/>
        </w:rPr>
        <w:t xml:space="preserve">, 32(2), pp. 123–136. Available at: </w:t>
      </w:r>
      <w:hyperlink r:id="rId17" w:history="1">
        <w:r w:rsidRPr="00862EF9">
          <w:rPr>
            <w:rStyle w:val="Hyperlink"/>
            <w:rFonts w:ascii="Arial" w:hAnsi="Arial" w:cs="Arial"/>
            <w:sz w:val="22"/>
            <w:szCs w:val="22"/>
          </w:rPr>
          <w:t>https://doi.org/10.1002/gps.4538</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NHS England (2019) </w:t>
      </w:r>
      <w:r w:rsidRPr="00862EF9">
        <w:rPr>
          <w:rFonts w:ascii="Arial" w:hAnsi="Arial" w:cs="Arial"/>
          <w:i/>
          <w:iCs/>
          <w:sz w:val="22"/>
          <w:szCs w:val="22"/>
        </w:rPr>
        <w:t>The NHS Long Term Plan</w:t>
      </w:r>
      <w:r w:rsidRPr="00862EF9">
        <w:rPr>
          <w:rFonts w:ascii="Arial" w:hAnsi="Arial" w:cs="Arial"/>
          <w:sz w:val="22"/>
          <w:szCs w:val="22"/>
        </w:rPr>
        <w:t xml:space="preserve">. London: NHS England. Available at: </w:t>
      </w:r>
      <w:hyperlink r:id="rId18" w:tgtFrame="_new" w:history="1">
        <w:r w:rsidRPr="00862EF9">
          <w:rPr>
            <w:rStyle w:val="Hyperlink"/>
            <w:rFonts w:ascii="Arial" w:hAnsi="Arial" w:cs="Arial"/>
            <w:sz w:val="22"/>
            <w:szCs w:val="22"/>
          </w:rPr>
          <w:t>https://www.longtermplan.nhs.uk/</w:t>
        </w:r>
      </w:hyperlink>
      <w:r w:rsidRPr="00862EF9">
        <w:rPr>
          <w:rFonts w:ascii="Arial" w:hAnsi="Arial" w:cs="Arial"/>
          <w:sz w:val="22"/>
          <w:szCs w:val="22"/>
        </w:rPr>
        <w:t xml:space="preserve"> (Accessed: 16 October 2025).</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Prince, M., Wimo, A., Guerchet, M., Ali, G.-C., Wu, Y.-T. and Prina, M. (2015) </w:t>
      </w:r>
      <w:r w:rsidRPr="00862EF9">
        <w:rPr>
          <w:rFonts w:ascii="Arial" w:hAnsi="Arial" w:cs="Arial"/>
          <w:i/>
          <w:iCs/>
          <w:sz w:val="22"/>
          <w:szCs w:val="22"/>
        </w:rPr>
        <w:t>World Alzheimer Report 2015: The global impact of dementia</w:t>
      </w:r>
      <w:r w:rsidRPr="00862EF9">
        <w:rPr>
          <w:rFonts w:ascii="Arial" w:hAnsi="Arial" w:cs="Arial"/>
          <w:sz w:val="22"/>
          <w:szCs w:val="22"/>
        </w:rPr>
        <w:t>. London: Alzheimer’s Disease International.</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The King’s Fund (2023) 'Integrated care systems and dementia services'. Available at: </w:t>
      </w:r>
      <w:hyperlink r:id="rId19" w:tgtFrame="_new" w:history="1">
        <w:r w:rsidRPr="00862EF9">
          <w:rPr>
            <w:rStyle w:val="Hyperlink"/>
            <w:rFonts w:ascii="Arial" w:hAnsi="Arial" w:cs="Arial"/>
            <w:sz w:val="22"/>
            <w:szCs w:val="22"/>
          </w:rPr>
          <w:t>https://www.kingsfund.org.uk/insight-and-analysis/long-reads/role-integrated-care-systems-improving-dementia-diagnosis</w:t>
        </w:r>
      </w:hyperlink>
      <w:r w:rsidRPr="00862EF9">
        <w:rPr>
          <w:rFonts w:ascii="Arial" w:hAnsi="Arial" w:cs="Arial"/>
          <w:sz w:val="22"/>
          <w:szCs w:val="22"/>
        </w:rPr>
        <w:t xml:space="preserve"> (Accessed: 16 October 2025).</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World Health Organization (WHO) (2017) </w:t>
      </w:r>
      <w:r w:rsidRPr="00862EF9">
        <w:rPr>
          <w:rFonts w:ascii="Arial" w:hAnsi="Arial" w:cs="Arial"/>
          <w:i/>
          <w:iCs/>
          <w:sz w:val="22"/>
          <w:szCs w:val="22"/>
        </w:rPr>
        <w:t>Global action plan on the public health response to dementia 2017–2025</w:t>
      </w:r>
      <w:r w:rsidRPr="00862EF9">
        <w:rPr>
          <w:rFonts w:ascii="Arial" w:hAnsi="Arial" w:cs="Arial"/>
          <w:sz w:val="22"/>
          <w:szCs w:val="22"/>
        </w:rPr>
        <w:t>. Geneva: WHO.</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lastRenderedPageBreak/>
        <w:t xml:space="preserve">World Health Organization (WHO) (2023) </w:t>
      </w:r>
      <w:r w:rsidRPr="00862EF9">
        <w:rPr>
          <w:rFonts w:ascii="Arial" w:hAnsi="Arial" w:cs="Arial"/>
          <w:i/>
          <w:iCs/>
          <w:sz w:val="22"/>
          <w:szCs w:val="22"/>
        </w:rPr>
        <w:t>Global status report on the public health response to dementia</w:t>
      </w:r>
      <w:r w:rsidRPr="00862EF9">
        <w:rPr>
          <w:rFonts w:ascii="Arial" w:hAnsi="Arial" w:cs="Arial"/>
          <w:sz w:val="22"/>
          <w:szCs w:val="22"/>
        </w:rPr>
        <w:t xml:space="preserve">. Geneva: WHO. Available at: </w:t>
      </w:r>
      <w:hyperlink r:id="rId20" w:tgtFrame="_new" w:history="1">
        <w:r w:rsidRPr="00862EF9">
          <w:rPr>
            <w:rStyle w:val="Hyperlink"/>
            <w:rFonts w:ascii="Arial" w:hAnsi="Arial" w:cs="Arial"/>
            <w:sz w:val="22"/>
            <w:szCs w:val="22"/>
          </w:rPr>
          <w:t>https://www.who.int/publications/i/item/9789240064164</w:t>
        </w:r>
      </w:hyperlink>
      <w:r w:rsidRPr="00862EF9">
        <w:rPr>
          <w:rFonts w:ascii="Arial" w:hAnsi="Arial" w:cs="Arial"/>
          <w:sz w:val="22"/>
          <w:szCs w:val="22"/>
        </w:rPr>
        <w:t xml:space="preserve"> (Accessed: 16 October 2025).</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van der Steen, J.T., Radbruch, L., Hertogh, C.M., de Boer, M.E., Hughes, J.C., Larkin, P., Francke, A.L., Jünger, S., Koper, I., Sampson, E.L. et al. (2014) 'Dying with dementia: What we know after more than a decade of research', </w:t>
      </w:r>
      <w:r w:rsidRPr="00862EF9">
        <w:rPr>
          <w:rFonts w:ascii="Arial" w:hAnsi="Arial" w:cs="Arial"/>
          <w:i/>
          <w:iCs/>
          <w:sz w:val="22"/>
          <w:szCs w:val="22"/>
        </w:rPr>
        <w:t>Journal of Alzheimer’s Disease</w:t>
      </w:r>
      <w:r w:rsidRPr="00862EF9">
        <w:rPr>
          <w:rFonts w:ascii="Arial" w:hAnsi="Arial" w:cs="Arial"/>
          <w:sz w:val="22"/>
          <w:szCs w:val="22"/>
        </w:rPr>
        <w:t xml:space="preserve">, 41(4), pp. 781–794. Available at: </w:t>
      </w:r>
      <w:hyperlink r:id="rId21" w:history="1">
        <w:r w:rsidRPr="00862EF9">
          <w:rPr>
            <w:rStyle w:val="Hyperlink"/>
            <w:rFonts w:ascii="Arial" w:hAnsi="Arial" w:cs="Arial"/>
            <w:sz w:val="22"/>
            <w:szCs w:val="22"/>
          </w:rPr>
          <w:t>https://doi.org/10.3233/JAD-132888</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Sampson, E.L., Blanchard, M.R., Jones, L., Tookman, A. and King, M. (2009) 'Dementia in the acute hospital: Prospective cohort study of prevalence and mortality', </w:t>
      </w:r>
      <w:r w:rsidRPr="00862EF9">
        <w:rPr>
          <w:rFonts w:ascii="Arial" w:hAnsi="Arial" w:cs="Arial"/>
          <w:i/>
          <w:iCs/>
          <w:sz w:val="22"/>
          <w:szCs w:val="22"/>
        </w:rPr>
        <w:t>The British Journal of Psychiatry</w:t>
      </w:r>
      <w:r w:rsidRPr="00862EF9">
        <w:rPr>
          <w:rFonts w:ascii="Arial" w:hAnsi="Arial" w:cs="Arial"/>
          <w:sz w:val="22"/>
          <w:szCs w:val="22"/>
        </w:rPr>
        <w:t xml:space="preserve">, 195(1), pp. 61–66. Available at: </w:t>
      </w:r>
      <w:hyperlink r:id="rId22" w:history="1">
        <w:r w:rsidRPr="00862EF9">
          <w:rPr>
            <w:rStyle w:val="Hyperlink"/>
            <w:rFonts w:ascii="Arial" w:hAnsi="Arial" w:cs="Arial"/>
            <w:sz w:val="22"/>
            <w:szCs w:val="22"/>
          </w:rPr>
          <w:t>https://doi.org/10.1192/bjp.bp.108.053915</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Kitwood, T. (1997) </w:t>
      </w:r>
      <w:r w:rsidRPr="00862EF9">
        <w:rPr>
          <w:rFonts w:ascii="Arial" w:hAnsi="Arial" w:cs="Arial"/>
          <w:i/>
          <w:iCs/>
          <w:sz w:val="22"/>
          <w:szCs w:val="22"/>
        </w:rPr>
        <w:t>Dementia reconsidered: The person comes first</w:t>
      </w:r>
      <w:r w:rsidRPr="00862EF9">
        <w:rPr>
          <w:rFonts w:ascii="Arial" w:hAnsi="Arial" w:cs="Arial"/>
          <w:sz w:val="22"/>
          <w:szCs w:val="22"/>
        </w:rPr>
        <w:t>. Buckingham: Open University Press.</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World Health Organization (WHO) (2015) </w:t>
      </w:r>
      <w:r w:rsidRPr="00862EF9">
        <w:rPr>
          <w:rFonts w:ascii="Arial" w:hAnsi="Arial" w:cs="Arial"/>
          <w:i/>
          <w:iCs/>
          <w:sz w:val="22"/>
          <w:szCs w:val="22"/>
        </w:rPr>
        <w:t>Integrated care for older people (ICOPE) framework</w:t>
      </w:r>
      <w:r w:rsidRPr="00862EF9">
        <w:rPr>
          <w:rFonts w:ascii="Arial" w:hAnsi="Arial" w:cs="Arial"/>
          <w:sz w:val="22"/>
          <w:szCs w:val="22"/>
        </w:rPr>
        <w:t>. Geneva: WHO.</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Gustafsson, M., Brännström, M., and Ståhl, C. (2016) 'Chronic care model interventions for dementia patients and their families: A systematic review', </w:t>
      </w:r>
      <w:r w:rsidRPr="00862EF9">
        <w:rPr>
          <w:rFonts w:ascii="Arial" w:hAnsi="Arial" w:cs="Arial"/>
          <w:i/>
          <w:iCs/>
          <w:sz w:val="22"/>
          <w:szCs w:val="22"/>
        </w:rPr>
        <w:t>Journal of Nursing Management</w:t>
      </w:r>
      <w:r w:rsidRPr="00862EF9">
        <w:rPr>
          <w:rFonts w:ascii="Arial" w:hAnsi="Arial" w:cs="Arial"/>
          <w:sz w:val="22"/>
          <w:szCs w:val="22"/>
        </w:rPr>
        <w:t xml:space="preserve">, 24(7), pp. 894–906. </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Brodaty, H. and Donkin, M. (2009) 'Family caregivers of people with dementia', </w:t>
      </w:r>
      <w:r w:rsidRPr="00862EF9">
        <w:rPr>
          <w:rFonts w:ascii="Arial" w:hAnsi="Arial" w:cs="Arial"/>
          <w:i/>
          <w:iCs/>
          <w:sz w:val="22"/>
          <w:szCs w:val="22"/>
        </w:rPr>
        <w:t>Dialogues in Clinical Neuroscience</w:t>
      </w:r>
      <w:r w:rsidRPr="00862EF9">
        <w:rPr>
          <w:rFonts w:ascii="Arial" w:hAnsi="Arial" w:cs="Arial"/>
          <w:sz w:val="22"/>
          <w:szCs w:val="22"/>
        </w:rPr>
        <w:t xml:space="preserve">, 11(2), pp. 217–228. Available at: </w:t>
      </w:r>
      <w:hyperlink r:id="rId23" w:history="1">
        <w:r w:rsidRPr="00862EF9">
          <w:rPr>
            <w:rStyle w:val="Hyperlink"/>
            <w:rFonts w:ascii="Arial" w:hAnsi="Arial" w:cs="Arial"/>
            <w:sz w:val="22"/>
            <w:szCs w:val="22"/>
          </w:rPr>
          <w:t>https://doi.org/10.31887/DCNS.2009.11.2/hbrodaty</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Kitwood, T. and Bredin, K. (1992) 'Towards a theory of dementia care: Personhood and well-being', </w:t>
      </w:r>
      <w:r w:rsidRPr="00862EF9">
        <w:rPr>
          <w:rFonts w:ascii="Arial" w:hAnsi="Arial" w:cs="Arial"/>
          <w:i/>
          <w:iCs/>
          <w:sz w:val="22"/>
          <w:szCs w:val="22"/>
        </w:rPr>
        <w:t>Ageing and Society</w:t>
      </w:r>
      <w:r w:rsidRPr="00862EF9">
        <w:rPr>
          <w:rFonts w:ascii="Arial" w:hAnsi="Arial" w:cs="Arial"/>
          <w:sz w:val="22"/>
          <w:szCs w:val="22"/>
        </w:rPr>
        <w:t xml:space="preserve">, 12(3), pp. 269–287. Available at: </w:t>
      </w:r>
      <w:hyperlink r:id="rId24" w:history="1">
        <w:r w:rsidRPr="00862EF9">
          <w:rPr>
            <w:rStyle w:val="Hyperlink"/>
            <w:rFonts w:ascii="Arial" w:hAnsi="Arial" w:cs="Arial"/>
            <w:sz w:val="22"/>
            <w:szCs w:val="22"/>
          </w:rPr>
          <w:t>https://doi.org/10.1017/S0144686X00000491</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Bunn, F., Burn, A.-M., Goodman, C., Rait, G., Norton, S., Robinson, L., Brayne, C., and Iliffe, S. (2014) 'Comorbidity and dementia: A scoping review of the literature', </w:t>
      </w:r>
      <w:r w:rsidRPr="00862EF9">
        <w:rPr>
          <w:rFonts w:ascii="Arial" w:hAnsi="Arial" w:cs="Arial"/>
          <w:i/>
          <w:iCs/>
          <w:sz w:val="22"/>
          <w:szCs w:val="22"/>
        </w:rPr>
        <w:t>BMC Medicine</w:t>
      </w:r>
      <w:r w:rsidRPr="00862EF9">
        <w:rPr>
          <w:rFonts w:ascii="Arial" w:hAnsi="Arial" w:cs="Arial"/>
          <w:sz w:val="22"/>
          <w:szCs w:val="22"/>
        </w:rPr>
        <w:t xml:space="preserve">, 12, pp. 192. Available at: </w:t>
      </w:r>
      <w:hyperlink r:id="rId25" w:history="1">
        <w:r w:rsidRPr="00862EF9">
          <w:rPr>
            <w:rStyle w:val="Hyperlink"/>
            <w:rFonts w:ascii="Arial" w:hAnsi="Arial" w:cs="Arial"/>
            <w:sz w:val="22"/>
            <w:szCs w:val="22"/>
          </w:rPr>
          <w:t>https://doi.org/10.1186/s12916-014-0192-4</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lastRenderedPageBreak/>
        <w:t xml:space="preserve">Cations, M., Radisic, G., Crotty, M., and Fetherstonhaugh, D. (2018) 'The psychosocial impact of dementia on carers: Systematic review', </w:t>
      </w:r>
      <w:r w:rsidRPr="00862EF9">
        <w:rPr>
          <w:rFonts w:ascii="Arial" w:hAnsi="Arial" w:cs="Arial"/>
          <w:i/>
          <w:iCs/>
          <w:sz w:val="22"/>
          <w:szCs w:val="22"/>
        </w:rPr>
        <w:t>Aging &amp; Mental Health</w:t>
      </w:r>
      <w:r w:rsidRPr="00862EF9">
        <w:rPr>
          <w:rFonts w:ascii="Arial" w:hAnsi="Arial" w:cs="Arial"/>
          <w:sz w:val="22"/>
          <w:szCs w:val="22"/>
        </w:rPr>
        <w:t xml:space="preserve">, 22(7), pp. 913–923. Available at: </w:t>
      </w:r>
      <w:hyperlink r:id="rId26" w:history="1">
        <w:r w:rsidRPr="00862EF9">
          <w:rPr>
            <w:rStyle w:val="Hyperlink"/>
            <w:rFonts w:ascii="Arial" w:hAnsi="Arial" w:cs="Arial"/>
            <w:sz w:val="22"/>
            <w:szCs w:val="22"/>
          </w:rPr>
          <w:t>https://doi.org/10.1080/13607863.2017.1334002</w:t>
        </w:r>
      </w:hyperlink>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Livingston, G., Barber, J., Marston, L., Rapaport, P., Knapp, M., Griffin, M., Degan, R., Costafreda, S.G., Huntley, J., Omar, R.Z. et al. (2020) 'Effective interventions for reducing loneliness in people with dementia: A systematic review', </w:t>
      </w:r>
      <w:r w:rsidRPr="00862EF9">
        <w:rPr>
          <w:rFonts w:ascii="Arial" w:hAnsi="Arial" w:cs="Arial"/>
          <w:i/>
          <w:iCs/>
          <w:sz w:val="22"/>
          <w:szCs w:val="22"/>
        </w:rPr>
        <w:t>The Lancet Psychiatry</w:t>
      </w:r>
      <w:r w:rsidRPr="00862EF9">
        <w:rPr>
          <w:rFonts w:ascii="Arial" w:hAnsi="Arial" w:cs="Arial"/>
          <w:sz w:val="22"/>
          <w:szCs w:val="22"/>
        </w:rPr>
        <w:t xml:space="preserve">, 7(10), pp. 875–884. </w:t>
      </w:r>
    </w:p>
    <w:p w:rsidR="00862EF9"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Prince, M., Comas-Herrera, A., Knapp, M., Guerchet, M. and Karagiannidou, M. (2016) </w:t>
      </w:r>
      <w:r w:rsidRPr="00862EF9">
        <w:rPr>
          <w:rFonts w:ascii="Arial" w:hAnsi="Arial" w:cs="Arial"/>
          <w:i/>
          <w:iCs/>
          <w:sz w:val="22"/>
          <w:szCs w:val="22"/>
        </w:rPr>
        <w:t>World Alzheimer Report 2016: Improving healthcare for people living with dementia</w:t>
      </w:r>
      <w:r w:rsidRPr="00862EF9">
        <w:rPr>
          <w:rFonts w:ascii="Arial" w:hAnsi="Arial" w:cs="Arial"/>
          <w:sz w:val="22"/>
          <w:szCs w:val="22"/>
        </w:rPr>
        <w:t>. London: Alzheimer’s Disease International.</w:t>
      </w:r>
    </w:p>
    <w:p w:rsidR="00935D0E" w:rsidRPr="00862EF9" w:rsidRDefault="00862EF9" w:rsidP="00862EF9">
      <w:pPr>
        <w:spacing w:after="0" w:line="480" w:lineRule="auto"/>
        <w:ind w:left="720" w:hanging="720"/>
        <w:jc w:val="both"/>
        <w:rPr>
          <w:rFonts w:ascii="Arial" w:hAnsi="Arial" w:cs="Arial"/>
          <w:sz w:val="22"/>
          <w:szCs w:val="22"/>
        </w:rPr>
      </w:pPr>
      <w:r w:rsidRPr="00862EF9">
        <w:rPr>
          <w:rFonts w:ascii="Arial" w:hAnsi="Arial" w:cs="Arial"/>
          <w:sz w:val="22"/>
          <w:szCs w:val="22"/>
        </w:rPr>
        <w:t xml:space="preserve">Moyle, W., Murfield, J.E., Griffiths, S., Venturato, L., O’Dwyer, S.T. and Thalib, L. (2019) 'The effectiveness of person-centred care approaches in dementia care: A systematic review', </w:t>
      </w:r>
      <w:r w:rsidRPr="00862EF9">
        <w:rPr>
          <w:rFonts w:ascii="Arial" w:hAnsi="Arial" w:cs="Arial"/>
          <w:i/>
          <w:iCs/>
          <w:sz w:val="22"/>
          <w:szCs w:val="22"/>
        </w:rPr>
        <w:t>Journal of Clinical Nursing</w:t>
      </w:r>
      <w:r w:rsidRPr="00862EF9">
        <w:rPr>
          <w:rFonts w:ascii="Arial" w:hAnsi="Arial" w:cs="Arial"/>
          <w:sz w:val="22"/>
          <w:szCs w:val="22"/>
        </w:rPr>
        <w:t xml:space="preserve">, 28(21–22), pp. 3675–3687. Available at: </w:t>
      </w:r>
      <w:hyperlink r:id="rId27" w:history="1">
        <w:r w:rsidRPr="00862EF9">
          <w:rPr>
            <w:rStyle w:val="Hyperlink"/>
            <w:rFonts w:ascii="Arial" w:hAnsi="Arial" w:cs="Arial"/>
            <w:sz w:val="22"/>
            <w:szCs w:val="22"/>
          </w:rPr>
          <w:t>https://doi.org/10.1111/jocn.14825</w:t>
        </w:r>
      </w:hyperlink>
    </w:p>
    <w:p w:rsidR="00862EF9" w:rsidRPr="00862EF9" w:rsidRDefault="00862EF9" w:rsidP="00862EF9">
      <w:pPr>
        <w:spacing w:after="0" w:line="480" w:lineRule="auto"/>
        <w:ind w:left="720" w:hanging="720"/>
        <w:jc w:val="both"/>
        <w:rPr>
          <w:rFonts w:ascii="Arial" w:hAnsi="Arial" w:cs="Arial"/>
          <w:sz w:val="22"/>
          <w:szCs w:val="22"/>
        </w:rPr>
      </w:pPr>
    </w:p>
    <w:sectPr w:rsidR="00862EF9" w:rsidRPr="00862EF9" w:rsidSect="008F252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78E1" w:rsidRDefault="00C578E1" w:rsidP="001238F4">
      <w:pPr>
        <w:spacing w:after="0" w:line="240" w:lineRule="auto"/>
      </w:pPr>
      <w:r>
        <w:separator/>
      </w:r>
    </w:p>
  </w:endnote>
  <w:endnote w:type="continuationSeparator" w:id="1">
    <w:p w:rsidR="00C578E1" w:rsidRDefault="00C578E1" w:rsidP="001238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78E1" w:rsidRDefault="00C578E1" w:rsidP="001238F4">
      <w:pPr>
        <w:spacing w:after="0" w:line="240" w:lineRule="auto"/>
      </w:pPr>
      <w:r>
        <w:separator/>
      </w:r>
    </w:p>
  </w:footnote>
  <w:footnote w:type="continuationSeparator" w:id="1">
    <w:p w:rsidR="00C578E1" w:rsidRDefault="00C578E1" w:rsidP="001238F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65375A"/>
    <w:multiLevelType w:val="multilevel"/>
    <w:tmpl w:val="8690C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CD6216"/>
    <w:multiLevelType w:val="multilevel"/>
    <w:tmpl w:val="1F2E7942"/>
    <w:lvl w:ilvl="0">
      <w:start w:val="1"/>
      <w:numFmt w:val="decimal"/>
      <w:pStyle w:val="Heading1"/>
      <w:suff w:val="space"/>
      <w:lvlText w:val="%1. "/>
      <w:lvlJc w:val="left"/>
      <w:pPr>
        <w:ind w:left="0" w:firstLine="0"/>
      </w:pPr>
      <w:rPr>
        <w:rFonts w:hint="default"/>
        <w:color w:val="000000" w:themeColor="text1"/>
        <w:sz w:val="32"/>
        <w:szCs w:val="32"/>
      </w:rPr>
    </w:lvl>
    <w:lvl w:ilvl="1">
      <w:start w:val="1"/>
      <w:numFmt w:val="decimal"/>
      <w:pStyle w:val="Heading2"/>
      <w:suff w:val="space"/>
      <w:lvlText w:val="%1.%2"/>
      <w:lvlJc w:val="left"/>
      <w:pPr>
        <w:ind w:left="0" w:firstLine="0"/>
      </w:pPr>
      <w:rPr>
        <w:rFonts w:hint="default"/>
        <w:color w:val="000000" w:themeColor="text1"/>
        <w:sz w:val="28"/>
        <w:szCs w:val="28"/>
      </w:rPr>
    </w:lvl>
    <w:lvl w:ilvl="2">
      <w:start w:val="1"/>
      <w:numFmt w:val="decimal"/>
      <w:pStyle w:val="Heading3"/>
      <w:suff w:val="space"/>
      <w:lvlText w:val="%1.%2.%3"/>
      <w:lvlJc w:val="left"/>
      <w:pPr>
        <w:ind w:left="0" w:firstLine="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
    <w:nsid w:val="330D3BC9"/>
    <w:multiLevelType w:val="multilevel"/>
    <w:tmpl w:val="889C7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0524AE5"/>
    <w:multiLevelType w:val="multilevel"/>
    <w:tmpl w:val="CD6EA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2"/>
  <w:defaultTabStop w:val="720"/>
  <w:characterSpacingControl w:val="doNotCompress"/>
  <w:footnotePr>
    <w:footnote w:id="0"/>
    <w:footnote w:id="1"/>
  </w:footnotePr>
  <w:endnotePr>
    <w:endnote w:id="0"/>
    <w:endnote w:id="1"/>
  </w:endnotePr>
  <w:compat/>
  <w:rsids>
    <w:rsidRoot w:val="00FD5752"/>
    <w:rsid w:val="001238F4"/>
    <w:rsid w:val="001458AA"/>
    <w:rsid w:val="0019171F"/>
    <w:rsid w:val="00231F17"/>
    <w:rsid w:val="00255A0A"/>
    <w:rsid w:val="00280FE4"/>
    <w:rsid w:val="00312F42"/>
    <w:rsid w:val="003A13C9"/>
    <w:rsid w:val="00614DA1"/>
    <w:rsid w:val="00776DE2"/>
    <w:rsid w:val="00782022"/>
    <w:rsid w:val="0079597C"/>
    <w:rsid w:val="00862EF9"/>
    <w:rsid w:val="008F2522"/>
    <w:rsid w:val="00935D0E"/>
    <w:rsid w:val="009F2786"/>
    <w:rsid w:val="00A90373"/>
    <w:rsid w:val="00AE4D76"/>
    <w:rsid w:val="00AF0FCC"/>
    <w:rsid w:val="00AF2AF1"/>
    <w:rsid w:val="00BB1F2F"/>
    <w:rsid w:val="00C578E1"/>
    <w:rsid w:val="00C634BD"/>
    <w:rsid w:val="00C7154A"/>
    <w:rsid w:val="00CB63C5"/>
    <w:rsid w:val="00D03B85"/>
    <w:rsid w:val="00D26A22"/>
    <w:rsid w:val="00D8009A"/>
    <w:rsid w:val="00DA0FED"/>
    <w:rsid w:val="00E31B81"/>
    <w:rsid w:val="00E53675"/>
    <w:rsid w:val="00EC273C"/>
    <w:rsid w:val="00EC5D14"/>
    <w:rsid w:val="00F93027"/>
    <w:rsid w:val="00FD575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2522"/>
  </w:style>
  <w:style w:type="paragraph" w:styleId="Heading1">
    <w:name w:val="heading 1"/>
    <w:basedOn w:val="Normal"/>
    <w:next w:val="Normal"/>
    <w:link w:val="Heading1Char"/>
    <w:uiPriority w:val="9"/>
    <w:qFormat/>
    <w:rsid w:val="00FD5752"/>
    <w:pPr>
      <w:keepNext/>
      <w:keepLines/>
      <w:numPr>
        <w:numId w:val="2"/>
      </w:numPr>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unhideWhenUsed/>
    <w:qFormat/>
    <w:rsid w:val="00FD5752"/>
    <w:pPr>
      <w:keepNext/>
      <w:keepLines/>
      <w:numPr>
        <w:ilvl w:val="1"/>
        <w:numId w:val="2"/>
      </w:numPr>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semiHidden/>
    <w:unhideWhenUsed/>
    <w:qFormat/>
    <w:rsid w:val="00FD5752"/>
    <w:pPr>
      <w:keepNext/>
      <w:keepLines/>
      <w:numPr>
        <w:ilvl w:val="2"/>
        <w:numId w:val="2"/>
      </w:numPr>
      <w:spacing w:before="160" w:after="80"/>
      <w:outlineLvl w:val="2"/>
    </w:pPr>
    <w:rPr>
      <w:rFonts w:eastAsiaTheme="majorEastAsia"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00FD5752"/>
    <w:pPr>
      <w:keepNext/>
      <w:keepLines/>
      <w:numPr>
        <w:ilvl w:val="3"/>
        <w:numId w:val="2"/>
      </w:numPr>
      <w:spacing w:before="80" w:after="40"/>
      <w:outlineLvl w:val="3"/>
    </w:pPr>
    <w:rPr>
      <w:rFonts w:eastAsiaTheme="majorEastAsia" w:cstheme="majorBidi"/>
      <w:i/>
      <w:iCs/>
      <w:color w:val="A5A5A5" w:themeColor="accent1" w:themeShade="BF"/>
    </w:rPr>
  </w:style>
  <w:style w:type="paragraph" w:styleId="Heading5">
    <w:name w:val="heading 5"/>
    <w:basedOn w:val="Normal"/>
    <w:next w:val="Normal"/>
    <w:link w:val="Heading5Char"/>
    <w:uiPriority w:val="9"/>
    <w:semiHidden/>
    <w:unhideWhenUsed/>
    <w:qFormat/>
    <w:rsid w:val="00FD5752"/>
    <w:pPr>
      <w:keepNext/>
      <w:keepLines/>
      <w:numPr>
        <w:ilvl w:val="4"/>
        <w:numId w:val="2"/>
      </w:numPr>
      <w:spacing w:before="80" w:after="40"/>
      <w:outlineLvl w:val="4"/>
    </w:pPr>
    <w:rPr>
      <w:rFonts w:eastAsiaTheme="majorEastAsia" w:cstheme="majorBidi"/>
      <w:color w:val="A5A5A5" w:themeColor="accent1" w:themeShade="BF"/>
    </w:rPr>
  </w:style>
  <w:style w:type="paragraph" w:styleId="Heading6">
    <w:name w:val="heading 6"/>
    <w:basedOn w:val="Normal"/>
    <w:next w:val="Normal"/>
    <w:link w:val="Heading6Char"/>
    <w:uiPriority w:val="9"/>
    <w:semiHidden/>
    <w:unhideWhenUsed/>
    <w:qFormat/>
    <w:rsid w:val="00FD5752"/>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752"/>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752"/>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752"/>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752"/>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rsid w:val="00FD5752"/>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semiHidden/>
    <w:rsid w:val="00FD5752"/>
    <w:rPr>
      <w:rFonts w:eastAsiaTheme="majorEastAsia"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FD5752"/>
    <w:rPr>
      <w:rFonts w:eastAsiaTheme="majorEastAsia" w:cstheme="majorBidi"/>
      <w:i/>
      <w:iCs/>
      <w:color w:val="A5A5A5" w:themeColor="accent1" w:themeShade="BF"/>
    </w:rPr>
  </w:style>
  <w:style w:type="character" w:customStyle="1" w:styleId="Heading5Char">
    <w:name w:val="Heading 5 Char"/>
    <w:basedOn w:val="DefaultParagraphFont"/>
    <w:link w:val="Heading5"/>
    <w:uiPriority w:val="9"/>
    <w:semiHidden/>
    <w:rsid w:val="00FD5752"/>
    <w:rPr>
      <w:rFonts w:eastAsiaTheme="majorEastAsia" w:cstheme="majorBidi"/>
      <w:color w:val="A5A5A5" w:themeColor="accent1" w:themeShade="BF"/>
    </w:rPr>
  </w:style>
  <w:style w:type="character" w:customStyle="1" w:styleId="Heading6Char">
    <w:name w:val="Heading 6 Char"/>
    <w:basedOn w:val="DefaultParagraphFont"/>
    <w:link w:val="Heading6"/>
    <w:uiPriority w:val="9"/>
    <w:semiHidden/>
    <w:rsid w:val="00FD57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7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7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752"/>
    <w:rPr>
      <w:rFonts w:eastAsiaTheme="majorEastAsia" w:cstheme="majorBidi"/>
      <w:color w:val="272727" w:themeColor="text1" w:themeTint="D8"/>
    </w:rPr>
  </w:style>
  <w:style w:type="paragraph" w:styleId="Title">
    <w:name w:val="Title"/>
    <w:basedOn w:val="Normal"/>
    <w:next w:val="Normal"/>
    <w:link w:val="TitleChar"/>
    <w:uiPriority w:val="10"/>
    <w:qFormat/>
    <w:rsid w:val="00FD57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7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7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7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752"/>
    <w:pPr>
      <w:spacing w:before="160"/>
      <w:jc w:val="center"/>
    </w:pPr>
    <w:rPr>
      <w:i/>
      <w:iCs/>
      <w:color w:val="404040" w:themeColor="text1" w:themeTint="BF"/>
    </w:rPr>
  </w:style>
  <w:style w:type="character" w:customStyle="1" w:styleId="QuoteChar">
    <w:name w:val="Quote Char"/>
    <w:basedOn w:val="DefaultParagraphFont"/>
    <w:link w:val="Quote"/>
    <w:uiPriority w:val="29"/>
    <w:rsid w:val="00FD5752"/>
    <w:rPr>
      <w:i/>
      <w:iCs/>
      <w:color w:val="404040" w:themeColor="text1" w:themeTint="BF"/>
    </w:rPr>
  </w:style>
  <w:style w:type="paragraph" w:styleId="ListParagraph">
    <w:name w:val="List Paragraph"/>
    <w:basedOn w:val="Normal"/>
    <w:uiPriority w:val="34"/>
    <w:qFormat/>
    <w:rsid w:val="00FD5752"/>
    <w:pPr>
      <w:ind w:left="720"/>
      <w:contextualSpacing/>
    </w:pPr>
  </w:style>
  <w:style w:type="character" w:styleId="IntenseEmphasis">
    <w:name w:val="Intense Emphasis"/>
    <w:basedOn w:val="DefaultParagraphFont"/>
    <w:uiPriority w:val="21"/>
    <w:qFormat/>
    <w:rsid w:val="00FD5752"/>
    <w:rPr>
      <w:i/>
      <w:iCs/>
      <w:color w:val="A5A5A5" w:themeColor="accent1" w:themeShade="BF"/>
    </w:rPr>
  </w:style>
  <w:style w:type="paragraph" w:styleId="IntenseQuote">
    <w:name w:val="Intense Quote"/>
    <w:basedOn w:val="Normal"/>
    <w:next w:val="Normal"/>
    <w:link w:val="IntenseQuoteChar"/>
    <w:uiPriority w:val="30"/>
    <w:qFormat/>
    <w:rsid w:val="00FD5752"/>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FD5752"/>
    <w:rPr>
      <w:i/>
      <w:iCs/>
      <w:color w:val="A5A5A5" w:themeColor="accent1" w:themeShade="BF"/>
    </w:rPr>
  </w:style>
  <w:style w:type="character" w:styleId="IntenseReference">
    <w:name w:val="Intense Reference"/>
    <w:basedOn w:val="DefaultParagraphFont"/>
    <w:uiPriority w:val="32"/>
    <w:qFormat/>
    <w:rsid w:val="00FD5752"/>
    <w:rPr>
      <w:b/>
      <w:bCs/>
      <w:smallCaps/>
      <w:color w:val="A5A5A5" w:themeColor="accent1" w:themeShade="BF"/>
      <w:spacing w:val="5"/>
    </w:rPr>
  </w:style>
  <w:style w:type="table" w:styleId="TableGrid">
    <w:name w:val="Table Grid"/>
    <w:basedOn w:val="TableNormal"/>
    <w:uiPriority w:val="39"/>
    <w:rsid w:val="00280FE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E31B81"/>
    <w:pPr>
      <w:numPr>
        <w:numId w:val="0"/>
      </w:numPr>
      <w:spacing w:before="240" w:after="0" w:line="259" w:lineRule="auto"/>
      <w:outlineLvl w:val="9"/>
    </w:pPr>
    <w:rPr>
      <w:kern w:val="0"/>
      <w:sz w:val="32"/>
      <w:szCs w:val="32"/>
    </w:rPr>
  </w:style>
  <w:style w:type="paragraph" w:styleId="TOC1">
    <w:name w:val="toc 1"/>
    <w:basedOn w:val="Normal"/>
    <w:next w:val="Normal"/>
    <w:autoRedefine/>
    <w:uiPriority w:val="39"/>
    <w:unhideWhenUsed/>
    <w:rsid w:val="00E31B81"/>
    <w:pPr>
      <w:spacing w:after="100"/>
    </w:pPr>
  </w:style>
  <w:style w:type="paragraph" w:styleId="TOC2">
    <w:name w:val="toc 2"/>
    <w:basedOn w:val="Normal"/>
    <w:next w:val="Normal"/>
    <w:autoRedefine/>
    <w:uiPriority w:val="39"/>
    <w:unhideWhenUsed/>
    <w:rsid w:val="00E31B81"/>
    <w:pPr>
      <w:spacing w:after="100"/>
      <w:ind w:left="240"/>
    </w:pPr>
  </w:style>
  <w:style w:type="character" w:styleId="Hyperlink">
    <w:name w:val="Hyperlink"/>
    <w:basedOn w:val="DefaultParagraphFont"/>
    <w:uiPriority w:val="99"/>
    <w:unhideWhenUsed/>
    <w:rsid w:val="00E31B81"/>
    <w:rPr>
      <w:color w:val="5F5F5F" w:themeColor="hyperlink"/>
      <w:u w:val="single"/>
    </w:rPr>
  </w:style>
  <w:style w:type="paragraph" w:styleId="NormalWeb">
    <w:name w:val="Normal (Web)"/>
    <w:basedOn w:val="Normal"/>
    <w:uiPriority w:val="99"/>
    <w:semiHidden/>
    <w:unhideWhenUsed/>
    <w:rsid w:val="00614DA1"/>
    <w:rPr>
      <w:rFonts w:ascii="Times New Roman" w:hAnsi="Times New Roman" w:cs="Times New Roman"/>
    </w:rPr>
  </w:style>
  <w:style w:type="character" w:customStyle="1" w:styleId="UnresolvedMention">
    <w:name w:val="Unresolved Mention"/>
    <w:basedOn w:val="DefaultParagraphFont"/>
    <w:uiPriority w:val="99"/>
    <w:semiHidden/>
    <w:unhideWhenUsed/>
    <w:rsid w:val="00862EF9"/>
    <w:rPr>
      <w:color w:val="605E5C"/>
      <w:shd w:val="clear" w:color="auto" w:fill="E1DFDD"/>
    </w:rPr>
  </w:style>
  <w:style w:type="paragraph" w:styleId="Header">
    <w:name w:val="header"/>
    <w:basedOn w:val="Normal"/>
    <w:link w:val="HeaderChar"/>
    <w:uiPriority w:val="99"/>
    <w:unhideWhenUsed/>
    <w:rsid w:val="001238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38F4"/>
  </w:style>
  <w:style w:type="paragraph" w:styleId="Footer">
    <w:name w:val="footer"/>
    <w:basedOn w:val="Normal"/>
    <w:link w:val="FooterChar"/>
    <w:uiPriority w:val="99"/>
    <w:unhideWhenUsed/>
    <w:rsid w:val="001238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38F4"/>
  </w:style>
  <w:style w:type="paragraph" w:styleId="BalloonText">
    <w:name w:val="Balloon Text"/>
    <w:basedOn w:val="Normal"/>
    <w:link w:val="BalloonTextChar"/>
    <w:uiPriority w:val="99"/>
    <w:semiHidden/>
    <w:unhideWhenUsed/>
    <w:rsid w:val="00F930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302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2/gps.4290" TargetMode="External"/><Relationship Id="rId18" Type="http://schemas.openxmlformats.org/officeDocument/2006/relationships/hyperlink" Target="https://www.longtermplan.nhs.uk/?utm_source=chatgpt.com" TargetMode="External"/><Relationship Id="rId26" Type="http://schemas.openxmlformats.org/officeDocument/2006/relationships/hyperlink" Target="https://doi.org/10.1080/13607863.2017.1334002" TargetMode="External"/><Relationship Id="rId3" Type="http://schemas.openxmlformats.org/officeDocument/2006/relationships/settings" Target="settings.xml"/><Relationship Id="rId21" Type="http://schemas.openxmlformats.org/officeDocument/2006/relationships/hyperlink" Target="https://doi.org/10.3233/JAD-132888" TargetMode="External"/><Relationship Id="rId7" Type="http://schemas.openxmlformats.org/officeDocument/2006/relationships/image" Target="media/image1.png"/><Relationship Id="rId12" Type="http://schemas.openxmlformats.org/officeDocument/2006/relationships/hyperlink" Target="https://doi.org/10.1017/S095925980400108X" TargetMode="External"/><Relationship Id="rId17" Type="http://schemas.openxmlformats.org/officeDocument/2006/relationships/hyperlink" Target="https://doi.org/10.1002/gps.4538" TargetMode="External"/><Relationship Id="rId25" Type="http://schemas.openxmlformats.org/officeDocument/2006/relationships/hyperlink" Target="https://doi.org/10.1186/s12916-014-0192-4" TargetMode="External"/><Relationship Id="rId2" Type="http://schemas.openxmlformats.org/officeDocument/2006/relationships/styles" Target="styles.xml"/><Relationship Id="rId16" Type="http://schemas.openxmlformats.org/officeDocument/2006/relationships/hyperlink" Target="https://doi.org/10.1111/j.1532-5415.2005.53576.x" TargetMode="External"/><Relationship Id="rId20" Type="http://schemas.openxmlformats.org/officeDocument/2006/relationships/hyperlink" Target="https://www.who.int/publications/i/item/9789240064164"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gs.17035" TargetMode="External"/><Relationship Id="rId24" Type="http://schemas.openxmlformats.org/officeDocument/2006/relationships/hyperlink" Target="https://doi.org/10.1017/S0144686X00000491" TargetMode="External"/><Relationship Id="rId5" Type="http://schemas.openxmlformats.org/officeDocument/2006/relationships/footnotes" Target="footnotes.xml"/><Relationship Id="rId15" Type="http://schemas.openxmlformats.org/officeDocument/2006/relationships/hyperlink" Target="https://doi.org/10.1186/s12904-020-00601-7" TargetMode="External"/><Relationship Id="rId23" Type="http://schemas.openxmlformats.org/officeDocument/2006/relationships/hyperlink" Target="https://doi.org/10.31887/DCNS.2009.11.2/hbrodaty" TargetMode="External"/><Relationship Id="rId28" Type="http://schemas.openxmlformats.org/officeDocument/2006/relationships/fontTable" Target="fontTable.xml"/><Relationship Id="rId10" Type="http://schemas.openxmlformats.org/officeDocument/2006/relationships/hyperlink" Target="https://www.alzheimersresearchuk.org/dementia-information/dementia-risk/?utm_source=chatgpt.com" TargetMode="External"/><Relationship Id="rId19" Type="http://schemas.openxmlformats.org/officeDocument/2006/relationships/hyperlink" Target="https://www.kingsfund.org.uk/insight-and-analysis/long-reads/role-integrated-care-systems-improving-dementia-diagnosis?utm_source=chatgpt.com" TargetMode="External"/><Relationship Id="rId4" Type="http://schemas.openxmlformats.org/officeDocument/2006/relationships/webSettings" Target="webSettings.xml"/><Relationship Id="rId9" Type="http://schemas.openxmlformats.org/officeDocument/2006/relationships/hyperlink" Target="https://www.alzheimers.org.uk/about-us/news-and-media/facts-media" TargetMode="External"/><Relationship Id="rId14" Type="http://schemas.openxmlformats.org/officeDocument/2006/relationships/hyperlink" Target="https://doi.org/10.1093/geront/gnx122" TargetMode="External"/><Relationship Id="rId22" Type="http://schemas.openxmlformats.org/officeDocument/2006/relationships/hyperlink" Target="https://doi.org/10.1192/bjp.bp.108.053915" TargetMode="External"/><Relationship Id="rId27" Type="http://schemas.openxmlformats.org/officeDocument/2006/relationships/hyperlink" Target="https://doi.org/10.1111/jocn.14825"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Extreme Shadow">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threePt" dir="tl">
              <a:rot lat="0" lon="0" rev="19800000"/>
            </a:lightRig>
          </a:scene3d>
          <a:sp3d prstMaterial="plastic">
            <a:bevelT w="25400" h="1905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38100" h="3175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4644</Words>
  <Characters>26476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Ritu Panna Saha</dc:creator>
  <cp:lastModifiedBy>Lenovo</cp:lastModifiedBy>
  <cp:revision>3</cp:revision>
  <dcterms:created xsi:type="dcterms:W3CDTF">2025-10-22T13:36:00Z</dcterms:created>
  <dcterms:modified xsi:type="dcterms:W3CDTF">2025-10-22T13:36:00Z</dcterms:modified>
</cp:coreProperties>
</file>