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FD143E" w14:textId="77777777" w:rsidR="00C74938" w:rsidRPr="00E93180" w:rsidRDefault="00172351" w:rsidP="00526D25">
      <w:pPr>
        <w:spacing w:after="0" w:line="480" w:lineRule="auto"/>
        <w:jc w:val="center"/>
        <w:rPr>
          <w:rFonts w:ascii="Arial" w:hAnsi="Arial" w:cs="Arial"/>
          <w:sz w:val="24"/>
          <w:szCs w:val="24"/>
        </w:rPr>
      </w:pPr>
      <w:bookmarkStart w:id="0" w:name="_GoBack"/>
    </w:p>
    <w:p w14:paraId="40FE5927" w14:textId="77777777" w:rsidR="00C74938" w:rsidRPr="00E93180" w:rsidRDefault="00172351" w:rsidP="00526D25">
      <w:pPr>
        <w:spacing w:after="0" w:line="480" w:lineRule="auto"/>
        <w:jc w:val="center"/>
        <w:rPr>
          <w:rFonts w:ascii="Arial" w:hAnsi="Arial" w:cs="Arial"/>
          <w:sz w:val="24"/>
          <w:szCs w:val="24"/>
        </w:rPr>
      </w:pPr>
    </w:p>
    <w:p w14:paraId="78AF03B5" w14:textId="77777777" w:rsidR="00C74938" w:rsidRPr="00E93180" w:rsidRDefault="00172351" w:rsidP="00526D25">
      <w:pPr>
        <w:spacing w:after="0" w:line="480" w:lineRule="auto"/>
        <w:jc w:val="center"/>
        <w:rPr>
          <w:rFonts w:ascii="Arial" w:hAnsi="Arial" w:cs="Arial"/>
          <w:sz w:val="24"/>
          <w:szCs w:val="24"/>
        </w:rPr>
      </w:pPr>
    </w:p>
    <w:p w14:paraId="6D2E2F16" w14:textId="77777777" w:rsidR="00C74938" w:rsidRPr="00E93180" w:rsidRDefault="00172351" w:rsidP="00526D25">
      <w:pPr>
        <w:spacing w:after="0" w:line="480" w:lineRule="auto"/>
        <w:jc w:val="center"/>
        <w:rPr>
          <w:rFonts w:ascii="Arial" w:hAnsi="Arial" w:cs="Arial"/>
          <w:sz w:val="24"/>
          <w:szCs w:val="24"/>
        </w:rPr>
      </w:pPr>
    </w:p>
    <w:p w14:paraId="1FD15468" w14:textId="77777777" w:rsidR="00C74938" w:rsidRPr="00E93180" w:rsidRDefault="00172351" w:rsidP="00526D25">
      <w:pPr>
        <w:spacing w:after="0" w:line="480" w:lineRule="auto"/>
        <w:jc w:val="center"/>
        <w:rPr>
          <w:rFonts w:ascii="Arial" w:hAnsi="Arial" w:cs="Arial"/>
          <w:sz w:val="24"/>
          <w:szCs w:val="24"/>
        </w:rPr>
      </w:pPr>
    </w:p>
    <w:p w14:paraId="3C9FE589" w14:textId="77777777" w:rsidR="00526D25" w:rsidRPr="00E93180" w:rsidRDefault="00172351" w:rsidP="00526D25">
      <w:pPr>
        <w:spacing w:after="0" w:line="480" w:lineRule="auto"/>
        <w:jc w:val="center"/>
        <w:rPr>
          <w:rFonts w:ascii="Arial" w:hAnsi="Arial" w:cs="Arial"/>
          <w:sz w:val="24"/>
          <w:szCs w:val="24"/>
        </w:rPr>
      </w:pPr>
    </w:p>
    <w:p w14:paraId="5D3584BF" w14:textId="77777777" w:rsidR="00526D25" w:rsidRPr="00E93180" w:rsidRDefault="00172351" w:rsidP="00526D25">
      <w:pPr>
        <w:spacing w:after="0" w:line="480" w:lineRule="auto"/>
        <w:jc w:val="center"/>
        <w:rPr>
          <w:rFonts w:ascii="Arial" w:hAnsi="Arial" w:cs="Arial"/>
          <w:sz w:val="24"/>
          <w:szCs w:val="24"/>
        </w:rPr>
      </w:pPr>
    </w:p>
    <w:p w14:paraId="7B750FCD" w14:textId="1AB4D2FC" w:rsidR="0088071D" w:rsidRPr="00E93180" w:rsidRDefault="00E06D6F" w:rsidP="0088071D">
      <w:pPr>
        <w:spacing w:after="0" w:line="480" w:lineRule="auto"/>
        <w:jc w:val="center"/>
        <w:rPr>
          <w:rFonts w:ascii="Arial" w:hAnsi="Arial" w:cs="Arial"/>
          <w:sz w:val="24"/>
          <w:szCs w:val="24"/>
        </w:rPr>
      </w:pPr>
      <w:r w:rsidRPr="00E93180">
        <w:rPr>
          <w:rFonts w:ascii="Arial" w:hAnsi="Arial" w:cs="Arial"/>
          <w:sz w:val="24"/>
          <w:szCs w:val="24"/>
        </w:rPr>
        <w:t>Name:</w:t>
      </w:r>
      <w:r w:rsidR="0088071D" w:rsidRPr="00E93180">
        <w:rPr>
          <w:rFonts w:ascii="Arial" w:hAnsi="Arial" w:cs="Arial"/>
          <w:sz w:val="24"/>
          <w:szCs w:val="24"/>
        </w:rPr>
        <w:t xml:space="preserve"> Steffan Wyn Davies</w:t>
      </w:r>
    </w:p>
    <w:p w14:paraId="4FA34F96" w14:textId="2C4FCB33" w:rsidR="00C74938" w:rsidRPr="00E93180" w:rsidRDefault="00E06D6F" w:rsidP="0088071D">
      <w:pPr>
        <w:spacing w:after="0" w:line="480" w:lineRule="auto"/>
        <w:jc w:val="center"/>
        <w:rPr>
          <w:rFonts w:ascii="Arial" w:hAnsi="Arial" w:cs="Arial"/>
          <w:sz w:val="24"/>
          <w:szCs w:val="24"/>
        </w:rPr>
      </w:pPr>
      <w:r w:rsidRPr="00E93180">
        <w:rPr>
          <w:rFonts w:ascii="Arial" w:hAnsi="Arial" w:cs="Arial"/>
          <w:sz w:val="24"/>
          <w:szCs w:val="24"/>
        </w:rPr>
        <w:t>Instructor:</w:t>
      </w:r>
      <w:r w:rsidR="00E916D0">
        <w:rPr>
          <w:rFonts w:ascii="Arial" w:hAnsi="Arial" w:cs="Arial"/>
          <w:sz w:val="24"/>
          <w:szCs w:val="24"/>
        </w:rPr>
        <w:t xml:space="preserve"> Lara Hopkinson</w:t>
      </w:r>
    </w:p>
    <w:p w14:paraId="47310323" w14:textId="41052618" w:rsidR="00C74938" w:rsidRPr="00E93180" w:rsidRDefault="00E06D6F" w:rsidP="00526D25">
      <w:pPr>
        <w:spacing w:after="0" w:line="480" w:lineRule="auto"/>
        <w:jc w:val="center"/>
        <w:rPr>
          <w:rFonts w:ascii="Arial" w:hAnsi="Arial" w:cs="Arial"/>
          <w:sz w:val="24"/>
          <w:szCs w:val="24"/>
        </w:rPr>
      </w:pPr>
      <w:r w:rsidRPr="00E93180">
        <w:rPr>
          <w:rFonts w:ascii="Arial" w:hAnsi="Arial" w:cs="Arial"/>
          <w:sz w:val="24"/>
          <w:szCs w:val="24"/>
        </w:rPr>
        <w:t>Course:</w:t>
      </w:r>
      <w:r w:rsidR="00E93180">
        <w:rPr>
          <w:rFonts w:ascii="Arial" w:hAnsi="Arial" w:cs="Arial"/>
          <w:sz w:val="24"/>
          <w:szCs w:val="24"/>
        </w:rPr>
        <w:t xml:space="preserve"> Law </w:t>
      </w:r>
      <w:r w:rsidR="00E916D0">
        <w:rPr>
          <w:rFonts w:ascii="Arial" w:hAnsi="Arial" w:cs="Arial"/>
          <w:sz w:val="24"/>
          <w:szCs w:val="24"/>
        </w:rPr>
        <w:t>for</w:t>
      </w:r>
      <w:r w:rsidR="00E93180">
        <w:rPr>
          <w:rFonts w:ascii="Arial" w:hAnsi="Arial" w:cs="Arial"/>
          <w:sz w:val="24"/>
          <w:szCs w:val="24"/>
        </w:rPr>
        <w:t xml:space="preserve"> The Built Environment</w:t>
      </w:r>
    </w:p>
    <w:p w14:paraId="3E5220CB" w14:textId="1C491591" w:rsidR="00C74938" w:rsidRPr="00E93180" w:rsidRDefault="00E06D6F" w:rsidP="00526D25">
      <w:pPr>
        <w:spacing w:after="0" w:line="480" w:lineRule="auto"/>
        <w:jc w:val="center"/>
        <w:rPr>
          <w:rFonts w:ascii="Arial" w:hAnsi="Arial" w:cs="Arial"/>
          <w:sz w:val="24"/>
          <w:szCs w:val="24"/>
        </w:rPr>
      </w:pPr>
      <w:r w:rsidRPr="00E93180">
        <w:rPr>
          <w:rFonts w:ascii="Arial" w:hAnsi="Arial" w:cs="Arial"/>
          <w:sz w:val="24"/>
          <w:szCs w:val="24"/>
        </w:rPr>
        <w:t>Date:</w:t>
      </w:r>
      <w:r w:rsidR="00E916D0">
        <w:rPr>
          <w:rFonts w:ascii="Arial" w:hAnsi="Arial" w:cs="Arial"/>
          <w:sz w:val="24"/>
          <w:szCs w:val="24"/>
        </w:rPr>
        <w:t xml:space="preserve"> 19/12/1</w:t>
      </w:r>
      <w:r w:rsidR="00D858C6">
        <w:rPr>
          <w:rFonts w:ascii="Arial" w:hAnsi="Arial" w:cs="Arial"/>
          <w:sz w:val="24"/>
          <w:szCs w:val="24"/>
        </w:rPr>
        <w:t>7</w:t>
      </w:r>
    </w:p>
    <w:p w14:paraId="6FC0E5BB" w14:textId="77777777" w:rsidR="00C74938" w:rsidRPr="00E93180" w:rsidRDefault="00E06D6F" w:rsidP="00526D25">
      <w:pPr>
        <w:spacing w:after="0" w:line="480" w:lineRule="auto"/>
        <w:rPr>
          <w:rFonts w:ascii="Arial" w:hAnsi="Arial" w:cs="Arial"/>
          <w:sz w:val="24"/>
          <w:szCs w:val="24"/>
        </w:rPr>
      </w:pPr>
      <w:r w:rsidRPr="00E93180">
        <w:rPr>
          <w:rFonts w:ascii="Arial" w:hAnsi="Arial" w:cs="Arial"/>
          <w:sz w:val="24"/>
          <w:szCs w:val="24"/>
        </w:rPr>
        <w:br w:type="page"/>
      </w:r>
    </w:p>
    <w:p w14:paraId="133F616F" w14:textId="77777777" w:rsidR="004B35CF" w:rsidRPr="00E93180" w:rsidRDefault="00E06D6F" w:rsidP="00526D25">
      <w:pPr>
        <w:spacing w:after="0" w:line="480" w:lineRule="auto"/>
        <w:rPr>
          <w:rFonts w:ascii="Arial" w:hAnsi="Arial" w:cs="Arial"/>
          <w:sz w:val="24"/>
          <w:szCs w:val="24"/>
        </w:rPr>
      </w:pPr>
      <w:r w:rsidRPr="00E93180">
        <w:rPr>
          <w:rFonts w:ascii="Arial" w:hAnsi="Arial" w:cs="Arial"/>
          <w:sz w:val="24"/>
          <w:szCs w:val="24"/>
        </w:rPr>
        <w:lastRenderedPageBreak/>
        <w:tab/>
        <w:t>The construction sector is very technical whereby some things could go wrong if proper care and expertise are not applied. While sourcing for contractors, clients are often on the look for individuals who are reliable, professional, and can be depended on to deliver quality work within the stipulated time. In the course of a construction work, there may arise a number of shortcomings that may interfere with the delivery of work as initially agreed by either parties: client and the construction company.</w:t>
      </w:r>
    </w:p>
    <w:p w14:paraId="6D6899DA" w14:textId="5C80A6AD" w:rsidR="004B35CF" w:rsidRPr="00E93180" w:rsidRDefault="00E06D6F" w:rsidP="004B35CF">
      <w:pPr>
        <w:spacing w:after="0" w:line="480" w:lineRule="auto"/>
        <w:ind w:firstLine="720"/>
        <w:rPr>
          <w:rFonts w:ascii="Arial" w:hAnsi="Arial" w:cs="Arial"/>
          <w:sz w:val="24"/>
          <w:szCs w:val="24"/>
        </w:rPr>
      </w:pPr>
      <w:r w:rsidRPr="00E93180">
        <w:rPr>
          <w:rFonts w:ascii="Arial" w:hAnsi="Arial" w:cs="Arial"/>
          <w:sz w:val="24"/>
          <w:szCs w:val="24"/>
        </w:rPr>
        <w:t xml:space="preserve">Building contracts stipulating terms of the agreement and defining the parties’ relationship is essential in dealing with such uncertainties. The terms of a contract are binding to those involved, and a breach from either </w:t>
      </w:r>
      <w:r w:rsidR="00AE608A" w:rsidRPr="00E93180">
        <w:rPr>
          <w:rFonts w:ascii="Arial" w:hAnsi="Arial" w:cs="Arial"/>
          <w:sz w:val="24"/>
          <w:szCs w:val="24"/>
        </w:rPr>
        <w:t>amount</w:t>
      </w:r>
      <w:r w:rsidRPr="00E93180">
        <w:rPr>
          <w:rFonts w:ascii="Arial" w:hAnsi="Arial" w:cs="Arial"/>
          <w:sz w:val="24"/>
          <w:szCs w:val="24"/>
        </w:rPr>
        <w:t xml:space="preserve"> to liabilities being charged and payable against and by them.  Contract law is built upon mandatory obligations for the contracting parties (</w:t>
      </w:r>
      <w:r w:rsidR="00D858C6">
        <w:rPr>
          <w:rFonts w:ascii="Arial" w:hAnsi="Arial" w:cs="Arial"/>
          <w:sz w:val="24"/>
          <w:szCs w:val="24"/>
        </w:rPr>
        <w:t>Uff</w:t>
      </w:r>
      <w:r w:rsidRPr="00E93180">
        <w:rPr>
          <w:rFonts w:ascii="Arial" w:hAnsi="Arial" w:cs="Arial"/>
          <w:sz w:val="24"/>
          <w:szCs w:val="24"/>
        </w:rPr>
        <w:t xml:space="preserve">, 2011.p.175).  In the case of a construction agreement, the client is expected to provide all the necessary support in the form of resources for the smooth running and execution of the deal while the construction company, on the other hand, </w:t>
      </w:r>
      <w:r w:rsidR="00D858C6" w:rsidRPr="00E93180">
        <w:rPr>
          <w:rFonts w:ascii="Arial" w:hAnsi="Arial" w:cs="Arial"/>
          <w:sz w:val="24"/>
          <w:szCs w:val="24"/>
        </w:rPr>
        <w:t>must</w:t>
      </w:r>
      <w:r w:rsidRPr="00E93180">
        <w:rPr>
          <w:rFonts w:ascii="Arial" w:hAnsi="Arial" w:cs="Arial"/>
          <w:sz w:val="24"/>
          <w:szCs w:val="24"/>
        </w:rPr>
        <w:t xml:space="preserve"> ensure quality and timely work as per needs of the client.</w:t>
      </w:r>
    </w:p>
    <w:p w14:paraId="4C6EE828" w14:textId="77777777" w:rsidR="00C74938" w:rsidRPr="00E93180" w:rsidRDefault="00E06D6F" w:rsidP="004B35CF">
      <w:pPr>
        <w:spacing w:after="0" w:line="480" w:lineRule="auto"/>
        <w:ind w:firstLine="720"/>
        <w:rPr>
          <w:rFonts w:ascii="Arial" w:hAnsi="Arial" w:cs="Arial"/>
          <w:sz w:val="24"/>
          <w:szCs w:val="24"/>
        </w:rPr>
      </w:pPr>
      <w:r w:rsidRPr="00E93180">
        <w:rPr>
          <w:rFonts w:ascii="Arial" w:hAnsi="Arial" w:cs="Arial"/>
          <w:sz w:val="24"/>
          <w:szCs w:val="24"/>
        </w:rPr>
        <w:t>In the event that part of the obligations is not fulfilled by one of the parties, the contract is considered to have been breached, and the affected party has a right to seek legal recourse. Some examples of a situation of failure to meet obligations by a contractor include but not limited to the extension of time in finishing the job, poor quality work is done, an increase of fees chargeable to the client, and failure to complete a given assignment. Obligations not met by the client, on the other hand, include failure to release full payment to the contractor upon completion of work and not providing all the necessary materials as agreed.</w:t>
      </w:r>
    </w:p>
    <w:p w14:paraId="63D12BCF" w14:textId="77777777" w:rsidR="0005198C" w:rsidRPr="00E93180" w:rsidRDefault="00E06D6F" w:rsidP="00526D25">
      <w:pPr>
        <w:spacing w:after="0" w:line="480" w:lineRule="auto"/>
        <w:rPr>
          <w:rFonts w:ascii="Arial" w:hAnsi="Arial" w:cs="Arial"/>
          <w:sz w:val="24"/>
          <w:szCs w:val="24"/>
        </w:rPr>
      </w:pPr>
      <w:r w:rsidRPr="00E93180">
        <w:rPr>
          <w:rFonts w:ascii="Arial" w:hAnsi="Arial" w:cs="Arial"/>
          <w:sz w:val="24"/>
          <w:szCs w:val="24"/>
        </w:rPr>
        <w:t>Potential issues arising from lack of full discharge</w:t>
      </w:r>
    </w:p>
    <w:p w14:paraId="6A8A9C3B" w14:textId="77777777" w:rsidR="004B35CF" w:rsidRPr="00E93180" w:rsidRDefault="00E06D6F" w:rsidP="00526D25">
      <w:pPr>
        <w:spacing w:after="0" w:line="480" w:lineRule="auto"/>
        <w:rPr>
          <w:rFonts w:ascii="Arial" w:hAnsi="Arial" w:cs="Arial"/>
          <w:sz w:val="24"/>
          <w:szCs w:val="24"/>
        </w:rPr>
      </w:pPr>
      <w:r w:rsidRPr="00E93180">
        <w:rPr>
          <w:rFonts w:ascii="Arial" w:hAnsi="Arial" w:cs="Arial"/>
          <w:sz w:val="24"/>
          <w:szCs w:val="24"/>
        </w:rPr>
        <w:lastRenderedPageBreak/>
        <w:tab/>
        <w:t xml:space="preserve">When a contract is not fully discharged, the aggrieved contracting party have the option of seeking arbitration, adjudication, or court action. Adjudication is a means of resolving disputes that arise in construction contracts (The Construction Industry Council, 2017.p.6). According to The Construction Industry Council. (2017.p.6), either party to a construction contract can seek the intervention of an adjudicator who is then required to make his/her decision within 28 days upon the matter being referred to them. </w:t>
      </w:r>
    </w:p>
    <w:p w14:paraId="0FED96AA" w14:textId="77777777" w:rsidR="004B35CF" w:rsidRPr="00E93180" w:rsidRDefault="00E06D6F" w:rsidP="004B35CF">
      <w:pPr>
        <w:spacing w:after="0" w:line="480" w:lineRule="auto"/>
        <w:ind w:firstLine="720"/>
        <w:rPr>
          <w:rFonts w:ascii="Arial" w:hAnsi="Arial" w:cs="Arial"/>
          <w:sz w:val="24"/>
          <w:szCs w:val="24"/>
        </w:rPr>
      </w:pPr>
      <w:r w:rsidRPr="00E93180">
        <w:rPr>
          <w:rFonts w:ascii="Arial" w:hAnsi="Arial" w:cs="Arial"/>
          <w:sz w:val="24"/>
          <w:szCs w:val="24"/>
        </w:rPr>
        <w:t xml:space="preserve">It is important to note that adjudication is not applicable to all construction contracts but only those that have the provision of the same in the agreement document. Although adjudication is often acceptable by disputing parties, it is not necessarily the final point of settlement of a disagreement as the parties have the option of taking the matter to court or seeking arbitration if so provided in the contract. In the event of arbitrary proceedings, the aggrieved party serves a notice of arbitration to the other stating the matter of dispute and a requirement for the other to agree on the selection of an arbitrator (Society of Construction Arbitrators, 2011.p.2). </w:t>
      </w:r>
    </w:p>
    <w:p w14:paraId="28B9C383" w14:textId="176E17DE" w:rsidR="004B35CF" w:rsidRPr="00E93180" w:rsidRDefault="00E06D6F" w:rsidP="004B35CF">
      <w:pPr>
        <w:spacing w:after="0" w:line="480" w:lineRule="auto"/>
        <w:ind w:firstLine="720"/>
        <w:rPr>
          <w:rFonts w:ascii="Arial" w:hAnsi="Arial" w:cs="Arial"/>
          <w:sz w:val="24"/>
          <w:szCs w:val="24"/>
        </w:rPr>
      </w:pPr>
      <w:r w:rsidRPr="00E93180">
        <w:rPr>
          <w:rFonts w:ascii="Arial" w:hAnsi="Arial" w:cs="Arial"/>
          <w:sz w:val="24"/>
          <w:szCs w:val="24"/>
        </w:rPr>
        <w:t xml:space="preserve">The arbitrator is supposed to be agreed on by both </w:t>
      </w:r>
      <w:r w:rsidR="00D858C6" w:rsidRPr="00E93180">
        <w:rPr>
          <w:rFonts w:ascii="Arial" w:hAnsi="Arial" w:cs="Arial"/>
          <w:sz w:val="24"/>
          <w:szCs w:val="24"/>
        </w:rPr>
        <w:t>parties’</w:t>
      </w:r>
      <w:r w:rsidRPr="00E93180">
        <w:rPr>
          <w:rFonts w:ascii="Arial" w:hAnsi="Arial" w:cs="Arial"/>
          <w:sz w:val="24"/>
          <w:szCs w:val="24"/>
        </w:rPr>
        <w:t xml:space="preserve"> failure to which the court will appoint one as it deems fit. There are instances when several disputes may arise that involve the same parties but fall under different arbitration agreements. In such cases, consideration is given to the various issues when appointing an arbitrator (Society of Construction Arbitrators, 2011.p.2). An arbitrator has the power to rule on the matters brought before them as long as they fall within his/her jurisdiction (Society of Construction Arbitrators, 2011.p.3). The arbitrator, therefore, can make either of the contracting parties to comply with the terms of the contract that they have failed to or </w:t>
      </w:r>
      <w:r w:rsidRPr="00E93180">
        <w:rPr>
          <w:rFonts w:ascii="Arial" w:hAnsi="Arial" w:cs="Arial"/>
          <w:sz w:val="24"/>
          <w:szCs w:val="24"/>
        </w:rPr>
        <w:lastRenderedPageBreak/>
        <w:t xml:space="preserve">make settlement as rewards for the breach of contract in the event where damages have been incurred by the aggrieved party. Notably, the arbitrator is not bound to adhere to strict rules of evidence and hence has the power to decide on the admissibility of the facts presented before him as evidence (Society of Construction Arbitrators, 2011.p.4). </w:t>
      </w:r>
    </w:p>
    <w:p w14:paraId="1CE1B21C" w14:textId="5C5FAA8C" w:rsidR="00B43CF5" w:rsidRPr="00E93180" w:rsidRDefault="00E06D6F" w:rsidP="004B35CF">
      <w:pPr>
        <w:spacing w:after="0" w:line="480" w:lineRule="auto"/>
        <w:ind w:firstLine="720"/>
        <w:rPr>
          <w:rFonts w:ascii="Arial" w:hAnsi="Arial" w:cs="Arial"/>
          <w:sz w:val="24"/>
          <w:szCs w:val="24"/>
        </w:rPr>
      </w:pPr>
      <w:r w:rsidRPr="00E93180">
        <w:rPr>
          <w:rFonts w:ascii="Arial" w:hAnsi="Arial" w:cs="Arial"/>
          <w:sz w:val="24"/>
          <w:szCs w:val="24"/>
        </w:rPr>
        <w:t>Some construction contracts have no provision for arbitration or adjudication in the event of disputes. This does not mean that there is no way of settling any disagreements as contracting individuals can seek legal help through the courts. Unlike in the case of adjudication. The court will act as the final dispute settler, and the parties will th</w:t>
      </w:r>
      <w:r w:rsidR="00D858C6">
        <w:rPr>
          <w:rFonts w:ascii="Arial" w:hAnsi="Arial" w:cs="Arial"/>
          <w:sz w:val="24"/>
          <w:szCs w:val="24"/>
        </w:rPr>
        <w:t>en</w:t>
      </w:r>
      <w:r w:rsidRPr="00E93180">
        <w:rPr>
          <w:rFonts w:ascii="Arial" w:hAnsi="Arial" w:cs="Arial"/>
          <w:sz w:val="24"/>
          <w:szCs w:val="24"/>
        </w:rPr>
        <w:t xml:space="preserve"> be bound by the decisions that will be arrived at by the institution. Any awards or remedies issued out will have to be followed and duly paid for whereby any default will be considered a civil wrong. </w:t>
      </w:r>
    </w:p>
    <w:p w14:paraId="10D1035B" w14:textId="77777777" w:rsidR="007D746F" w:rsidRPr="00D858C6" w:rsidRDefault="00E06D6F" w:rsidP="00526D25">
      <w:pPr>
        <w:spacing w:after="0" w:line="480" w:lineRule="auto"/>
        <w:rPr>
          <w:rFonts w:ascii="Arial" w:hAnsi="Arial" w:cs="Arial"/>
          <w:b/>
          <w:sz w:val="24"/>
          <w:szCs w:val="24"/>
        </w:rPr>
      </w:pPr>
      <w:r w:rsidRPr="00D858C6">
        <w:rPr>
          <w:rFonts w:ascii="Arial" w:hAnsi="Arial" w:cs="Arial"/>
          <w:b/>
          <w:sz w:val="24"/>
          <w:szCs w:val="24"/>
        </w:rPr>
        <w:t>Essential elements of construction contracts</w:t>
      </w:r>
    </w:p>
    <w:p w14:paraId="3D7A6FC8" w14:textId="77777777" w:rsidR="00AC2B9E" w:rsidRPr="00E93180" w:rsidRDefault="00E06D6F" w:rsidP="00526D25">
      <w:pPr>
        <w:spacing w:after="0" w:line="480" w:lineRule="auto"/>
        <w:rPr>
          <w:rFonts w:ascii="Arial" w:hAnsi="Arial" w:cs="Arial"/>
          <w:sz w:val="24"/>
          <w:szCs w:val="24"/>
        </w:rPr>
      </w:pPr>
      <w:r w:rsidRPr="00E93180">
        <w:rPr>
          <w:rFonts w:ascii="Arial" w:hAnsi="Arial" w:cs="Arial"/>
          <w:sz w:val="24"/>
          <w:szCs w:val="24"/>
        </w:rPr>
        <w:tab/>
        <w:t xml:space="preserve">Just like any other contract, construction agreements have three essential elements which include offer and acceptance, terms of the contract, and consideration. </w:t>
      </w:r>
    </w:p>
    <w:p w14:paraId="504A1B29" w14:textId="77777777" w:rsidR="00AC2B9E" w:rsidRPr="00D858C6" w:rsidRDefault="00E06D6F" w:rsidP="00526D25">
      <w:pPr>
        <w:spacing w:after="0" w:line="480" w:lineRule="auto"/>
        <w:rPr>
          <w:rFonts w:ascii="Arial" w:hAnsi="Arial" w:cs="Arial"/>
          <w:b/>
          <w:sz w:val="24"/>
          <w:szCs w:val="24"/>
        </w:rPr>
      </w:pPr>
      <w:r w:rsidRPr="00D858C6">
        <w:rPr>
          <w:rFonts w:ascii="Arial" w:hAnsi="Arial" w:cs="Arial"/>
          <w:b/>
          <w:sz w:val="24"/>
          <w:szCs w:val="24"/>
        </w:rPr>
        <w:t>Offer and acceptance</w:t>
      </w:r>
    </w:p>
    <w:p w14:paraId="4600CD5C" w14:textId="4B27EACA" w:rsidR="00985178" w:rsidRPr="00E93180" w:rsidRDefault="00E06D6F" w:rsidP="00526D25">
      <w:pPr>
        <w:spacing w:after="0" w:line="480" w:lineRule="auto"/>
        <w:rPr>
          <w:rFonts w:ascii="Arial" w:hAnsi="Arial" w:cs="Arial"/>
          <w:sz w:val="24"/>
          <w:szCs w:val="24"/>
        </w:rPr>
      </w:pPr>
      <w:r w:rsidRPr="00E93180">
        <w:rPr>
          <w:rFonts w:ascii="Arial" w:hAnsi="Arial" w:cs="Arial"/>
          <w:sz w:val="24"/>
          <w:szCs w:val="24"/>
        </w:rPr>
        <w:tab/>
        <w:t>Offer refers to the invitation to engage in a contract from one party to another. An offer is thus a promise from one party to be bound by given specified terms as will be agreed on (</w:t>
      </w:r>
      <w:r w:rsidR="00D858C6">
        <w:rPr>
          <w:rFonts w:ascii="Arial" w:hAnsi="Arial" w:cs="Arial"/>
          <w:sz w:val="24"/>
          <w:szCs w:val="24"/>
        </w:rPr>
        <w:t>Uff</w:t>
      </w:r>
      <w:r w:rsidRPr="00E93180">
        <w:rPr>
          <w:rFonts w:ascii="Arial" w:hAnsi="Arial" w:cs="Arial"/>
          <w:sz w:val="24"/>
          <w:szCs w:val="24"/>
        </w:rPr>
        <w:t>, 2011.p.176). There are instances when an offer can be turned down. Therefore, no agreement would have been reached. Acceptance on the other hand refers to the invited party agreeing to participate in the contract as per the laid down terms. In construction contracts, receipt of tenders is not an offer but only an invitation into making an offer (</w:t>
      </w:r>
      <w:r w:rsidR="00D858C6">
        <w:rPr>
          <w:rFonts w:ascii="Arial" w:hAnsi="Arial" w:cs="Arial"/>
          <w:sz w:val="24"/>
          <w:szCs w:val="24"/>
        </w:rPr>
        <w:t>Uff</w:t>
      </w:r>
      <w:r w:rsidRPr="00E93180">
        <w:rPr>
          <w:rFonts w:ascii="Arial" w:hAnsi="Arial" w:cs="Arial"/>
          <w:sz w:val="24"/>
          <w:szCs w:val="24"/>
        </w:rPr>
        <w:t xml:space="preserve">, 2011.p.176). Similarly, application for tender by various </w:t>
      </w:r>
      <w:r w:rsidRPr="00E93180">
        <w:rPr>
          <w:rFonts w:ascii="Arial" w:hAnsi="Arial" w:cs="Arial"/>
          <w:sz w:val="24"/>
          <w:szCs w:val="24"/>
        </w:rPr>
        <w:lastRenderedPageBreak/>
        <w:t>constructors is not acceptance of the offer. The client and construction companies have a chance to deliberate on the terms and determine final binding obligations. Acceptance of offer only arises when both parties have agreed and made a commitment to abide by the terms through signing.</w:t>
      </w:r>
    </w:p>
    <w:p w14:paraId="47B7FCE1" w14:textId="77777777" w:rsidR="00CF006B" w:rsidRPr="00641A29" w:rsidRDefault="00E06D6F" w:rsidP="00526D25">
      <w:pPr>
        <w:spacing w:after="0" w:line="480" w:lineRule="auto"/>
        <w:rPr>
          <w:rFonts w:ascii="Arial" w:hAnsi="Arial" w:cs="Arial"/>
          <w:b/>
          <w:i/>
          <w:sz w:val="24"/>
          <w:szCs w:val="24"/>
        </w:rPr>
      </w:pPr>
      <w:r w:rsidRPr="00641A29">
        <w:rPr>
          <w:rFonts w:ascii="Arial" w:hAnsi="Arial" w:cs="Arial"/>
          <w:b/>
          <w:i/>
          <w:sz w:val="24"/>
          <w:szCs w:val="24"/>
        </w:rPr>
        <w:t>Terms of contract</w:t>
      </w:r>
    </w:p>
    <w:p w14:paraId="786D2B83" w14:textId="1ECFC414" w:rsidR="004B35CF" w:rsidRPr="00E93180" w:rsidRDefault="00E06D6F" w:rsidP="00526D25">
      <w:pPr>
        <w:spacing w:after="0" w:line="480" w:lineRule="auto"/>
        <w:rPr>
          <w:rFonts w:ascii="Arial" w:hAnsi="Arial" w:cs="Arial"/>
          <w:sz w:val="24"/>
          <w:szCs w:val="24"/>
        </w:rPr>
      </w:pPr>
      <w:r w:rsidRPr="00E93180">
        <w:rPr>
          <w:rFonts w:ascii="Arial" w:hAnsi="Arial" w:cs="Arial"/>
          <w:sz w:val="24"/>
          <w:szCs w:val="24"/>
        </w:rPr>
        <w:tab/>
      </w:r>
      <w:r w:rsidR="00641A29">
        <w:rPr>
          <w:rFonts w:ascii="Arial" w:hAnsi="Arial" w:cs="Arial"/>
          <w:sz w:val="24"/>
          <w:szCs w:val="24"/>
        </w:rPr>
        <w:t>Uff</w:t>
      </w:r>
      <w:r w:rsidRPr="00E93180">
        <w:rPr>
          <w:rFonts w:ascii="Arial" w:hAnsi="Arial" w:cs="Arial"/>
          <w:sz w:val="24"/>
          <w:szCs w:val="24"/>
        </w:rPr>
        <w:t xml:space="preserve"> (2011.p.177) observes that there are essential and minor terms that parties are bound by. Before the law, a contract becomes in existence as soon as all the essential terms are defined and accepted by all partied involved (</w:t>
      </w:r>
      <w:r w:rsidR="00641A29">
        <w:rPr>
          <w:rFonts w:ascii="Arial" w:hAnsi="Arial" w:cs="Arial"/>
          <w:sz w:val="24"/>
          <w:szCs w:val="24"/>
        </w:rPr>
        <w:t>Uff</w:t>
      </w:r>
      <w:r w:rsidRPr="00E93180">
        <w:rPr>
          <w:rFonts w:ascii="Arial" w:hAnsi="Arial" w:cs="Arial"/>
          <w:sz w:val="24"/>
          <w:szCs w:val="24"/>
        </w:rPr>
        <w:t>, 2011.p.177). The essential terms include contract price, the scope of work, duration of the contract, and date of commencement (</w:t>
      </w:r>
      <w:r w:rsidR="00641A29">
        <w:rPr>
          <w:rFonts w:ascii="Arial" w:hAnsi="Arial" w:cs="Arial"/>
          <w:sz w:val="24"/>
          <w:szCs w:val="24"/>
        </w:rPr>
        <w:t>Uff</w:t>
      </w:r>
      <w:r w:rsidRPr="00E93180">
        <w:rPr>
          <w:rFonts w:ascii="Arial" w:hAnsi="Arial" w:cs="Arial"/>
          <w:sz w:val="24"/>
          <w:szCs w:val="24"/>
        </w:rPr>
        <w:t xml:space="preserve">, 2011.p.177). Any minor terms that arise </w:t>
      </w:r>
      <w:r w:rsidR="00AE608A" w:rsidRPr="00E93180">
        <w:rPr>
          <w:rFonts w:ascii="Arial" w:hAnsi="Arial" w:cs="Arial"/>
          <w:sz w:val="24"/>
          <w:szCs w:val="24"/>
        </w:rPr>
        <w:t>during</w:t>
      </w:r>
      <w:r w:rsidRPr="00E93180">
        <w:rPr>
          <w:rFonts w:ascii="Arial" w:hAnsi="Arial" w:cs="Arial"/>
          <w:sz w:val="24"/>
          <w:szCs w:val="24"/>
        </w:rPr>
        <w:t xml:space="preserve"> the performance of a contract are not legally capable of revoking an already existent agreement. </w:t>
      </w:r>
    </w:p>
    <w:p w14:paraId="25D8B535" w14:textId="5D4069A9" w:rsidR="00CF006B" w:rsidRPr="00E93180" w:rsidRDefault="00E06D6F" w:rsidP="004B35CF">
      <w:pPr>
        <w:spacing w:after="0" w:line="480" w:lineRule="auto"/>
        <w:ind w:firstLine="720"/>
        <w:rPr>
          <w:rFonts w:ascii="Arial" w:hAnsi="Arial" w:cs="Arial"/>
          <w:sz w:val="24"/>
          <w:szCs w:val="24"/>
        </w:rPr>
      </w:pPr>
      <w:r w:rsidRPr="00E93180">
        <w:rPr>
          <w:rFonts w:ascii="Arial" w:hAnsi="Arial" w:cs="Arial"/>
          <w:sz w:val="24"/>
          <w:szCs w:val="24"/>
        </w:rPr>
        <w:t>In the Drake and Skull vs. Higgs and Hill case, failure to determine the plaintiff daily wage rate beforehand did not render the contract in existence (</w:t>
      </w:r>
      <w:r w:rsidR="00641A29">
        <w:rPr>
          <w:rFonts w:ascii="Arial" w:hAnsi="Arial" w:cs="Arial"/>
          <w:sz w:val="24"/>
          <w:szCs w:val="24"/>
        </w:rPr>
        <w:t>Uff</w:t>
      </w:r>
      <w:r w:rsidRPr="00E93180">
        <w:rPr>
          <w:rFonts w:ascii="Arial" w:hAnsi="Arial" w:cs="Arial"/>
          <w:sz w:val="24"/>
          <w:szCs w:val="24"/>
        </w:rPr>
        <w:t xml:space="preserve">, 2011.p.177). Despite daily pay being a significantly important aspect of the contract, its exclusion would not be sufficient enough to revoke the agreement. Higgs and Hill by agreeing to working with had implied accepted to pay a reasonable amount to Drake and Skull when the work is completed. Terms of a contract are thus expressed or implied and consequently become legally binding to the parties involved. </w:t>
      </w:r>
    </w:p>
    <w:p w14:paraId="44FDA39E" w14:textId="77777777" w:rsidR="007D746F" w:rsidRPr="00641A29" w:rsidRDefault="00E06D6F" w:rsidP="00526D25">
      <w:pPr>
        <w:spacing w:after="0" w:line="480" w:lineRule="auto"/>
        <w:rPr>
          <w:rFonts w:ascii="Arial" w:hAnsi="Arial" w:cs="Arial"/>
          <w:b/>
          <w:i/>
          <w:sz w:val="24"/>
          <w:szCs w:val="24"/>
        </w:rPr>
      </w:pPr>
      <w:r w:rsidRPr="00641A29">
        <w:rPr>
          <w:rFonts w:ascii="Arial" w:hAnsi="Arial" w:cs="Arial"/>
          <w:b/>
          <w:i/>
          <w:sz w:val="24"/>
          <w:szCs w:val="24"/>
        </w:rPr>
        <w:t>Consideration</w:t>
      </w:r>
    </w:p>
    <w:p w14:paraId="517AC86D" w14:textId="4722187C" w:rsidR="007D746F" w:rsidRPr="00E93180" w:rsidRDefault="00E06D6F" w:rsidP="00526D25">
      <w:pPr>
        <w:spacing w:after="0" w:line="480" w:lineRule="auto"/>
        <w:rPr>
          <w:rFonts w:ascii="Arial" w:hAnsi="Arial" w:cs="Arial"/>
          <w:sz w:val="24"/>
          <w:szCs w:val="24"/>
        </w:rPr>
      </w:pPr>
      <w:r w:rsidRPr="00E93180">
        <w:rPr>
          <w:rFonts w:ascii="Arial" w:hAnsi="Arial" w:cs="Arial"/>
          <w:sz w:val="24"/>
          <w:szCs w:val="24"/>
        </w:rPr>
        <w:tab/>
        <w:t xml:space="preserve">Consideration refers to the dischargeable payment that each party is entitled to make to the other. A contract cannot be legally binding if it lacks consideration. In building agreements, consideration is money payable from client to constructor after </w:t>
      </w:r>
      <w:r w:rsidRPr="00E93180">
        <w:rPr>
          <w:rFonts w:ascii="Arial" w:hAnsi="Arial" w:cs="Arial"/>
          <w:sz w:val="24"/>
          <w:szCs w:val="24"/>
        </w:rPr>
        <w:lastRenderedPageBreak/>
        <w:t xml:space="preserve">work is done and performance of the job by the constructor as per the requirements of the customer. Wood et al. (54) assert that the question is never whether the consideration is good enough, as long it exists and the parties are bound by the terms.  According to </w:t>
      </w:r>
      <w:r w:rsidR="00641A29">
        <w:rPr>
          <w:rFonts w:ascii="Arial" w:hAnsi="Arial" w:cs="Arial"/>
          <w:sz w:val="24"/>
          <w:szCs w:val="24"/>
        </w:rPr>
        <w:t>Uff</w:t>
      </w:r>
      <w:r w:rsidRPr="00E93180">
        <w:rPr>
          <w:rFonts w:ascii="Arial" w:hAnsi="Arial" w:cs="Arial"/>
          <w:sz w:val="24"/>
          <w:szCs w:val="24"/>
        </w:rPr>
        <w:t xml:space="preserve"> (2011.p.182), something that has already been done cannot qualify as consideration. Any contract requires fresh consideration for it to stand in law. Any consideration that is as a result of something that either of the party is already bound to do or has already done is thus bad consideration (</w:t>
      </w:r>
      <w:r w:rsidR="00641A29">
        <w:rPr>
          <w:rFonts w:ascii="Arial" w:hAnsi="Arial" w:cs="Arial"/>
          <w:sz w:val="24"/>
          <w:szCs w:val="24"/>
        </w:rPr>
        <w:t>Uff</w:t>
      </w:r>
      <w:r w:rsidRPr="00E93180">
        <w:rPr>
          <w:rFonts w:ascii="Arial" w:hAnsi="Arial" w:cs="Arial"/>
          <w:sz w:val="24"/>
          <w:szCs w:val="24"/>
        </w:rPr>
        <w:t>, 2011.p.182). A constructor can therefore not seek extra payment for an exemplary good job that had been anticipated as it was already executed of him/her. In the case of Williams vs. Roffey Bros, the defendant was held liable to pay plaintiff the promised extra amount for having completed the work sooner (</w:t>
      </w:r>
      <w:r w:rsidR="00641A29">
        <w:rPr>
          <w:rFonts w:ascii="Arial" w:hAnsi="Arial" w:cs="Arial"/>
          <w:sz w:val="24"/>
          <w:szCs w:val="24"/>
        </w:rPr>
        <w:t>Uff</w:t>
      </w:r>
      <w:r w:rsidRPr="00E93180">
        <w:rPr>
          <w:rFonts w:ascii="Arial" w:hAnsi="Arial" w:cs="Arial"/>
          <w:sz w:val="24"/>
          <w:szCs w:val="24"/>
        </w:rPr>
        <w:t>, 2011.p.182). Although the work could have been done as per the expectations of the initial contract between William the carpentry sub-contractor and Roffey Bros. the main contractor, the consideration of extra payment is good given that William could have completed the job before the foretasted time which he was not obliged to (</w:t>
      </w:r>
      <w:r w:rsidR="00641A29">
        <w:rPr>
          <w:rFonts w:ascii="Arial" w:hAnsi="Arial" w:cs="Arial"/>
          <w:sz w:val="24"/>
          <w:szCs w:val="24"/>
        </w:rPr>
        <w:t>Uff</w:t>
      </w:r>
      <w:r w:rsidRPr="00E93180">
        <w:rPr>
          <w:rFonts w:ascii="Arial" w:hAnsi="Arial" w:cs="Arial"/>
          <w:sz w:val="24"/>
          <w:szCs w:val="24"/>
        </w:rPr>
        <w:t xml:space="preserve">, 2011.p.182). Whether consideration is good or not is dependent on the specifics of a given agreement and other issues that arise thereon, and thus consideration disputes are often determined differently by courts based on the circumstances. </w:t>
      </w:r>
    </w:p>
    <w:p w14:paraId="4F39D145" w14:textId="77777777" w:rsidR="00804345" w:rsidRPr="00641A29" w:rsidRDefault="00E06D6F" w:rsidP="00526D25">
      <w:pPr>
        <w:spacing w:after="0" w:line="480" w:lineRule="auto"/>
        <w:rPr>
          <w:rFonts w:ascii="Arial" w:hAnsi="Arial" w:cs="Arial"/>
          <w:b/>
          <w:sz w:val="24"/>
          <w:szCs w:val="24"/>
        </w:rPr>
      </w:pPr>
      <w:r w:rsidRPr="00641A29">
        <w:rPr>
          <w:rFonts w:ascii="Arial" w:hAnsi="Arial" w:cs="Arial"/>
          <w:b/>
          <w:sz w:val="24"/>
          <w:szCs w:val="24"/>
        </w:rPr>
        <w:t>Ramification for issues arising</w:t>
      </w:r>
    </w:p>
    <w:p w14:paraId="781E2EB0" w14:textId="77777777" w:rsidR="00804345" w:rsidRPr="00E93180" w:rsidRDefault="00E06D6F" w:rsidP="00526D25">
      <w:pPr>
        <w:spacing w:after="0" w:line="480" w:lineRule="auto"/>
        <w:rPr>
          <w:rFonts w:ascii="Arial" w:hAnsi="Arial" w:cs="Arial"/>
          <w:sz w:val="24"/>
          <w:szCs w:val="24"/>
        </w:rPr>
      </w:pPr>
      <w:r w:rsidRPr="00E93180">
        <w:rPr>
          <w:rFonts w:ascii="Arial" w:hAnsi="Arial" w:cs="Arial"/>
          <w:sz w:val="24"/>
          <w:szCs w:val="24"/>
        </w:rPr>
        <w:tab/>
        <w:t xml:space="preserve">In the execution of a contract, several issues may arise that may lead to legal implications or financial losses to either to the parties among them being burning waste on site without license, removal or interference of material on site, and injury to the site intruder. </w:t>
      </w:r>
    </w:p>
    <w:p w14:paraId="38F201FC" w14:textId="77777777" w:rsidR="008A4965" w:rsidRPr="00641A29" w:rsidRDefault="00E06D6F" w:rsidP="00526D25">
      <w:pPr>
        <w:spacing w:after="0" w:line="480" w:lineRule="auto"/>
        <w:rPr>
          <w:rFonts w:ascii="Arial" w:hAnsi="Arial" w:cs="Arial"/>
          <w:b/>
          <w:i/>
          <w:sz w:val="24"/>
          <w:szCs w:val="24"/>
        </w:rPr>
      </w:pPr>
      <w:r w:rsidRPr="00641A29">
        <w:rPr>
          <w:rFonts w:ascii="Arial" w:hAnsi="Arial" w:cs="Arial"/>
          <w:b/>
          <w:i/>
          <w:sz w:val="24"/>
          <w:szCs w:val="24"/>
        </w:rPr>
        <w:lastRenderedPageBreak/>
        <w:t>Burning waste on site without license</w:t>
      </w:r>
    </w:p>
    <w:p w14:paraId="3742F7B0" w14:textId="0746213B" w:rsidR="008A4965" w:rsidRPr="00E93180" w:rsidRDefault="00E06D6F" w:rsidP="00526D25">
      <w:pPr>
        <w:spacing w:after="0" w:line="480" w:lineRule="auto"/>
        <w:rPr>
          <w:rFonts w:ascii="Arial" w:hAnsi="Arial" w:cs="Arial"/>
          <w:sz w:val="24"/>
          <w:szCs w:val="24"/>
        </w:rPr>
      </w:pPr>
      <w:r w:rsidRPr="00E93180">
        <w:rPr>
          <w:rFonts w:ascii="Arial" w:hAnsi="Arial" w:cs="Arial"/>
          <w:sz w:val="24"/>
          <w:szCs w:val="24"/>
        </w:rPr>
        <w:tab/>
        <w:t>The issue covers the area of implied terms where while the contract may not expressly state that the client ought to obtain the necessary permits and licenses from local authorities before any commencement of work at the site, they are expected to do so. When contractors take up a job, as professionals they are aware of the legal requirements and documentation that is necessary and expect that the client has all the required paperwork in order. In the event that contractors burn waste on site and there is no license for the same, and they are not made aware of it, then the client is the one that would be found liable by the court and any penalties or charges thereon against him/her.  It would th</w:t>
      </w:r>
      <w:r w:rsidR="00AE608A">
        <w:rPr>
          <w:rFonts w:ascii="Arial" w:hAnsi="Arial" w:cs="Arial"/>
          <w:sz w:val="24"/>
          <w:szCs w:val="24"/>
        </w:rPr>
        <w:t>en</w:t>
      </w:r>
      <w:r w:rsidRPr="00E93180">
        <w:rPr>
          <w:rFonts w:ascii="Arial" w:hAnsi="Arial" w:cs="Arial"/>
          <w:sz w:val="24"/>
          <w:szCs w:val="24"/>
        </w:rPr>
        <w:t xml:space="preserve"> be irrelevant whether or not the client was aware of the contractor’s actions. The law is observed in Liverpool C.C vs. Irwin where the Liverpool County Council was found to have an implied duty of maintaining and repairing parts of the rented property including staircases and lifts due to the tenancy agreement (</w:t>
      </w:r>
      <w:r w:rsidR="00641A29">
        <w:rPr>
          <w:rFonts w:ascii="Arial" w:hAnsi="Arial" w:cs="Arial"/>
          <w:sz w:val="24"/>
          <w:szCs w:val="24"/>
        </w:rPr>
        <w:t>Uff</w:t>
      </w:r>
      <w:r w:rsidRPr="00E93180">
        <w:rPr>
          <w:rFonts w:ascii="Arial" w:hAnsi="Arial" w:cs="Arial"/>
          <w:sz w:val="24"/>
          <w:szCs w:val="24"/>
        </w:rPr>
        <w:t xml:space="preserve">, 2011.p. 184). </w:t>
      </w:r>
    </w:p>
    <w:p w14:paraId="4AF7303C" w14:textId="77777777" w:rsidR="00C14547" w:rsidRPr="00641A29" w:rsidRDefault="00E06D6F" w:rsidP="00526D25">
      <w:pPr>
        <w:spacing w:after="0" w:line="480" w:lineRule="auto"/>
        <w:rPr>
          <w:rFonts w:ascii="Arial" w:hAnsi="Arial" w:cs="Arial"/>
          <w:b/>
          <w:i/>
          <w:sz w:val="24"/>
          <w:szCs w:val="24"/>
        </w:rPr>
      </w:pPr>
      <w:r w:rsidRPr="00641A29">
        <w:rPr>
          <w:rFonts w:ascii="Arial" w:hAnsi="Arial" w:cs="Arial"/>
          <w:b/>
          <w:i/>
          <w:sz w:val="24"/>
          <w:szCs w:val="24"/>
        </w:rPr>
        <w:t>Removal or interference of materials on site</w:t>
      </w:r>
    </w:p>
    <w:p w14:paraId="0802453E" w14:textId="5A94FD0B" w:rsidR="00C14547" w:rsidRPr="00E93180" w:rsidRDefault="00E06D6F" w:rsidP="00526D25">
      <w:pPr>
        <w:spacing w:after="0" w:line="480" w:lineRule="auto"/>
        <w:rPr>
          <w:rFonts w:ascii="Arial" w:hAnsi="Arial" w:cs="Arial"/>
          <w:sz w:val="24"/>
          <w:szCs w:val="24"/>
        </w:rPr>
      </w:pPr>
      <w:r w:rsidRPr="00E93180">
        <w:rPr>
          <w:rFonts w:ascii="Arial" w:hAnsi="Arial" w:cs="Arial"/>
          <w:sz w:val="24"/>
          <w:szCs w:val="24"/>
        </w:rPr>
        <w:tab/>
        <w:t xml:space="preserve">The issue here is repugnancy principle whereby other provisions in the contract may seem inconsistent with the main purpose of a contract. The client must avail all needed materials for the job to the contractor as per the agreement, however, once the materials are released, it is the duty of the contractor to ensure safety and proper use of the same until completion of work. The disturbance or removal of materials may lead to slow down of work due to a shortage of the same. This may however not be a justified reason for the contractor to charge extra costs for the lost or damaged materials or fail to meet the deadline as earlier agreed. In Gym vs. Morgenson, it was required that the </w:t>
      </w:r>
      <w:r w:rsidRPr="00E93180">
        <w:rPr>
          <w:rFonts w:ascii="Arial" w:hAnsi="Arial" w:cs="Arial"/>
          <w:sz w:val="24"/>
          <w:szCs w:val="24"/>
        </w:rPr>
        <w:lastRenderedPageBreak/>
        <w:t>contract is looked at as a whole and not as part of discharge (</w:t>
      </w:r>
      <w:r w:rsidR="001F71EB">
        <w:rPr>
          <w:rFonts w:ascii="Arial" w:hAnsi="Arial" w:cs="Arial"/>
          <w:sz w:val="24"/>
          <w:szCs w:val="24"/>
        </w:rPr>
        <w:t>Uff</w:t>
      </w:r>
      <w:r w:rsidRPr="00E93180">
        <w:rPr>
          <w:rFonts w:ascii="Arial" w:hAnsi="Arial" w:cs="Arial"/>
          <w:sz w:val="24"/>
          <w:szCs w:val="24"/>
        </w:rPr>
        <w:t xml:space="preserve">, 2011.p.182).  Main clauses of a contract should always prevail against those that arise in the course of execution. </w:t>
      </w:r>
    </w:p>
    <w:p w14:paraId="72A2EA5B" w14:textId="77777777" w:rsidR="003E4AD0" w:rsidRPr="001F71EB" w:rsidRDefault="00E06D6F" w:rsidP="00526D25">
      <w:pPr>
        <w:spacing w:after="0" w:line="480" w:lineRule="auto"/>
        <w:rPr>
          <w:rFonts w:ascii="Arial" w:hAnsi="Arial" w:cs="Arial"/>
          <w:b/>
          <w:i/>
          <w:sz w:val="24"/>
          <w:szCs w:val="24"/>
        </w:rPr>
      </w:pPr>
      <w:r w:rsidRPr="001F71EB">
        <w:rPr>
          <w:rFonts w:ascii="Arial" w:hAnsi="Arial" w:cs="Arial"/>
          <w:b/>
          <w:i/>
          <w:sz w:val="24"/>
          <w:szCs w:val="24"/>
        </w:rPr>
        <w:t>Injury of site intruder</w:t>
      </w:r>
    </w:p>
    <w:p w14:paraId="6F058809" w14:textId="3B22E29C" w:rsidR="00936DEA" w:rsidRPr="00E93180" w:rsidRDefault="00E06D6F" w:rsidP="00526D25">
      <w:pPr>
        <w:spacing w:after="0" w:line="480" w:lineRule="auto"/>
        <w:rPr>
          <w:rFonts w:ascii="Arial" w:hAnsi="Arial" w:cs="Arial"/>
          <w:sz w:val="24"/>
          <w:szCs w:val="24"/>
        </w:rPr>
      </w:pPr>
      <w:r w:rsidRPr="00E93180">
        <w:rPr>
          <w:rFonts w:ascii="Arial" w:hAnsi="Arial" w:cs="Arial"/>
          <w:sz w:val="24"/>
          <w:szCs w:val="24"/>
        </w:rPr>
        <w:tab/>
        <w:t xml:space="preserve">Injury occurring to a site intruder is a legal issue of the third level implied terms of the contract in which the terms are not spelled out in the contract but arise as a result of its execution. According to </w:t>
      </w:r>
      <w:r w:rsidR="001F71EB">
        <w:rPr>
          <w:rFonts w:ascii="Arial" w:hAnsi="Arial" w:cs="Arial"/>
          <w:sz w:val="24"/>
          <w:szCs w:val="24"/>
        </w:rPr>
        <w:t>Uff</w:t>
      </w:r>
      <w:r w:rsidRPr="00E93180">
        <w:rPr>
          <w:rFonts w:ascii="Arial" w:hAnsi="Arial" w:cs="Arial"/>
          <w:sz w:val="24"/>
          <w:szCs w:val="24"/>
        </w:rPr>
        <w:t xml:space="preserve"> (2011.p.185), the terms can be referred to as reasonable terms. In the case of Trollope and Colls vs. N.W, Met Hospital Board, the court held that it was neither its duty to make contracts for parties nor improve on contracts already made but rather to ensure that the terms entered into are observed by either party. Since the contracting parties did not anticipate the foist phase overrunning and hence extending the project duration, the stipulated time still stood, and the contractors were bound by it (</w:t>
      </w:r>
      <w:r w:rsidR="001F71EB">
        <w:rPr>
          <w:rFonts w:ascii="Arial" w:hAnsi="Arial" w:cs="Arial"/>
          <w:sz w:val="24"/>
          <w:szCs w:val="24"/>
        </w:rPr>
        <w:t>Uff</w:t>
      </w:r>
      <w:r w:rsidRPr="00E93180">
        <w:rPr>
          <w:rFonts w:ascii="Arial" w:hAnsi="Arial" w:cs="Arial"/>
          <w:sz w:val="24"/>
          <w:szCs w:val="24"/>
        </w:rPr>
        <w:t xml:space="preserve">, 2011.p.185). Unless the parties would have anticipated and hence included a provision of the incident in the contract appertaining to injury due to intrusion, then neither of the parties will be accountable for the injury that comes to such an individual. </w:t>
      </w:r>
    </w:p>
    <w:p w14:paraId="7E4C802E" w14:textId="77777777" w:rsidR="00936DEA" w:rsidRPr="00E93180" w:rsidRDefault="00E06D6F" w:rsidP="00526D25">
      <w:pPr>
        <w:spacing w:after="0" w:line="480" w:lineRule="auto"/>
        <w:rPr>
          <w:rFonts w:ascii="Arial" w:hAnsi="Arial" w:cs="Arial"/>
          <w:sz w:val="24"/>
          <w:szCs w:val="24"/>
        </w:rPr>
      </w:pPr>
      <w:r w:rsidRPr="00E93180">
        <w:rPr>
          <w:rFonts w:ascii="Arial" w:hAnsi="Arial" w:cs="Arial"/>
          <w:sz w:val="24"/>
          <w:szCs w:val="24"/>
        </w:rPr>
        <w:br w:type="page"/>
      </w:r>
    </w:p>
    <w:p w14:paraId="57DE54CD" w14:textId="77777777" w:rsidR="003E4AD0" w:rsidRPr="00E93180" w:rsidRDefault="00E06D6F" w:rsidP="00526D25">
      <w:pPr>
        <w:spacing w:after="0" w:line="480" w:lineRule="auto"/>
        <w:jc w:val="center"/>
        <w:rPr>
          <w:rFonts w:ascii="Arial" w:hAnsi="Arial" w:cs="Arial"/>
          <w:sz w:val="24"/>
          <w:szCs w:val="24"/>
        </w:rPr>
      </w:pPr>
      <w:r w:rsidRPr="00E93180">
        <w:rPr>
          <w:rFonts w:ascii="Arial" w:hAnsi="Arial" w:cs="Arial"/>
          <w:sz w:val="24"/>
          <w:szCs w:val="24"/>
        </w:rPr>
        <w:lastRenderedPageBreak/>
        <w:t>References</w:t>
      </w:r>
    </w:p>
    <w:p w14:paraId="0768327D" w14:textId="77777777" w:rsidR="00C01DED" w:rsidRPr="00E93180" w:rsidRDefault="00172351" w:rsidP="00526D25">
      <w:pPr>
        <w:spacing w:after="0" w:line="480" w:lineRule="auto"/>
        <w:rPr>
          <w:rFonts w:ascii="Arial" w:hAnsi="Arial" w:cs="Arial"/>
          <w:sz w:val="24"/>
          <w:szCs w:val="24"/>
        </w:rPr>
      </w:pPr>
    </w:p>
    <w:p w14:paraId="5CBB2FFA" w14:textId="77777777" w:rsidR="00AE608A" w:rsidRDefault="00AE608A" w:rsidP="00526D25">
      <w:pPr>
        <w:spacing w:after="0" w:line="480" w:lineRule="auto"/>
        <w:rPr>
          <w:rFonts w:ascii="Arial" w:hAnsi="Arial" w:cs="Arial"/>
        </w:rPr>
      </w:pPr>
    </w:p>
    <w:p w14:paraId="4EDCD097" w14:textId="795BDFDD" w:rsidR="00AE608A" w:rsidRPr="00F36892" w:rsidRDefault="00AE608A" w:rsidP="00526D25">
      <w:pPr>
        <w:spacing w:after="0" w:line="480" w:lineRule="auto"/>
        <w:rPr>
          <w:rFonts w:ascii="Arial" w:hAnsi="Arial" w:cs="Arial"/>
          <w:sz w:val="24"/>
          <w:szCs w:val="24"/>
        </w:rPr>
      </w:pPr>
      <w:r w:rsidRPr="00F36892">
        <w:rPr>
          <w:rFonts w:ascii="Arial" w:hAnsi="Arial" w:cs="Arial"/>
          <w:sz w:val="24"/>
          <w:szCs w:val="24"/>
        </w:rPr>
        <w:t>Uff, J. (2011). </w:t>
      </w:r>
      <w:r w:rsidR="00695A10">
        <w:rPr>
          <w:rFonts w:ascii="Arial" w:hAnsi="Arial" w:cs="Arial"/>
          <w:sz w:val="24"/>
          <w:szCs w:val="24"/>
        </w:rPr>
        <w:t>“</w:t>
      </w:r>
      <w:r w:rsidRPr="00F36892">
        <w:rPr>
          <w:rFonts w:ascii="Arial" w:hAnsi="Arial" w:cs="Arial"/>
          <w:i/>
          <w:iCs/>
          <w:sz w:val="24"/>
          <w:szCs w:val="24"/>
        </w:rPr>
        <w:t>Construction law</w:t>
      </w:r>
      <w:r w:rsidR="00695A10">
        <w:rPr>
          <w:rFonts w:ascii="Arial" w:hAnsi="Arial" w:cs="Arial"/>
          <w:i/>
          <w:iCs/>
          <w:sz w:val="24"/>
          <w:szCs w:val="24"/>
        </w:rPr>
        <w:t>”</w:t>
      </w:r>
      <w:r w:rsidRPr="00F36892">
        <w:rPr>
          <w:rFonts w:ascii="Arial" w:hAnsi="Arial" w:cs="Arial"/>
          <w:sz w:val="24"/>
          <w:szCs w:val="24"/>
        </w:rPr>
        <w:t>. London: Sweet &amp; Maxwell.</w:t>
      </w:r>
    </w:p>
    <w:p w14:paraId="43659C1C" w14:textId="369A0478" w:rsidR="00EF4A81" w:rsidRPr="00E93180" w:rsidRDefault="00E06D6F" w:rsidP="00526D25">
      <w:pPr>
        <w:spacing w:after="0" w:line="480" w:lineRule="auto"/>
        <w:rPr>
          <w:rFonts w:ascii="Arial" w:hAnsi="Arial" w:cs="Arial"/>
          <w:sz w:val="24"/>
          <w:szCs w:val="24"/>
        </w:rPr>
      </w:pPr>
      <w:r w:rsidRPr="00E93180">
        <w:rPr>
          <w:rFonts w:ascii="Arial" w:hAnsi="Arial" w:cs="Arial"/>
        </w:rPr>
        <w:t xml:space="preserve">. </w:t>
      </w:r>
    </w:p>
    <w:p w14:paraId="2C22A894" w14:textId="77777777" w:rsidR="00EF4A81" w:rsidRPr="00E93180" w:rsidRDefault="00E06D6F" w:rsidP="00AE608A">
      <w:pPr>
        <w:spacing w:after="0" w:line="480" w:lineRule="auto"/>
        <w:rPr>
          <w:rFonts w:ascii="Arial" w:hAnsi="Arial" w:cs="Arial"/>
          <w:sz w:val="24"/>
          <w:szCs w:val="24"/>
        </w:rPr>
      </w:pPr>
      <w:r w:rsidRPr="00E93180">
        <w:rPr>
          <w:rFonts w:ascii="Arial" w:hAnsi="Arial" w:cs="Arial"/>
          <w:sz w:val="24"/>
          <w:szCs w:val="24"/>
        </w:rPr>
        <w:t xml:space="preserve">Society of Construction Arbitrators. “Construction Industry Model Arbitration Rules 2011.” </w:t>
      </w:r>
      <w:r w:rsidRPr="00E93180">
        <w:rPr>
          <w:rFonts w:ascii="Arial" w:hAnsi="Arial" w:cs="Arial"/>
          <w:i/>
          <w:sz w:val="24"/>
          <w:szCs w:val="24"/>
        </w:rPr>
        <w:t>Stationers Hall</w:t>
      </w:r>
      <w:r w:rsidRPr="00E93180">
        <w:rPr>
          <w:rFonts w:ascii="Arial" w:hAnsi="Arial" w:cs="Arial"/>
          <w:sz w:val="24"/>
          <w:szCs w:val="24"/>
        </w:rPr>
        <w:t xml:space="preserve">. 2011. </w:t>
      </w:r>
    </w:p>
    <w:p w14:paraId="0DD912B7" w14:textId="77777777" w:rsidR="00AE608A" w:rsidRDefault="00AE608A" w:rsidP="00AE608A">
      <w:pPr>
        <w:spacing w:after="0" w:line="480" w:lineRule="auto"/>
        <w:ind w:left="720" w:hanging="720"/>
        <w:rPr>
          <w:rFonts w:ascii="Arial" w:hAnsi="Arial" w:cs="Arial"/>
          <w:sz w:val="24"/>
          <w:szCs w:val="24"/>
        </w:rPr>
      </w:pPr>
    </w:p>
    <w:p w14:paraId="48A9F767" w14:textId="44E48542" w:rsidR="00EF4A81" w:rsidRPr="00E93180" w:rsidRDefault="00E06D6F" w:rsidP="00AE608A">
      <w:pPr>
        <w:spacing w:after="0" w:line="480" w:lineRule="auto"/>
        <w:ind w:left="720" w:hanging="720"/>
        <w:rPr>
          <w:rFonts w:ascii="Arial" w:hAnsi="Arial" w:cs="Arial"/>
          <w:sz w:val="24"/>
          <w:szCs w:val="24"/>
        </w:rPr>
      </w:pPr>
      <w:r w:rsidRPr="00E93180">
        <w:rPr>
          <w:rFonts w:ascii="Arial" w:hAnsi="Arial" w:cs="Arial"/>
          <w:sz w:val="24"/>
          <w:szCs w:val="24"/>
        </w:rPr>
        <w:t xml:space="preserve">The Construction Industry Council. “Users guide to adjudication.” 2017. </w:t>
      </w:r>
    </w:p>
    <w:p w14:paraId="2110FB96" w14:textId="77777777" w:rsidR="00E93180" w:rsidRPr="00E93180" w:rsidRDefault="00E93180" w:rsidP="00EF4A81">
      <w:pPr>
        <w:spacing w:after="0" w:line="480" w:lineRule="auto"/>
        <w:ind w:left="720" w:hanging="720"/>
        <w:rPr>
          <w:rFonts w:ascii="Arial" w:hAnsi="Arial" w:cs="Arial"/>
          <w:color w:val="222222"/>
          <w:sz w:val="24"/>
          <w:szCs w:val="24"/>
          <w:shd w:val="clear" w:color="auto" w:fill="FFFFFF"/>
        </w:rPr>
      </w:pPr>
    </w:p>
    <w:p w14:paraId="3B8508C1" w14:textId="672D39BB" w:rsidR="00EF4A81" w:rsidRPr="00E93180" w:rsidRDefault="00E06D6F" w:rsidP="00EF4A81">
      <w:pPr>
        <w:spacing w:after="0" w:line="480" w:lineRule="auto"/>
        <w:ind w:left="720" w:hanging="720"/>
        <w:rPr>
          <w:rFonts w:ascii="Arial" w:hAnsi="Arial" w:cs="Arial"/>
          <w:color w:val="222222"/>
          <w:sz w:val="24"/>
          <w:szCs w:val="24"/>
          <w:shd w:val="clear" w:color="auto" w:fill="FFFFFF"/>
        </w:rPr>
      </w:pPr>
      <w:r w:rsidRPr="00E93180">
        <w:rPr>
          <w:rFonts w:ascii="Arial" w:hAnsi="Arial" w:cs="Arial"/>
          <w:color w:val="222222"/>
          <w:sz w:val="24"/>
          <w:szCs w:val="24"/>
          <w:shd w:val="clear" w:color="auto" w:fill="FFFFFF"/>
        </w:rPr>
        <w:t>Wood, D., Chynoweth, P., Adshead, J. and Mason, J., 2010. </w:t>
      </w:r>
      <w:r w:rsidR="00F36892">
        <w:rPr>
          <w:rFonts w:ascii="Arial" w:hAnsi="Arial" w:cs="Arial"/>
          <w:color w:val="222222"/>
          <w:sz w:val="24"/>
          <w:szCs w:val="24"/>
          <w:shd w:val="clear" w:color="auto" w:fill="FFFFFF"/>
        </w:rPr>
        <w:t>“</w:t>
      </w:r>
      <w:r w:rsidRPr="00E93180">
        <w:rPr>
          <w:rFonts w:ascii="Arial" w:hAnsi="Arial" w:cs="Arial"/>
          <w:i/>
          <w:iCs/>
          <w:color w:val="222222"/>
          <w:sz w:val="24"/>
          <w:szCs w:val="24"/>
          <w:shd w:val="clear" w:color="auto" w:fill="FFFFFF"/>
        </w:rPr>
        <w:t>Law &amp; the built</w:t>
      </w:r>
      <w:r w:rsidR="00AE608A">
        <w:rPr>
          <w:rFonts w:ascii="Arial" w:hAnsi="Arial" w:cs="Arial"/>
          <w:i/>
          <w:iCs/>
          <w:color w:val="222222"/>
          <w:sz w:val="24"/>
          <w:szCs w:val="24"/>
          <w:shd w:val="clear" w:color="auto" w:fill="FFFFFF"/>
        </w:rPr>
        <w:t xml:space="preserve"> </w:t>
      </w:r>
      <w:r w:rsidRPr="00E93180">
        <w:rPr>
          <w:rFonts w:ascii="Arial" w:hAnsi="Arial" w:cs="Arial"/>
          <w:i/>
          <w:iCs/>
          <w:color w:val="222222"/>
          <w:sz w:val="24"/>
          <w:szCs w:val="24"/>
          <w:shd w:val="clear" w:color="auto" w:fill="FFFFFF"/>
        </w:rPr>
        <w:t>environment</w:t>
      </w:r>
      <w:r w:rsidR="00F36892">
        <w:rPr>
          <w:rFonts w:ascii="Arial" w:hAnsi="Arial" w:cs="Arial"/>
          <w:i/>
          <w:iCs/>
          <w:color w:val="222222"/>
          <w:sz w:val="24"/>
          <w:szCs w:val="24"/>
          <w:shd w:val="clear" w:color="auto" w:fill="FFFFFF"/>
        </w:rPr>
        <w:t>”</w:t>
      </w:r>
      <w:r w:rsidRPr="00E93180">
        <w:rPr>
          <w:rFonts w:ascii="Arial" w:hAnsi="Arial" w:cs="Arial"/>
          <w:color w:val="222222"/>
          <w:sz w:val="24"/>
          <w:szCs w:val="24"/>
          <w:shd w:val="clear" w:color="auto" w:fill="FFFFFF"/>
        </w:rPr>
        <w:t>.</w:t>
      </w:r>
      <w:r w:rsidR="00E93180" w:rsidRPr="00E93180">
        <w:rPr>
          <w:rFonts w:ascii="Arial" w:hAnsi="Arial" w:cs="Arial"/>
          <w:color w:val="222222"/>
          <w:sz w:val="24"/>
          <w:szCs w:val="24"/>
          <w:shd w:val="clear" w:color="auto" w:fill="FFFFFF"/>
        </w:rPr>
        <w:t xml:space="preserve"> </w:t>
      </w:r>
      <w:r w:rsidR="00F36892" w:rsidRPr="00E93180">
        <w:rPr>
          <w:rFonts w:ascii="Arial" w:hAnsi="Arial" w:cs="Arial"/>
          <w:color w:val="222222"/>
          <w:sz w:val="24"/>
          <w:szCs w:val="24"/>
          <w:shd w:val="clear" w:color="auto" w:fill="FFFFFF"/>
        </w:rPr>
        <w:t>John Wiley</w:t>
      </w:r>
      <w:r w:rsidRPr="00E93180">
        <w:rPr>
          <w:rFonts w:ascii="Arial" w:hAnsi="Arial" w:cs="Arial"/>
          <w:color w:val="222222"/>
          <w:sz w:val="24"/>
          <w:szCs w:val="24"/>
          <w:shd w:val="clear" w:color="auto" w:fill="FFFFFF"/>
        </w:rPr>
        <w:t xml:space="preserve"> &amp; Sons.</w:t>
      </w:r>
    </w:p>
    <w:p w14:paraId="79ADA1E3" w14:textId="77777777" w:rsidR="003E4AD0" w:rsidRPr="00E93180" w:rsidRDefault="00172351">
      <w:pPr>
        <w:rPr>
          <w:rFonts w:ascii="Arial" w:hAnsi="Arial" w:cs="Arial"/>
          <w:sz w:val="24"/>
          <w:szCs w:val="24"/>
        </w:rPr>
      </w:pPr>
    </w:p>
    <w:p w14:paraId="15287023" w14:textId="77777777" w:rsidR="00C14547" w:rsidRPr="00E93180" w:rsidRDefault="00172351">
      <w:pPr>
        <w:rPr>
          <w:rFonts w:ascii="Arial" w:hAnsi="Arial" w:cs="Arial"/>
          <w:sz w:val="24"/>
          <w:szCs w:val="24"/>
        </w:rPr>
      </w:pPr>
    </w:p>
    <w:p w14:paraId="4B62AD21" w14:textId="77777777" w:rsidR="008A4965" w:rsidRPr="00E93180" w:rsidRDefault="00172351">
      <w:pPr>
        <w:rPr>
          <w:rFonts w:ascii="Arial" w:hAnsi="Arial" w:cs="Arial"/>
          <w:sz w:val="24"/>
          <w:szCs w:val="24"/>
        </w:rPr>
      </w:pPr>
    </w:p>
    <w:p w14:paraId="2398B098" w14:textId="77777777" w:rsidR="008A4965" w:rsidRPr="00E93180" w:rsidRDefault="00172351">
      <w:pPr>
        <w:rPr>
          <w:rFonts w:ascii="Arial" w:hAnsi="Arial" w:cs="Arial"/>
          <w:sz w:val="24"/>
          <w:szCs w:val="24"/>
        </w:rPr>
      </w:pPr>
    </w:p>
    <w:p w14:paraId="33BB7662" w14:textId="77777777" w:rsidR="00167178" w:rsidRPr="00E93180" w:rsidRDefault="00172351">
      <w:pPr>
        <w:rPr>
          <w:rFonts w:ascii="Arial" w:hAnsi="Arial" w:cs="Arial"/>
          <w:sz w:val="24"/>
          <w:szCs w:val="24"/>
        </w:rPr>
      </w:pPr>
    </w:p>
    <w:p w14:paraId="39B96C29" w14:textId="77777777" w:rsidR="0031444E" w:rsidRPr="00E93180" w:rsidRDefault="00172351">
      <w:pPr>
        <w:rPr>
          <w:rFonts w:ascii="Arial" w:hAnsi="Arial" w:cs="Arial"/>
          <w:sz w:val="24"/>
          <w:szCs w:val="24"/>
        </w:rPr>
      </w:pPr>
    </w:p>
    <w:p w14:paraId="19774394" w14:textId="77777777" w:rsidR="009C6494" w:rsidRPr="00E93180" w:rsidRDefault="00172351">
      <w:pPr>
        <w:rPr>
          <w:rFonts w:ascii="Arial" w:hAnsi="Arial" w:cs="Arial"/>
          <w:sz w:val="24"/>
          <w:szCs w:val="24"/>
        </w:rPr>
      </w:pPr>
    </w:p>
    <w:bookmarkEnd w:id="0"/>
    <w:p w14:paraId="0F6840B6" w14:textId="77777777" w:rsidR="00985178" w:rsidRPr="00E93180" w:rsidRDefault="00172351" w:rsidP="002B4A6A">
      <w:pPr>
        <w:jc w:val="right"/>
        <w:rPr>
          <w:rFonts w:ascii="Arial" w:hAnsi="Arial" w:cs="Arial"/>
          <w:sz w:val="24"/>
          <w:szCs w:val="24"/>
        </w:rPr>
      </w:pPr>
    </w:p>
    <w:sectPr w:rsidR="00985178" w:rsidRPr="00E9318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231957" w14:textId="77777777" w:rsidR="00172351" w:rsidRDefault="00172351">
      <w:pPr>
        <w:spacing w:after="0" w:line="240" w:lineRule="auto"/>
      </w:pPr>
      <w:r>
        <w:separator/>
      </w:r>
    </w:p>
  </w:endnote>
  <w:endnote w:type="continuationSeparator" w:id="0">
    <w:p w14:paraId="4E38A1BF" w14:textId="77777777" w:rsidR="00172351" w:rsidRDefault="00172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4A3BB" w14:textId="77777777" w:rsidR="00172351" w:rsidRDefault="00172351">
      <w:pPr>
        <w:spacing w:after="0" w:line="240" w:lineRule="auto"/>
      </w:pPr>
      <w:r>
        <w:separator/>
      </w:r>
    </w:p>
  </w:footnote>
  <w:footnote w:type="continuationSeparator" w:id="0">
    <w:p w14:paraId="23C2A70F" w14:textId="77777777" w:rsidR="00172351" w:rsidRDefault="001723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574967579"/>
      <w:docPartObj>
        <w:docPartGallery w:val="Page Numbers (Top of Page)"/>
        <w:docPartUnique/>
      </w:docPartObj>
    </w:sdtPr>
    <w:sdtEndPr>
      <w:rPr>
        <w:noProof/>
      </w:rPr>
    </w:sdtEndPr>
    <w:sdtContent>
      <w:p w14:paraId="4C9D56C3" w14:textId="46EDA581" w:rsidR="00C74938" w:rsidRPr="00C74938" w:rsidRDefault="00D858C6" w:rsidP="00D858C6">
        <w:pPr>
          <w:pStyle w:val="Header"/>
          <w:tabs>
            <w:tab w:val="left" w:pos="1575"/>
          </w:tabs>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E06D6F" w:rsidRPr="00C74938">
          <w:rPr>
            <w:rFonts w:ascii="Times New Roman" w:hAnsi="Times New Roman" w:cs="Times New Roman"/>
            <w:sz w:val="24"/>
            <w:szCs w:val="24"/>
          </w:rPr>
          <w:t xml:space="preserve">Contracts </w:t>
        </w:r>
        <w:r w:rsidR="00E06D6F" w:rsidRPr="00C74938">
          <w:rPr>
            <w:rFonts w:ascii="Times New Roman" w:hAnsi="Times New Roman" w:cs="Times New Roman"/>
            <w:sz w:val="24"/>
            <w:szCs w:val="24"/>
          </w:rPr>
          <w:fldChar w:fldCharType="begin"/>
        </w:r>
        <w:r w:rsidR="00E06D6F" w:rsidRPr="00C74938">
          <w:rPr>
            <w:rFonts w:ascii="Times New Roman" w:hAnsi="Times New Roman" w:cs="Times New Roman"/>
            <w:sz w:val="24"/>
            <w:szCs w:val="24"/>
          </w:rPr>
          <w:instrText xml:space="preserve"> PAGE   \* MERGEFORMAT </w:instrText>
        </w:r>
        <w:r w:rsidR="00E06D6F" w:rsidRPr="00C74938">
          <w:rPr>
            <w:rFonts w:ascii="Times New Roman" w:hAnsi="Times New Roman" w:cs="Times New Roman"/>
            <w:sz w:val="24"/>
            <w:szCs w:val="24"/>
          </w:rPr>
          <w:fldChar w:fldCharType="separate"/>
        </w:r>
        <w:r w:rsidR="00695A10">
          <w:rPr>
            <w:rFonts w:ascii="Times New Roman" w:hAnsi="Times New Roman" w:cs="Times New Roman"/>
            <w:noProof/>
            <w:sz w:val="24"/>
            <w:szCs w:val="24"/>
          </w:rPr>
          <w:t>9</w:t>
        </w:r>
        <w:r w:rsidR="00E06D6F" w:rsidRPr="00C74938">
          <w:rPr>
            <w:rFonts w:ascii="Times New Roman" w:hAnsi="Times New Roman" w:cs="Times New Roman"/>
            <w:noProof/>
            <w:sz w:val="24"/>
            <w:szCs w:val="24"/>
          </w:rPr>
          <w:fldChar w:fldCharType="end"/>
        </w:r>
      </w:p>
    </w:sdtContent>
  </w:sdt>
  <w:p w14:paraId="78231865" w14:textId="77777777" w:rsidR="00D858C6" w:rsidRPr="00E93180" w:rsidRDefault="00D858C6" w:rsidP="00D858C6">
    <w:pPr>
      <w:spacing w:after="0" w:line="480" w:lineRule="auto"/>
      <w:jc w:val="center"/>
      <w:rPr>
        <w:rFonts w:ascii="Arial" w:hAnsi="Arial" w:cs="Arial"/>
        <w:sz w:val="24"/>
        <w:szCs w:val="24"/>
      </w:rPr>
    </w:pPr>
    <w:r>
      <w:rPr>
        <w:rFonts w:ascii="Arial" w:hAnsi="Arial" w:cs="Arial"/>
        <w:sz w:val="24"/>
        <w:szCs w:val="24"/>
      </w:rPr>
      <w:t>Legal Issues within</w:t>
    </w:r>
    <w:r w:rsidRPr="00E93180">
      <w:rPr>
        <w:rFonts w:ascii="Arial" w:hAnsi="Arial" w:cs="Arial"/>
        <w:sz w:val="24"/>
        <w:szCs w:val="24"/>
      </w:rPr>
      <w:t xml:space="preserve"> Construction </w:t>
    </w:r>
    <w:r>
      <w:rPr>
        <w:rFonts w:ascii="Arial" w:hAnsi="Arial" w:cs="Arial"/>
        <w:sz w:val="24"/>
        <w:szCs w:val="24"/>
      </w:rPr>
      <w:t>Contracts</w:t>
    </w:r>
  </w:p>
  <w:p w14:paraId="4B1643F1" w14:textId="77777777" w:rsidR="00C74938" w:rsidRDefault="001723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0F9"/>
    <w:rsid w:val="00172351"/>
    <w:rsid w:val="001F71EB"/>
    <w:rsid w:val="00315B01"/>
    <w:rsid w:val="003639DD"/>
    <w:rsid w:val="003820F9"/>
    <w:rsid w:val="00641A29"/>
    <w:rsid w:val="00695A10"/>
    <w:rsid w:val="0088071D"/>
    <w:rsid w:val="00AE608A"/>
    <w:rsid w:val="00B8313A"/>
    <w:rsid w:val="00C17C64"/>
    <w:rsid w:val="00D82036"/>
    <w:rsid w:val="00D858C6"/>
    <w:rsid w:val="00E06D6F"/>
    <w:rsid w:val="00E916D0"/>
    <w:rsid w:val="00E93180"/>
    <w:rsid w:val="00F368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78D3D"/>
  <w15:chartTrackingRefBased/>
  <w15:docId w15:val="{814E0A3F-6587-4815-88EC-B77D8498E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49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9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4938"/>
  </w:style>
  <w:style w:type="paragraph" w:styleId="Footer">
    <w:name w:val="footer"/>
    <w:basedOn w:val="Normal"/>
    <w:link w:val="FooterChar"/>
    <w:uiPriority w:val="99"/>
    <w:unhideWhenUsed/>
    <w:rsid w:val="00C749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4938"/>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315B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B0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919C53-0197-4807-AFE4-AED6FC58D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9</Pages>
  <Words>2044</Words>
  <Characters>10404</Characters>
  <Application>Microsoft Office Word</Application>
  <DocSecurity>0</DocSecurity>
  <Lines>185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komudho</dc:creator>
  <cp:lastModifiedBy>office365</cp:lastModifiedBy>
  <cp:revision>8</cp:revision>
  <dcterms:created xsi:type="dcterms:W3CDTF">2018-01-03T23:45:00Z</dcterms:created>
  <dcterms:modified xsi:type="dcterms:W3CDTF">2018-01-04T12:23:00Z</dcterms:modified>
</cp:coreProperties>
</file>