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bookmarkStart w:id="0" w:name="_qhm8w1k5ad6r" w:colFirst="0" w:colLast="0"/>
    <w:bookmarkEnd w:id="0"/>
    <w:p w14:paraId="297B9389" w14:textId="052D8237" w:rsidR="00AB056B" w:rsidRDefault="00E138ED" w:rsidP="00E138ED">
      <w:pPr>
        <w:pStyle w:val="Title"/>
        <w:jc w:val="both"/>
      </w:pPr>
      <w:r>
        <w:fldChar w:fldCharType="begin"/>
      </w:r>
      <w:r>
        <w:instrText xml:space="preserve"> INCLUDEPICTURE "https://tukuz.com/wp-content/uploads/2021/06/university-of-wales-trinity-saint-david-logo-vector.png" \* MERGEFORMATINET </w:instrText>
      </w:r>
      <w:r>
        <w:fldChar w:fldCharType="separate"/>
      </w:r>
      <w:r>
        <w:rPr>
          <w:noProof/>
        </w:rPr>
        <w:drawing>
          <wp:inline distT="0" distB="0" distL="0" distR="0" wp14:anchorId="3DE92D08" wp14:editId="35715676">
            <wp:extent cx="5901267" cy="2168620"/>
            <wp:effectExtent l="0" t="0" r="4445" b="3175"/>
            <wp:docPr id="929072509" name="Picture 1" descr="A black and yellow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9072509" name="Picture 1" descr="A black and yellow logo&#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067913" cy="2229860"/>
                    </a:xfrm>
                    <a:prstGeom prst="rect">
                      <a:avLst/>
                    </a:prstGeom>
                    <a:noFill/>
                    <a:ln>
                      <a:noFill/>
                    </a:ln>
                  </pic:spPr>
                </pic:pic>
              </a:graphicData>
            </a:graphic>
          </wp:inline>
        </w:drawing>
      </w:r>
      <w:r>
        <w:fldChar w:fldCharType="end"/>
      </w:r>
    </w:p>
    <w:p w14:paraId="0BE98E61" w14:textId="77777777" w:rsidR="00E138ED" w:rsidRPr="00E138ED" w:rsidRDefault="00E138ED" w:rsidP="00E138ED">
      <w:pPr>
        <w:jc w:val="center"/>
        <w:rPr>
          <w:rFonts w:ascii="Arial" w:hAnsi="Arial" w:cs="Arial"/>
          <w:b/>
          <w:bCs/>
          <w:sz w:val="32"/>
          <w:szCs w:val="36"/>
        </w:rPr>
      </w:pPr>
      <w:bookmarkStart w:id="1" w:name="_s7f3p1h78cfx" w:colFirst="0" w:colLast="0"/>
      <w:bookmarkEnd w:id="1"/>
      <w:r w:rsidRPr="00E138ED">
        <w:rPr>
          <w:rFonts w:ascii="Arial" w:hAnsi="Arial" w:cs="Arial"/>
          <w:b/>
          <w:bCs/>
          <w:sz w:val="32"/>
          <w:szCs w:val="36"/>
        </w:rPr>
        <w:t>BA (Hons) Business Management</w:t>
      </w:r>
    </w:p>
    <w:p w14:paraId="533B2280" w14:textId="72B57A32" w:rsidR="00E138ED" w:rsidRPr="00D25BA0" w:rsidRDefault="00E138ED" w:rsidP="00E138ED">
      <w:pPr>
        <w:spacing w:after="160"/>
        <w:jc w:val="center"/>
        <w:rPr>
          <w:rFonts w:ascii="Arial" w:hAnsi="Arial" w:cs="Arial"/>
          <w:b/>
          <w:bCs/>
          <w:sz w:val="32"/>
          <w:szCs w:val="36"/>
          <w:lang w:bidi="bn-BD"/>
        </w:rPr>
      </w:pPr>
      <w:r>
        <w:rPr>
          <w:rFonts w:ascii="Arial" w:hAnsi="Arial" w:cs="Arial"/>
          <w:b/>
          <w:bCs/>
          <w:sz w:val="32"/>
          <w:szCs w:val="36"/>
          <w:lang w:bidi="bn-BD"/>
        </w:rPr>
        <w:t>Strategic Management</w:t>
      </w:r>
      <w:r w:rsidRPr="00D25BA0">
        <w:rPr>
          <w:rFonts w:ascii="Arial" w:hAnsi="Arial" w:cs="Arial"/>
          <w:b/>
          <w:bCs/>
          <w:sz w:val="32"/>
          <w:szCs w:val="36"/>
          <w:lang w:bidi="bn-BD"/>
        </w:rPr>
        <w:t xml:space="preserve"> and </w:t>
      </w:r>
      <w:r>
        <w:rPr>
          <w:rFonts w:ascii="Arial" w:hAnsi="Arial" w:cs="Arial"/>
          <w:b/>
          <w:bCs/>
          <w:sz w:val="32"/>
          <w:szCs w:val="36"/>
          <w:lang w:bidi="bn-BD"/>
        </w:rPr>
        <w:t>Sustainability</w:t>
      </w:r>
    </w:p>
    <w:p w14:paraId="18E43937" w14:textId="4DE56FAD" w:rsidR="00E138ED" w:rsidRPr="00D25BA0" w:rsidRDefault="00E138ED" w:rsidP="00E138ED">
      <w:pPr>
        <w:spacing w:after="160" w:line="240" w:lineRule="auto"/>
        <w:jc w:val="center"/>
        <w:rPr>
          <w:rFonts w:ascii="Arial" w:hAnsi="Arial" w:cs="Arial"/>
          <w:b/>
          <w:bCs/>
          <w:sz w:val="32"/>
          <w:szCs w:val="36"/>
          <w:lang w:bidi="bn-BD"/>
        </w:rPr>
      </w:pPr>
      <w:r w:rsidRPr="00D25BA0">
        <w:rPr>
          <w:rFonts w:ascii="Arial" w:hAnsi="Arial" w:cs="Arial"/>
          <w:b/>
          <w:bCs/>
          <w:sz w:val="32"/>
          <w:szCs w:val="36"/>
          <w:lang w:bidi="bn-BD"/>
        </w:rPr>
        <w:t>LCBB600</w:t>
      </w:r>
      <w:r>
        <w:rPr>
          <w:rFonts w:ascii="Arial" w:hAnsi="Arial" w:cs="Arial"/>
          <w:b/>
          <w:bCs/>
          <w:sz w:val="32"/>
          <w:szCs w:val="36"/>
          <w:lang w:bidi="bn-BD"/>
        </w:rPr>
        <w:t>4</w:t>
      </w:r>
    </w:p>
    <w:p w14:paraId="10982E54" w14:textId="16BB6B6F" w:rsidR="00E138ED" w:rsidRDefault="00E138ED" w:rsidP="00E138ED">
      <w:pPr>
        <w:pStyle w:val="Title"/>
        <w:spacing w:line="240" w:lineRule="auto"/>
        <w:rPr>
          <w:rFonts w:ascii="Arial" w:hAnsi="Arial" w:cs="Arial"/>
          <w:bCs/>
          <w:szCs w:val="36"/>
          <w:lang w:bidi="bn-BD"/>
        </w:rPr>
      </w:pPr>
      <w:r w:rsidRPr="00D25BA0">
        <w:rPr>
          <w:rFonts w:ascii="Arial" w:hAnsi="Arial" w:cs="Arial"/>
          <w:bCs/>
          <w:szCs w:val="36"/>
          <w:lang w:bidi="bn-BD"/>
        </w:rPr>
        <w:t xml:space="preserve">Assessment </w:t>
      </w:r>
      <w:r>
        <w:rPr>
          <w:rFonts w:ascii="Arial" w:hAnsi="Arial" w:cs="Arial"/>
          <w:bCs/>
          <w:szCs w:val="36"/>
          <w:lang w:bidi="bn-BD"/>
        </w:rPr>
        <w:t>1</w:t>
      </w:r>
      <w:r w:rsidRPr="00D25BA0">
        <w:rPr>
          <w:rFonts w:ascii="Arial" w:hAnsi="Arial" w:cs="Arial"/>
          <w:bCs/>
          <w:szCs w:val="36"/>
          <w:lang w:bidi="bn-BD"/>
        </w:rPr>
        <w:t xml:space="preserve"> </w:t>
      </w:r>
      <w:r>
        <w:rPr>
          <w:rFonts w:ascii="Arial" w:hAnsi="Arial" w:cs="Arial"/>
          <w:bCs/>
          <w:szCs w:val="36"/>
          <w:lang w:bidi="bn-BD"/>
        </w:rPr>
        <w:t>- Report</w:t>
      </w:r>
    </w:p>
    <w:p w14:paraId="75FA0F92" w14:textId="2365B9DE" w:rsidR="00E138ED" w:rsidRPr="00E138ED" w:rsidRDefault="00E138ED" w:rsidP="00E138ED">
      <w:pPr>
        <w:pStyle w:val="Title"/>
        <w:rPr>
          <w:rFonts w:ascii="Arial" w:hAnsi="Arial" w:cs="Arial"/>
          <w:sz w:val="28"/>
          <w:szCs w:val="28"/>
        </w:rPr>
      </w:pPr>
      <w:r w:rsidRPr="00E138ED">
        <w:rPr>
          <w:rFonts w:ascii="Arial" w:hAnsi="Arial" w:cs="Arial"/>
          <w:sz w:val="28"/>
          <w:szCs w:val="28"/>
        </w:rPr>
        <w:t>STRATEGIC ANALYSIS AND RECOMMENDATIONS FOR BP PLC: EVALUATING CORPORATE STRATEGIES, RESOURCES, AND FUTURE DIRECTIONS</w:t>
      </w:r>
    </w:p>
    <w:p w14:paraId="21AB1B4D" w14:textId="77777777" w:rsidR="00E138ED" w:rsidRPr="00D25BA0" w:rsidRDefault="00E138ED" w:rsidP="00E138ED">
      <w:pPr>
        <w:spacing w:after="160"/>
        <w:jc w:val="center"/>
        <w:rPr>
          <w:rFonts w:ascii="Arial" w:hAnsi="Arial" w:cs="Arial"/>
          <w:b/>
          <w:bCs/>
          <w:sz w:val="32"/>
          <w:szCs w:val="36"/>
          <w:lang w:bidi="bn-BD"/>
        </w:rPr>
      </w:pPr>
      <w:r w:rsidRPr="00D25BA0">
        <w:rPr>
          <w:rFonts w:ascii="Arial" w:hAnsi="Arial" w:cs="Arial"/>
          <w:b/>
          <w:bCs/>
          <w:sz w:val="32"/>
          <w:szCs w:val="36"/>
          <w:lang w:bidi="bn-BD"/>
        </w:rPr>
        <w:t>Term 2</w:t>
      </w:r>
      <w:r>
        <w:rPr>
          <w:rFonts w:ascii="Arial" w:hAnsi="Arial" w:cs="Arial"/>
          <w:b/>
          <w:bCs/>
          <w:sz w:val="32"/>
          <w:szCs w:val="36"/>
          <w:lang w:bidi="bn-BD"/>
        </w:rPr>
        <w:t>,</w:t>
      </w:r>
      <w:r w:rsidRPr="00D25BA0">
        <w:rPr>
          <w:rFonts w:ascii="Arial" w:hAnsi="Arial" w:cs="Arial"/>
          <w:b/>
          <w:bCs/>
          <w:sz w:val="32"/>
          <w:szCs w:val="36"/>
          <w:lang w:bidi="bn-BD"/>
        </w:rPr>
        <w:t xml:space="preserve"> June 2024</w:t>
      </w:r>
    </w:p>
    <w:p w14:paraId="3C4327CC" w14:textId="77777777" w:rsidR="00E138ED" w:rsidRPr="00D25BA0" w:rsidRDefault="00E138ED" w:rsidP="00E138ED">
      <w:pPr>
        <w:spacing w:after="160" w:line="276" w:lineRule="auto"/>
        <w:jc w:val="center"/>
        <w:rPr>
          <w:rFonts w:ascii="Arial" w:hAnsi="Arial" w:cs="Arial"/>
          <w:b/>
          <w:bCs/>
          <w:sz w:val="32"/>
          <w:szCs w:val="36"/>
          <w:lang w:bidi="bn-BD"/>
        </w:rPr>
      </w:pPr>
    </w:p>
    <w:p w14:paraId="775A9A3E" w14:textId="77777777" w:rsidR="00E138ED" w:rsidRPr="00D25BA0" w:rsidRDefault="00E138ED" w:rsidP="00E138ED">
      <w:pPr>
        <w:spacing w:after="160"/>
        <w:jc w:val="left"/>
        <w:rPr>
          <w:rFonts w:ascii="Arial" w:hAnsi="Arial" w:cs="Arial"/>
          <w:b/>
          <w:bCs/>
          <w:sz w:val="32"/>
          <w:szCs w:val="36"/>
          <w:lang w:bidi="bn-BD"/>
        </w:rPr>
      </w:pPr>
      <w:r w:rsidRPr="00D25BA0">
        <w:rPr>
          <w:rFonts w:ascii="Arial" w:hAnsi="Arial" w:cs="Arial"/>
          <w:b/>
          <w:bCs/>
          <w:sz w:val="32"/>
          <w:szCs w:val="36"/>
          <w:lang w:bidi="bn-BD"/>
        </w:rPr>
        <w:t>Student Name: Rumyana Lyubomirova Popova</w:t>
      </w:r>
    </w:p>
    <w:p w14:paraId="69DC3442" w14:textId="77777777" w:rsidR="00E138ED" w:rsidRPr="00D25BA0" w:rsidRDefault="00E138ED" w:rsidP="00E138ED">
      <w:pPr>
        <w:spacing w:after="160"/>
        <w:jc w:val="left"/>
        <w:rPr>
          <w:rFonts w:ascii="Arial" w:hAnsi="Arial" w:cs="Arial"/>
          <w:b/>
          <w:bCs/>
          <w:sz w:val="32"/>
          <w:szCs w:val="36"/>
          <w:lang w:bidi="bn-BD"/>
        </w:rPr>
      </w:pPr>
      <w:r w:rsidRPr="00D25BA0">
        <w:rPr>
          <w:rFonts w:ascii="Arial" w:hAnsi="Arial" w:cs="Arial"/>
          <w:b/>
          <w:bCs/>
          <w:sz w:val="32"/>
          <w:szCs w:val="36"/>
          <w:lang w:bidi="bn-BD"/>
        </w:rPr>
        <w:t>Student ID: 1909673</w:t>
      </w:r>
    </w:p>
    <w:p w14:paraId="3FCDABDB" w14:textId="6E6B4AF0" w:rsidR="00E138ED" w:rsidRPr="00D25BA0" w:rsidRDefault="00E138ED" w:rsidP="00E138ED">
      <w:pPr>
        <w:spacing w:after="160"/>
        <w:jc w:val="left"/>
        <w:rPr>
          <w:rFonts w:ascii="Arial" w:hAnsi="Arial" w:cs="Arial"/>
          <w:b/>
          <w:bCs/>
          <w:sz w:val="32"/>
          <w:szCs w:val="36"/>
          <w:lang w:bidi="bn-BD"/>
        </w:rPr>
      </w:pPr>
      <w:r w:rsidRPr="00D25BA0">
        <w:rPr>
          <w:rFonts w:ascii="Arial" w:hAnsi="Arial" w:cs="Arial"/>
          <w:b/>
          <w:bCs/>
          <w:sz w:val="32"/>
          <w:szCs w:val="36"/>
          <w:lang w:bidi="bn-BD"/>
        </w:rPr>
        <w:t xml:space="preserve">Lecturer Name: Dr </w:t>
      </w:r>
      <w:r>
        <w:rPr>
          <w:rFonts w:ascii="Arial" w:hAnsi="Arial" w:cs="Arial"/>
          <w:b/>
          <w:bCs/>
          <w:sz w:val="32"/>
          <w:szCs w:val="36"/>
          <w:lang w:bidi="bn-BD"/>
        </w:rPr>
        <w:t>Jaya Gopalkrishnan</w:t>
      </w:r>
    </w:p>
    <w:p w14:paraId="297B938A" w14:textId="77777777" w:rsidR="00AB056B" w:rsidRPr="00E138ED" w:rsidRDefault="00AB056B">
      <w:pPr>
        <w:pStyle w:val="Title"/>
        <w:rPr>
          <w:rFonts w:ascii="Arial" w:hAnsi="Arial" w:cs="Arial"/>
        </w:rPr>
      </w:pPr>
    </w:p>
    <w:p w14:paraId="297B938C" w14:textId="1750AE82" w:rsidR="00AB056B" w:rsidRPr="00E138ED" w:rsidRDefault="00AB056B" w:rsidP="00BD4BDD">
      <w:pPr>
        <w:rPr>
          <w:rFonts w:ascii="Arial" w:hAnsi="Arial" w:cs="Arial"/>
          <w:b/>
        </w:rPr>
      </w:pPr>
      <w:bookmarkStart w:id="2" w:name="_3ptds3fyqwmv" w:colFirst="0" w:colLast="0"/>
      <w:bookmarkEnd w:id="2"/>
    </w:p>
    <w:p w14:paraId="297B938D" w14:textId="77777777" w:rsidR="00AB056B" w:rsidRPr="00BD4BDD" w:rsidRDefault="008F0BA2">
      <w:pPr>
        <w:jc w:val="center"/>
        <w:rPr>
          <w:rFonts w:ascii="Arial" w:hAnsi="Arial" w:cs="Arial"/>
          <w:b/>
          <w:sz w:val="32"/>
          <w:szCs w:val="32"/>
        </w:rPr>
      </w:pPr>
      <w:r w:rsidRPr="00BD4BDD">
        <w:rPr>
          <w:rFonts w:ascii="Arial" w:hAnsi="Arial" w:cs="Arial"/>
          <w:b/>
          <w:sz w:val="32"/>
          <w:szCs w:val="32"/>
        </w:rPr>
        <w:t>Executive Summary</w:t>
      </w:r>
    </w:p>
    <w:p w14:paraId="7CD30774" w14:textId="77777777" w:rsidR="00BD4BDD" w:rsidRDefault="008F0BA2" w:rsidP="002A49B0">
      <w:pPr>
        <w:spacing w:before="240" w:after="240"/>
        <w:rPr>
          <w:rFonts w:ascii="Arial" w:hAnsi="Arial" w:cs="Arial"/>
        </w:rPr>
      </w:pPr>
      <w:r w:rsidRPr="00E138ED">
        <w:rPr>
          <w:rFonts w:ascii="Arial" w:hAnsi="Arial" w:cs="Arial"/>
        </w:rPr>
        <w:t>The main strategies of BP Plc are renewable energy diversification, the application of technology for business advancement, and the improvement of operational capabilities. Abundant resources, high technology, and a competent workforce underpin the new strategies. Looking at the performance of BP, there is evidence that it is making progress in a cleaner energy transition but with challenges resulting from dependence on fossil fuel supplies and regulatory pressures. The key findings show that BP has strongly aligned its resources with the strategic goals but that more investment in sustainability and innovation is required for competitiveness. Recommendations would be the need to accelerate renewable investments, enhance digital transformation, and strengthen sustainability practices as key drivers for future growth and resilience.</w:t>
      </w:r>
    </w:p>
    <w:p w14:paraId="7BDC198C" w14:textId="77777777" w:rsidR="00BD4BDD" w:rsidRDefault="00BD4BDD" w:rsidP="002A49B0">
      <w:pPr>
        <w:spacing w:before="240" w:after="240"/>
        <w:rPr>
          <w:rFonts w:ascii="Arial" w:hAnsi="Arial" w:cs="Arial"/>
        </w:rPr>
      </w:pPr>
    </w:p>
    <w:p w14:paraId="64FCBDDB" w14:textId="77777777" w:rsidR="00BD4BDD" w:rsidRDefault="00BD4BDD" w:rsidP="002A49B0">
      <w:pPr>
        <w:spacing w:before="240" w:after="240"/>
        <w:rPr>
          <w:rFonts w:ascii="Arial" w:hAnsi="Arial" w:cs="Arial"/>
        </w:rPr>
      </w:pPr>
    </w:p>
    <w:p w14:paraId="21C45D01" w14:textId="3BF7A3D5" w:rsidR="00BD4BDD" w:rsidRDefault="002A49B0" w:rsidP="002A49B0">
      <w:pPr>
        <w:spacing w:before="240" w:after="240"/>
        <w:rPr>
          <w:rFonts w:ascii="Arial" w:hAnsi="Arial" w:cs="Arial"/>
        </w:rPr>
      </w:pPr>
      <w:r w:rsidRPr="00E138ED">
        <w:rPr>
          <w:rFonts w:ascii="Arial" w:hAnsi="Arial" w:cs="Arial"/>
        </w:rPr>
        <w:br w:type="page"/>
      </w:r>
    </w:p>
    <w:p w14:paraId="109B96DF" w14:textId="77777777" w:rsidR="00F378E5" w:rsidRPr="00E138ED" w:rsidRDefault="00F378E5" w:rsidP="002A49B0">
      <w:pPr>
        <w:spacing w:before="240" w:after="240"/>
        <w:rPr>
          <w:rFonts w:ascii="Arial" w:hAnsi="Arial" w:cs="Arial"/>
        </w:rPr>
      </w:pPr>
    </w:p>
    <w:sdt>
      <w:sdtPr>
        <w:rPr>
          <w:rFonts w:ascii="Arial" w:eastAsia="Times New Roman" w:hAnsi="Arial" w:cs="Arial"/>
          <w:color w:val="auto"/>
          <w:sz w:val="24"/>
          <w:szCs w:val="24"/>
          <w:lang w:val="en-GB" w:eastAsia="en-IN"/>
        </w:rPr>
        <w:id w:val="1654720153"/>
        <w:docPartObj>
          <w:docPartGallery w:val="Table of Contents"/>
          <w:docPartUnique/>
        </w:docPartObj>
      </w:sdtPr>
      <w:sdtEndPr>
        <w:rPr>
          <w:b/>
          <w:bCs/>
          <w:noProof/>
        </w:rPr>
      </w:sdtEndPr>
      <w:sdtContent>
        <w:p w14:paraId="3EF133E5" w14:textId="6CA58271" w:rsidR="002A49B0" w:rsidRDefault="002A49B0" w:rsidP="002A49B0">
          <w:pPr>
            <w:pStyle w:val="TOCHeading"/>
            <w:jc w:val="center"/>
            <w:rPr>
              <w:rFonts w:ascii="Arial" w:hAnsi="Arial" w:cs="Arial"/>
              <w:b/>
              <w:bCs/>
              <w:color w:val="auto"/>
              <w:sz w:val="28"/>
              <w:szCs w:val="28"/>
            </w:rPr>
          </w:pPr>
          <w:r w:rsidRPr="00BD4BDD">
            <w:rPr>
              <w:rFonts w:ascii="Arial" w:hAnsi="Arial" w:cs="Arial"/>
              <w:b/>
              <w:bCs/>
              <w:color w:val="auto"/>
              <w:sz w:val="28"/>
              <w:szCs w:val="28"/>
            </w:rPr>
            <w:t>Table of Contents</w:t>
          </w:r>
        </w:p>
        <w:p w14:paraId="3A1F9306" w14:textId="77777777" w:rsidR="00BD4BDD" w:rsidRPr="00BD4BDD" w:rsidRDefault="00BD4BDD" w:rsidP="00BD4BDD">
          <w:pPr>
            <w:rPr>
              <w:lang w:val="en-US" w:eastAsia="en-US"/>
            </w:rPr>
          </w:pPr>
        </w:p>
        <w:p w14:paraId="18FDDA03" w14:textId="04BA6CE2" w:rsidR="00515900" w:rsidRDefault="002A49B0">
          <w:pPr>
            <w:pStyle w:val="TOC1"/>
            <w:tabs>
              <w:tab w:val="right" w:leader="dot" w:pos="9350"/>
            </w:tabs>
            <w:rPr>
              <w:rFonts w:asciiTheme="minorHAnsi" w:eastAsiaTheme="minorEastAsia" w:hAnsiTheme="minorHAnsi" w:cstheme="minorBidi"/>
              <w:noProof/>
              <w:kern w:val="2"/>
              <w:lang w:eastAsia="en-GB"/>
              <w14:ligatures w14:val="standardContextual"/>
            </w:rPr>
          </w:pPr>
          <w:r w:rsidRPr="00E138ED">
            <w:rPr>
              <w:rFonts w:ascii="Arial" w:hAnsi="Arial" w:cs="Arial"/>
            </w:rPr>
            <w:fldChar w:fldCharType="begin"/>
          </w:r>
          <w:r w:rsidRPr="00E138ED">
            <w:rPr>
              <w:rFonts w:ascii="Arial" w:hAnsi="Arial" w:cs="Arial"/>
            </w:rPr>
            <w:instrText xml:space="preserve"> TOC \o "1-3" \h \z \u </w:instrText>
          </w:r>
          <w:r w:rsidRPr="00E138ED">
            <w:rPr>
              <w:rFonts w:ascii="Arial" w:hAnsi="Arial" w:cs="Arial"/>
            </w:rPr>
            <w:fldChar w:fldCharType="separate"/>
          </w:r>
          <w:hyperlink w:anchor="_Toc175345295" w:history="1">
            <w:r w:rsidR="00515900" w:rsidRPr="00D30B0E">
              <w:rPr>
                <w:rStyle w:val="Hyperlink"/>
                <w:rFonts w:ascii="Arial" w:hAnsi="Arial" w:cs="Arial"/>
                <w:noProof/>
              </w:rPr>
              <w:t>Introduction</w:t>
            </w:r>
            <w:r w:rsidR="00515900">
              <w:rPr>
                <w:noProof/>
                <w:webHidden/>
              </w:rPr>
              <w:tab/>
            </w:r>
            <w:r w:rsidR="00515900">
              <w:rPr>
                <w:noProof/>
                <w:webHidden/>
              </w:rPr>
              <w:fldChar w:fldCharType="begin"/>
            </w:r>
            <w:r w:rsidR="00515900">
              <w:rPr>
                <w:noProof/>
                <w:webHidden/>
              </w:rPr>
              <w:instrText xml:space="preserve"> PAGEREF _Toc175345295 \h </w:instrText>
            </w:r>
            <w:r w:rsidR="00515900">
              <w:rPr>
                <w:noProof/>
                <w:webHidden/>
              </w:rPr>
            </w:r>
            <w:r w:rsidR="00515900">
              <w:rPr>
                <w:noProof/>
                <w:webHidden/>
              </w:rPr>
              <w:fldChar w:fldCharType="separate"/>
            </w:r>
            <w:r w:rsidR="00515900">
              <w:rPr>
                <w:noProof/>
                <w:webHidden/>
              </w:rPr>
              <w:t>5</w:t>
            </w:r>
            <w:r w:rsidR="00515900">
              <w:rPr>
                <w:noProof/>
                <w:webHidden/>
              </w:rPr>
              <w:fldChar w:fldCharType="end"/>
            </w:r>
          </w:hyperlink>
        </w:p>
        <w:p w14:paraId="5DA16886" w14:textId="518BD9FB" w:rsidR="00515900" w:rsidRDefault="00515900">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75345296" w:history="1">
            <w:r w:rsidRPr="00D30B0E">
              <w:rPr>
                <w:rStyle w:val="Hyperlink"/>
                <w:rFonts w:ascii="Arial" w:hAnsi="Arial" w:cs="Arial"/>
                <w:noProof/>
              </w:rPr>
              <w:t>Company Overview</w:t>
            </w:r>
            <w:r>
              <w:rPr>
                <w:noProof/>
                <w:webHidden/>
              </w:rPr>
              <w:tab/>
            </w:r>
            <w:r>
              <w:rPr>
                <w:noProof/>
                <w:webHidden/>
              </w:rPr>
              <w:fldChar w:fldCharType="begin"/>
            </w:r>
            <w:r>
              <w:rPr>
                <w:noProof/>
                <w:webHidden/>
              </w:rPr>
              <w:instrText xml:space="preserve"> PAGEREF _Toc175345296 \h </w:instrText>
            </w:r>
            <w:r>
              <w:rPr>
                <w:noProof/>
                <w:webHidden/>
              </w:rPr>
            </w:r>
            <w:r>
              <w:rPr>
                <w:noProof/>
                <w:webHidden/>
              </w:rPr>
              <w:fldChar w:fldCharType="separate"/>
            </w:r>
            <w:r>
              <w:rPr>
                <w:noProof/>
                <w:webHidden/>
              </w:rPr>
              <w:t>5</w:t>
            </w:r>
            <w:r>
              <w:rPr>
                <w:noProof/>
                <w:webHidden/>
              </w:rPr>
              <w:fldChar w:fldCharType="end"/>
            </w:r>
          </w:hyperlink>
        </w:p>
        <w:p w14:paraId="1433C8CE" w14:textId="279F0D63" w:rsidR="00515900" w:rsidRDefault="00515900">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75345297" w:history="1">
            <w:r w:rsidRPr="00D30B0E">
              <w:rPr>
                <w:rStyle w:val="Hyperlink"/>
                <w:rFonts w:ascii="Arial" w:hAnsi="Arial" w:cs="Arial"/>
                <w:noProof/>
              </w:rPr>
              <w:t>Analysis of Key Business and Corporate Strategies</w:t>
            </w:r>
            <w:r>
              <w:rPr>
                <w:noProof/>
                <w:webHidden/>
              </w:rPr>
              <w:tab/>
            </w:r>
            <w:r>
              <w:rPr>
                <w:noProof/>
                <w:webHidden/>
              </w:rPr>
              <w:fldChar w:fldCharType="begin"/>
            </w:r>
            <w:r>
              <w:rPr>
                <w:noProof/>
                <w:webHidden/>
              </w:rPr>
              <w:instrText xml:space="preserve"> PAGEREF _Toc175345297 \h </w:instrText>
            </w:r>
            <w:r>
              <w:rPr>
                <w:noProof/>
                <w:webHidden/>
              </w:rPr>
            </w:r>
            <w:r>
              <w:rPr>
                <w:noProof/>
                <w:webHidden/>
              </w:rPr>
              <w:fldChar w:fldCharType="separate"/>
            </w:r>
            <w:r>
              <w:rPr>
                <w:noProof/>
                <w:webHidden/>
              </w:rPr>
              <w:t>6</w:t>
            </w:r>
            <w:r>
              <w:rPr>
                <w:noProof/>
                <w:webHidden/>
              </w:rPr>
              <w:fldChar w:fldCharType="end"/>
            </w:r>
          </w:hyperlink>
        </w:p>
        <w:p w14:paraId="21AB3E6F" w14:textId="497B11DB" w:rsidR="00515900" w:rsidRDefault="00515900">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75345298" w:history="1">
            <w:r w:rsidRPr="00D30B0E">
              <w:rPr>
                <w:rStyle w:val="Hyperlink"/>
                <w:rFonts w:ascii="Arial" w:hAnsi="Arial" w:cs="Arial"/>
                <w:noProof/>
              </w:rPr>
              <w:t>Identificatio</w:t>
            </w:r>
            <w:r w:rsidRPr="00D30B0E">
              <w:rPr>
                <w:rStyle w:val="Hyperlink"/>
                <w:rFonts w:ascii="Arial" w:hAnsi="Arial" w:cs="Arial"/>
                <w:noProof/>
              </w:rPr>
              <w:t>n</w:t>
            </w:r>
            <w:r w:rsidRPr="00D30B0E">
              <w:rPr>
                <w:rStyle w:val="Hyperlink"/>
                <w:rFonts w:ascii="Arial" w:hAnsi="Arial" w:cs="Arial"/>
                <w:noProof/>
              </w:rPr>
              <w:t xml:space="preserve"> of Key Strategies</w:t>
            </w:r>
            <w:r>
              <w:rPr>
                <w:noProof/>
                <w:webHidden/>
              </w:rPr>
              <w:tab/>
            </w:r>
            <w:r>
              <w:rPr>
                <w:noProof/>
                <w:webHidden/>
              </w:rPr>
              <w:fldChar w:fldCharType="begin"/>
            </w:r>
            <w:r>
              <w:rPr>
                <w:noProof/>
                <w:webHidden/>
              </w:rPr>
              <w:instrText xml:space="preserve"> PAGEREF _Toc175345298 \h </w:instrText>
            </w:r>
            <w:r>
              <w:rPr>
                <w:noProof/>
                <w:webHidden/>
              </w:rPr>
            </w:r>
            <w:r>
              <w:rPr>
                <w:noProof/>
                <w:webHidden/>
              </w:rPr>
              <w:fldChar w:fldCharType="separate"/>
            </w:r>
            <w:r>
              <w:rPr>
                <w:noProof/>
                <w:webHidden/>
              </w:rPr>
              <w:t>6</w:t>
            </w:r>
            <w:r>
              <w:rPr>
                <w:noProof/>
                <w:webHidden/>
              </w:rPr>
              <w:fldChar w:fldCharType="end"/>
            </w:r>
          </w:hyperlink>
        </w:p>
        <w:p w14:paraId="4186F99F" w14:textId="7E81CFE1" w:rsidR="00515900" w:rsidRDefault="00515900">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75345299" w:history="1">
            <w:r w:rsidRPr="00D30B0E">
              <w:rPr>
                <w:rStyle w:val="Hyperlink"/>
                <w:rFonts w:ascii="Arial" w:hAnsi="Arial" w:cs="Arial"/>
                <w:noProof/>
              </w:rPr>
              <w:t>Discussion of Strategy Pursuit</w:t>
            </w:r>
            <w:r>
              <w:rPr>
                <w:noProof/>
                <w:webHidden/>
              </w:rPr>
              <w:tab/>
            </w:r>
            <w:r>
              <w:rPr>
                <w:noProof/>
                <w:webHidden/>
              </w:rPr>
              <w:fldChar w:fldCharType="begin"/>
            </w:r>
            <w:r>
              <w:rPr>
                <w:noProof/>
                <w:webHidden/>
              </w:rPr>
              <w:instrText xml:space="preserve"> PAGEREF _Toc175345299 \h </w:instrText>
            </w:r>
            <w:r>
              <w:rPr>
                <w:noProof/>
                <w:webHidden/>
              </w:rPr>
            </w:r>
            <w:r>
              <w:rPr>
                <w:noProof/>
                <w:webHidden/>
              </w:rPr>
              <w:fldChar w:fldCharType="separate"/>
            </w:r>
            <w:r>
              <w:rPr>
                <w:noProof/>
                <w:webHidden/>
              </w:rPr>
              <w:t>6</w:t>
            </w:r>
            <w:r>
              <w:rPr>
                <w:noProof/>
                <w:webHidden/>
              </w:rPr>
              <w:fldChar w:fldCharType="end"/>
            </w:r>
          </w:hyperlink>
        </w:p>
        <w:p w14:paraId="722325AC" w14:textId="02EA0A22" w:rsidR="00515900" w:rsidRDefault="00515900">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75345300" w:history="1">
            <w:r w:rsidRPr="00D30B0E">
              <w:rPr>
                <w:rStyle w:val="Hyperlink"/>
                <w:rFonts w:ascii="Arial" w:hAnsi="Arial" w:cs="Arial"/>
                <w:noProof/>
              </w:rPr>
              <w:t>Resources and Capabilities Alignment</w:t>
            </w:r>
            <w:r>
              <w:rPr>
                <w:noProof/>
                <w:webHidden/>
              </w:rPr>
              <w:tab/>
            </w:r>
            <w:r>
              <w:rPr>
                <w:noProof/>
                <w:webHidden/>
              </w:rPr>
              <w:fldChar w:fldCharType="begin"/>
            </w:r>
            <w:r>
              <w:rPr>
                <w:noProof/>
                <w:webHidden/>
              </w:rPr>
              <w:instrText xml:space="preserve"> PAGEREF _Toc175345300 \h </w:instrText>
            </w:r>
            <w:r>
              <w:rPr>
                <w:noProof/>
                <w:webHidden/>
              </w:rPr>
            </w:r>
            <w:r>
              <w:rPr>
                <w:noProof/>
                <w:webHidden/>
              </w:rPr>
              <w:fldChar w:fldCharType="separate"/>
            </w:r>
            <w:r>
              <w:rPr>
                <w:noProof/>
                <w:webHidden/>
              </w:rPr>
              <w:t>9</w:t>
            </w:r>
            <w:r>
              <w:rPr>
                <w:noProof/>
                <w:webHidden/>
              </w:rPr>
              <w:fldChar w:fldCharType="end"/>
            </w:r>
          </w:hyperlink>
        </w:p>
        <w:p w14:paraId="49691A51" w14:textId="1CBB5D46" w:rsidR="00515900" w:rsidRDefault="00515900">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75345301" w:history="1">
            <w:r w:rsidRPr="00D30B0E">
              <w:rPr>
                <w:rStyle w:val="Hyperlink"/>
                <w:rFonts w:ascii="Arial" w:hAnsi="Arial" w:cs="Arial"/>
                <w:noProof/>
              </w:rPr>
              <w:t>Identi</w:t>
            </w:r>
            <w:r w:rsidRPr="00D30B0E">
              <w:rPr>
                <w:rStyle w:val="Hyperlink"/>
                <w:rFonts w:ascii="Arial" w:hAnsi="Arial" w:cs="Arial"/>
                <w:noProof/>
              </w:rPr>
              <w:t>f</w:t>
            </w:r>
            <w:r w:rsidRPr="00D30B0E">
              <w:rPr>
                <w:rStyle w:val="Hyperlink"/>
                <w:rFonts w:ascii="Arial" w:hAnsi="Arial" w:cs="Arial"/>
                <w:noProof/>
              </w:rPr>
              <w:t>ication of Resources and Capabilities</w:t>
            </w:r>
            <w:r>
              <w:rPr>
                <w:noProof/>
                <w:webHidden/>
              </w:rPr>
              <w:tab/>
            </w:r>
            <w:r>
              <w:rPr>
                <w:noProof/>
                <w:webHidden/>
              </w:rPr>
              <w:fldChar w:fldCharType="begin"/>
            </w:r>
            <w:r>
              <w:rPr>
                <w:noProof/>
                <w:webHidden/>
              </w:rPr>
              <w:instrText xml:space="preserve"> PAGEREF _Toc175345301 \h </w:instrText>
            </w:r>
            <w:r>
              <w:rPr>
                <w:noProof/>
                <w:webHidden/>
              </w:rPr>
            </w:r>
            <w:r>
              <w:rPr>
                <w:noProof/>
                <w:webHidden/>
              </w:rPr>
              <w:fldChar w:fldCharType="separate"/>
            </w:r>
            <w:r>
              <w:rPr>
                <w:noProof/>
                <w:webHidden/>
              </w:rPr>
              <w:t>9</w:t>
            </w:r>
            <w:r>
              <w:rPr>
                <w:noProof/>
                <w:webHidden/>
              </w:rPr>
              <w:fldChar w:fldCharType="end"/>
            </w:r>
          </w:hyperlink>
        </w:p>
        <w:p w14:paraId="60235F61" w14:textId="28BD93C0" w:rsidR="00515900" w:rsidRDefault="00515900">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75345302" w:history="1">
            <w:r w:rsidRPr="00D30B0E">
              <w:rPr>
                <w:rStyle w:val="Hyperlink"/>
                <w:rFonts w:ascii="Arial" w:hAnsi="Arial" w:cs="Arial"/>
                <w:noProof/>
              </w:rPr>
              <w:t>Analysis of Alignment</w:t>
            </w:r>
            <w:r>
              <w:rPr>
                <w:noProof/>
                <w:webHidden/>
              </w:rPr>
              <w:tab/>
            </w:r>
            <w:r>
              <w:rPr>
                <w:noProof/>
                <w:webHidden/>
              </w:rPr>
              <w:fldChar w:fldCharType="begin"/>
            </w:r>
            <w:r>
              <w:rPr>
                <w:noProof/>
                <w:webHidden/>
              </w:rPr>
              <w:instrText xml:space="preserve"> PAGEREF _Toc175345302 \h </w:instrText>
            </w:r>
            <w:r>
              <w:rPr>
                <w:noProof/>
                <w:webHidden/>
              </w:rPr>
            </w:r>
            <w:r>
              <w:rPr>
                <w:noProof/>
                <w:webHidden/>
              </w:rPr>
              <w:fldChar w:fldCharType="separate"/>
            </w:r>
            <w:r>
              <w:rPr>
                <w:noProof/>
                <w:webHidden/>
              </w:rPr>
              <w:t>10</w:t>
            </w:r>
            <w:r>
              <w:rPr>
                <w:noProof/>
                <w:webHidden/>
              </w:rPr>
              <w:fldChar w:fldCharType="end"/>
            </w:r>
          </w:hyperlink>
        </w:p>
        <w:p w14:paraId="480EF0CB" w14:textId="422B0F58" w:rsidR="00515900" w:rsidRDefault="00515900">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75345303" w:history="1">
            <w:r w:rsidRPr="00D30B0E">
              <w:rPr>
                <w:rStyle w:val="Hyperlink"/>
                <w:rFonts w:ascii="Arial" w:hAnsi="Arial" w:cs="Arial"/>
                <w:noProof/>
              </w:rPr>
              <w:t>Framework Application: VRIO Analysis</w:t>
            </w:r>
            <w:r>
              <w:rPr>
                <w:noProof/>
                <w:webHidden/>
              </w:rPr>
              <w:tab/>
            </w:r>
            <w:r>
              <w:rPr>
                <w:noProof/>
                <w:webHidden/>
              </w:rPr>
              <w:fldChar w:fldCharType="begin"/>
            </w:r>
            <w:r>
              <w:rPr>
                <w:noProof/>
                <w:webHidden/>
              </w:rPr>
              <w:instrText xml:space="preserve"> PAGEREF _Toc175345303 \h </w:instrText>
            </w:r>
            <w:r>
              <w:rPr>
                <w:noProof/>
                <w:webHidden/>
              </w:rPr>
            </w:r>
            <w:r>
              <w:rPr>
                <w:noProof/>
                <w:webHidden/>
              </w:rPr>
              <w:fldChar w:fldCharType="separate"/>
            </w:r>
            <w:r>
              <w:rPr>
                <w:noProof/>
                <w:webHidden/>
              </w:rPr>
              <w:t>11</w:t>
            </w:r>
            <w:r>
              <w:rPr>
                <w:noProof/>
                <w:webHidden/>
              </w:rPr>
              <w:fldChar w:fldCharType="end"/>
            </w:r>
          </w:hyperlink>
        </w:p>
        <w:p w14:paraId="00386C73" w14:textId="3F20EB26" w:rsidR="00515900" w:rsidRDefault="00515900">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75345304" w:history="1">
            <w:r w:rsidRPr="00D30B0E">
              <w:rPr>
                <w:rStyle w:val="Hyperlink"/>
                <w:rFonts w:ascii="Arial" w:hAnsi="Arial" w:cs="Arial"/>
                <w:noProof/>
              </w:rPr>
              <w:t>Evaluation of Strategy Implementation</w:t>
            </w:r>
            <w:r>
              <w:rPr>
                <w:noProof/>
                <w:webHidden/>
              </w:rPr>
              <w:tab/>
            </w:r>
            <w:r>
              <w:rPr>
                <w:noProof/>
                <w:webHidden/>
              </w:rPr>
              <w:fldChar w:fldCharType="begin"/>
            </w:r>
            <w:r>
              <w:rPr>
                <w:noProof/>
                <w:webHidden/>
              </w:rPr>
              <w:instrText xml:space="preserve"> PAGEREF _Toc175345304 \h </w:instrText>
            </w:r>
            <w:r>
              <w:rPr>
                <w:noProof/>
                <w:webHidden/>
              </w:rPr>
            </w:r>
            <w:r>
              <w:rPr>
                <w:noProof/>
                <w:webHidden/>
              </w:rPr>
              <w:fldChar w:fldCharType="separate"/>
            </w:r>
            <w:r>
              <w:rPr>
                <w:noProof/>
                <w:webHidden/>
              </w:rPr>
              <w:t>12</w:t>
            </w:r>
            <w:r>
              <w:rPr>
                <w:noProof/>
                <w:webHidden/>
              </w:rPr>
              <w:fldChar w:fldCharType="end"/>
            </w:r>
          </w:hyperlink>
        </w:p>
        <w:p w14:paraId="0FA51CF2" w14:textId="641256AA" w:rsidR="00515900" w:rsidRDefault="00515900">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75345305" w:history="1">
            <w:r w:rsidRPr="00D30B0E">
              <w:rPr>
                <w:rStyle w:val="Hyperlink"/>
                <w:rFonts w:ascii="Arial" w:hAnsi="Arial" w:cs="Arial"/>
                <w:noProof/>
              </w:rPr>
              <w:t>Success of Im</w:t>
            </w:r>
            <w:r w:rsidRPr="00D30B0E">
              <w:rPr>
                <w:rStyle w:val="Hyperlink"/>
                <w:rFonts w:ascii="Arial" w:hAnsi="Arial" w:cs="Arial"/>
                <w:noProof/>
              </w:rPr>
              <w:t>p</w:t>
            </w:r>
            <w:r w:rsidRPr="00D30B0E">
              <w:rPr>
                <w:rStyle w:val="Hyperlink"/>
                <w:rFonts w:ascii="Arial" w:hAnsi="Arial" w:cs="Arial"/>
                <w:noProof/>
              </w:rPr>
              <w:t>lementation</w:t>
            </w:r>
            <w:r>
              <w:rPr>
                <w:noProof/>
                <w:webHidden/>
              </w:rPr>
              <w:tab/>
            </w:r>
            <w:r>
              <w:rPr>
                <w:noProof/>
                <w:webHidden/>
              </w:rPr>
              <w:fldChar w:fldCharType="begin"/>
            </w:r>
            <w:r>
              <w:rPr>
                <w:noProof/>
                <w:webHidden/>
              </w:rPr>
              <w:instrText xml:space="preserve"> PAGEREF _Toc175345305 \h </w:instrText>
            </w:r>
            <w:r>
              <w:rPr>
                <w:noProof/>
                <w:webHidden/>
              </w:rPr>
            </w:r>
            <w:r>
              <w:rPr>
                <w:noProof/>
                <w:webHidden/>
              </w:rPr>
              <w:fldChar w:fldCharType="separate"/>
            </w:r>
            <w:r>
              <w:rPr>
                <w:noProof/>
                <w:webHidden/>
              </w:rPr>
              <w:t>12</w:t>
            </w:r>
            <w:r>
              <w:rPr>
                <w:noProof/>
                <w:webHidden/>
              </w:rPr>
              <w:fldChar w:fldCharType="end"/>
            </w:r>
          </w:hyperlink>
        </w:p>
        <w:p w14:paraId="4C5426FD" w14:textId="7130CAA0" w:rsidR="00515900" w:rsidRDefault="00515900">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75345306" w:history="1">
            <w:r w:rsidRPr="00D30B0E">
              <w:rPr>
                <w:rStyle w:val="Hyperlink"/>
                <w:rFonts w:ascii="Arial" w:hAnsi="Arial" w:cs="Arial"/>
                <w:noProof/>
              </w:rPr>
              <w:t>Sustainability and Environmental Considerations</w:t>
            </w:r>
            <w:r>
              <w:rPr>
                <w:noProof/>
                <w:webHidden/>
              </w:rPr>
              <w:tab/>
            </w:r>
            <w:r>
              <w:rPr>
                <w:noProof/>
                <w:webHidden/>
              </w:rPr>
              <w:fldChar w:fldCharType="begin"/>
            </w:r>
            <w:r>
              <w:rPr>
                <w:noProof/>
                <w:webHidden/>
              </w:rPr>
              <w:instrText xml:space="preserve"> PAGEREF _Toc175345306 \h </w:instrText>
            </w:r>
            <w:r>
              <w:rPr>
                <w:noProof/>
                <w:webHidden/>
              </w:rPr>
            </w:r>
            <w:r>
              <w:rPr>
                <w:noProof/>
                <w:webHidden/>
              </w:rPr>
              <w:fldChar w:fldCharType="separate"/>
            </w:r>
            <w:r>
              <w:rPr>
                <w:noProof/>
                <w:webHidden/>
              </w:rPr>
              <w:t>13</w:t>
            </w:r>
            <w:r>
              <w:rPr>
                <w:noProof/>
                <w:webHidden/>
              </w:rPr>
              <w:fldChar w:fldCharType="end"/>
            </w:r>
          </w:hyperlink>
        </w:p>
        <w:p w14:paraId="53688D29" w14:textId="0F6B1063" w:rsidR="00515900" w:rsidRDefault="00515900">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75345307" w:history="1">
            <w:r w:rsidRPr="00D30B0E">
              <w:rPr>
                <w:rStyle w:val="Hyperlink"/>
                <w:rFonts w:ascii="Arial" w:hAnsi="Arial" w:cs="Arial"/>
                <w:noProof/>
              </w:rPr>
              <w:t>Future Strategic Directions and Recommendations</w:t>
            </w:r>
            <w:r>
              <w:rPr>
                <w:noProof/>
                <w:webHidden/>
              </w:rPr>
              <w:tab/>
            </w:r>
            <w:r>
              <w:rPr>
                <w:noProof/>
                <w:webHidden/>
              </w:rPr>
              <w:fldChar w:fldCharType="begin"/>
            </w:r>
            <w:r>
              <w:rPr>
                <w:noProof/>
                <w:webHidden/>
              </w:rPr>
              <w:instrText xml:space="preserve"> PAGEREF _Toc175345307 \h </w:instrText>
            </w:r>
            <w:r>
              <w:rPr>
                <w:noProof/>
                <w:webHidden/>
              </w:rPr>
            </w:r>
            <w:r>
              <w:rPr>
                <w:noProof/>
                <w:webHidden/>
              </w:rPr>
              <w:fldChar w:fldCharType="separate"/>
            </w:r>
            <w:r>
              <w:rPr>
                <w:noProof/>
                <w:webHidden/>
              </w:rPr>
              <w:t>15</w:t>
            </w:r>
            <w:r>
              <w:rPr>
                <w:noProof/>
                <w:webHidden/>
              </w:rPr>
              <w:fldChar w:fldCharType="end"/>
            </w:r>
          </w:hyperlink>
        </w:p>
        <w:p w14:paraId="6CFC345C" w14:textId="20095916" w:rsidR="00515900" w:rsidRDefault="00515900">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75345308" w:history="1">
            <w:r w:rsidRPr="00D30B0E">
              <w:rPr>
                <w:rStyle w:val="Hyperlink"/>
                <w:rFonts w:ascii="Arial" w:hAnsi="Arial" w:cs="Arial"/>
                <w:noProof/>
              </w:rPr>
              <w:t>Evaluation of Future Choices</w:t>
            </w:r>
            <w:r>
              <w:rPr>
                <w:noProof/>
                <w:webHidden/>
              </w:rPr>
              <w:tab/>
            </w:r>
            <w:r>
              <w:rPr>
                <w:noProof/>
                <w:webHidden/>
              </w:rPr>
              <w:fldChar w:fldCharType="begin"/>
            </w:r>
            <w:r>
              <w:rPr>
                <w:noProof/>
                <w:webHidden/>
              </w:rPr>
              <w:instrText xml:space="preserve"> PAGEREF _Toc175345308 \h </w:instrText>
            </w:r>
            <w:r>
              <w:rPr>
                <w:noProof/>
                <w:webHidden/>
              </w:rPr>
            </w:r>
            <w:r>
              <w:rPr>
                <w:noProof/>
                <w:webHidden/>
              </w:rPr>
              <w:fldChar w:fldCharType="separate"/>
            </w:r>
            <w:r>
              <w:rPr>
                <w:noProof/>
                <w:webHidden/>
              </w:rPr>
              <w:t>15</w:t>
            </w:r>
            <w:r>
              <w:rPr>
                <w:noProof/>
                <w:webHidden/>
              </w:rPr>
              <w:fldChar w:fldCharType="end"/>
            </w:r>
          </w:hyperlink>
        </w:p>
        <w:p w14:paraId="22719ECA" w14:textId="49521D89" w:rsidR="00515900" w:rsidRDefault="00515900">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75345309" w:history="1">
            <w:r w:rsidRPr="00D30B0E">
              <w:rPr>
                <w:rStyle w:val="Hyperlink"/>
                <w:rFonts w:ascii="Arial" w:hAnsi="Arial" w:cs="Arial"/>
                <w:noProof/>
              </w:rPr>
              <w:t>Recommendations for Sustainability Practices</w:t>
            </w:r>
            <w:r>
              <w:rPr>
                <w:noProof/>
                <w:webHidden/>
              </w:rPr>
              <w:tab/>
            </w:r>
            <w:r>
              <w:rPr>
                <w:noProof/>
                <w:webHidden/>
              </w:rPr>
              <w:fldChar w:fldCharType="begin"/>
            </w:r>
            <w:r>
              <w:rPr>
                <w:noProof/>
                <w:webHidden/>
              </w:rPr>
              <w:instrText xml:space="preserve"> PAGEREF _Toc175345309 \h </w:instrText>
            </w:r>
            <w:r>
              <w:rPr>
                <w:noProof/>
                <w:webHidden/>
              </w:rPr>
            </w:r>
            <w:r>
              <w:rPr>
                <w:noProof/>
                <w:webHidden/>
              </w:rPr>
              <w:fldChar w:fldCharType="separate"/>
            </w:r>
            <w:r>
              <w:rPr>
                <w:noProof/>
                <w:webHidden/>
              </w:rPr>
              <w:t>16</w:t>
            </w:r>
            <w:r>
              <w:rPr>
                <w:noProof/>
                <w:webHidden/>
              </w:rPr>
              <w:fldChar w:fldCharType="end"/>
            </w:r>
          </w:hyperlink>
        </w:p>
        <w:p w14:paraId="7BE57E7A" w14:textId="3EA8F30D" w:rsidR="00515900" w:rsidRDefault="00515900">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75345310" w:history="1">
            <w:r w:rsidRPr="00D30B0E">
              <w:rPr>
                <w:rStyle w:val="Hyperlink"/>
                <w:rFonts w:ascii="Arial" w:hAnsi="Arial" w:cs="Arial"/>
                <w:noProof/>
              </w:rPr>
              <w:t>Conclusion</w:t>
            </w:r>
            <w:r>
              <w:rPr>
                <w:noProof/>
                <w:webHidden/>
              </w:rPr>
              <w:tab/>
            </w:r>
            <w:r>
              <w:rPr>
                <w:noProof/>
                <w:webHidden/>
              </w:rPr>
              <w:fldChar w:fldCharType="begin"/>
            </w:r>
            <w:r>
              <w:rPr>
                <w:noProof/>
                <w:webHidden/>
              </w:rPr>
              <w:instrText xml:space="preserve"> PAGEREF _Toc175345310 \h </w:instrText>
            </w:r>
            <w:r>
              <w:rPr>
                <w:noProof/>
                <w:webHidden/>
              </w:rPr>
            </w:r>
            <w:r>
              <w:rPr>
                <w:noProof/>
                <w:webHidden/>
              </w:rPr>
              <w:fldChar w:fldCharType="separate"/>
            </w:r>
            <w:r>
              <w:rPr>
                <w:noProof/>
                <w:webHidden/>
              </w:rPr>
              <w:t>17</w:t>
            </w:r>
            <w:r>
              <w:rPr>
                <w:noProof/>
                <w:webHidden/>
              </w:rPr>
              <w:fldChar w:fldCharType="end"/>
            </w:r>
          </w:hyperlink>
        </w:p>
        <w:p w14:paraId="2E31F905" w14:textId="5C59D2AC" w:rsidR="00515900" w:rsidRDefault="00515900">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75345311" w:history="1">
            <w:r w:rsidRPr="00D30B0E">
              <w:rPr>
                <w:rStyle w:val="Hyperlink"/>
                <w:rFonts w:ascii="Arial" w:hAnsi="Arial" w:cs="Arial"/>
                <w:noProof/>
              </w:rPr>
              <w:t>References</w:t>
            </w:r>
            <w:r>
              <w:rPr>
                <w:noProof/>
                <w:webHidden/>
              </w:rPr>
              <w:tab/>
            </w:r>
            <w:r>
              <w:rPr>
                <w:noProof/>
                <w:webHidden/>
              </w:rPr>
              <w:fldChar w:fldCharType="begin"/>
            </w:r>
            <w:r>
              <w:rPr>
                <w:noProof/>
                <w:webHidden/>
              </w:rPr>
              <w:instrText xml:space="preserve"> PAGEREF _Toc175345311 \h </w:instrText>
            </w:r>
            <w:r>
              <w:rPr>
                <w:noProof/>
                <w:webHidden/>
              </w:rPr>
            </w:r>
            <w:r>
              <w:rPr>
                <w:noProof/>
                <w:webHidden/>
              </w:rPr>
              <w:fldChar w:fldCharType="separate"/>
            </w:r>
            <w:r>
              <w:rPr>
                <w:noProof/>
                <w:webHidden/>
              </w:rPr>
              <w:t>19</w:t>
            </w:r>
            <w:r>
              <w:rPr>
                <w:noProof/>
                <w:webHidden/>
              </w:rPr>
              <w:fldChar w:fldCharType="end"/>
            </w:r>
          </w:hyperlink>
        </w:p>
        <w:p w14:paraId="4E2B0178" w14:textId="388D547E" w:rsidR="00515900" w:rsidRDefault="00515900">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75345312" w:history="1">
            <w:r w:rsidRPr="00D30B0E">
              <w:rPr>
                <w:rStyle w:val="Hyperlink"/>
                <w:rFonts w:ascii="Arial" w:hAnsi="Arial" w:cs="Arial"/>
                <w:noProof/>
              </w:rPr>
              <w:t>Appendices</w:t>
            </w:r>
            <w:r>
              <w:rPr>
                <w:noProof/>
                <w:webHidden/>
              </w:rPr>
              <w:tab/>
            </w:r>
            <w:r>
              <w:rPr>
                <w:noProof/>
                <w:webHidden/>
              </w:rPr>
              <w:fldChar w:fldCharType="begin"/>
            </w:r>
            <w:r>
              <w:rPr>
                <w:noProof/>
                <w:webHidden/>
              </w:rPr>
              <w:instrText xml:space="preserve"> PAGEREF _Toc175345312 \h </w:instrText>
            </w:r>
            <w:r>
              <w:rPr>
                <w:noProof/>
                <w:webHidden/>
              </w:rPr>
            </w:r>
            <w:r>
              <w:rPr>
                <w:noProof/>
                <w:webHidden/>
              </w:rPr>
              <w:fldChar w:fldCharType="separate"/>
            </w:r>
            <w:r>
              <w:rPr>
                <w:noProof/>
                <w:webHidden/>
              </w:rPr>
              <w:t>23</w:t>
            </w:r>
            <w:r>
              <w:rPr>
                <w:noProof/>
                <w:webHidden/>
              </w:rPr>
              <w:fldChar w:fldCharType="end"/>
            </w:r>
          </w:hyperlink>
        </w:p>
        <w:p w14:paraId="62E42B76" w14:textId="13855170" w:rsidR="00515900" w:rsidRDefault="00515900">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75345313" w:history="1">
            <w:r w:rsidRPr="00D30B0E">
              <w:rPr>
                <w:rStyle w:val="Hyperlink"/>
                <w:rFonts w:ascii="Arial" w:hAnsi="Arial" w:cs="Arial"/>
                <w:noProof/>
              </w:rPr>
              <w:t>Appendix A: SWOT Analysis</w:t>
            </w:r>
            <w:r>
              <w:rPr>
                <w:noProof/>
                <w:webHidden/>
              </w:rPr>
              <w:tab/>
            </w:r>
            <w:r>
              <w:rPr>
                <w:noProof/>
                <w:webHidden/>
              </w:rPr>
              <w:fldChar w:fldCharType="begin"/>
            </w:r>
            <w:r>
              <w:rPr>
                <w:noProof/>
                <w:webHidden/>
              </w:rPr>
              <w:instrText xml:space="preserve"> PAGEREF _Toc175345313 \h </w:instrText>
            </w:r>
            <w:r>
              <w:rPr>
                <w:noProof/>
                <w:webHidden/>
              </w:rPr>
            </w:r>
            <w:r>
              <w:rPr>
                <w:noProof/>
                <w:webHidden/>
              </w:rPr>
              <w:fldChar w:fldCharType="separate"/>
            </w:r>
            <w:r>
              <w:rPr>
                <w:noProof/>
                <w:webHidden/>
              </w:rPr>
              <w:t>23</w:t>
            </w:r>
            <w:r>
              <w:rPr>
                <w:noProof/>
                <w:webHidden/>
              </w:rPr>
              <w:fldChar w:fldCharType="end"/>
            </w:r>
          </w:hyperlink>
        </w:p>
        <w:p w14:paraId="66644A05" w14:textId="04DE7F9B" w:rsidR="00515900" w:rsidRDefault="00515900">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75345314" w:history="1">
            <w:r w:rsidRPr="00D30B0E">
              <w:rPr>
                <w:rStyle w:val="Hyperlink"/>
                <w:rFonts w:ascii="Arial" w:hAnsi="Arial" w:cs="Arial"/>
                <w:noProof/>
              </w:rPr>
              <w:t>Appendix B: PESTEL Analysis</w:t>
            </w:r>
            <w:r>
              <w:rPr>
                <w:noProof/>
                <w:webHidden/>
              </w:rPr>
              <w:tab/>
            </w:r>
            <w:r>
              <w:rPr>
                <w:noProof/>
                <w:webHidden/>
              </w:rPr>
              <w:fldChar w:fldCharType="begin"/>
            </w:r>
            <w:r>
              <w:rPr>
                <w:noProof/>
                <w:webHidden/>
              </w:rPr>
              <w:instrText xml:space="preserve"> PAGEREF _Toc175345314 \h </w:instrText>
            </w:r>
            <w:r>
              <w:rPr>
                <w:noProof/>
                <w:webHidden/>
              </w:rPr>
            </w:r>
            <w:r>
              <w:rPr>
                <w:noProof/>
                <w:webHidden/>
              </w:rPr>
              <w:fldChar w:fldCharType="separate"/>
            </w:r>
            <w:r>
              <w:rPr>
                <w:noProof/>
                <w:webHidden/>
              </w:rPr>
              <w:t>24</w:t>
            </w:r>
            <w:r>
              <w:rPr>
                <w:noProof/>
                <w:webHidden/>
              </w:rPr>
              <w:fldChar w:fldCharType="end"/>
            </w:r>
          </w:hyperlink>
        </w:p>
        <w:p w14:paraId="3078A132" w14:textId="242B3D13" w:rsidR="00515900" w:rsidRDefault="00515900">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75345315" w:history="1">
            <w:r w:rsidRPr="00D30B0E">
              <w:rPr>
                <w:rStyle w:val="Hyperlink"/>
                <w:rFonts w:ascii="Arial" w:hAnsi="Arial" w:cs="Arial"/>
                <w:noProof/>
              </w:rPr>
              <w:t>Appendix C: Industry Five Forces Analysis</w:t>
            </w:r>
            <w:r>
              <w:rPr>
                <w:noProof/>
                <w:webHidden/>
              </w:rPr>
              <w:tab/>
            </w:r>
            <w:r>
              <w:rPr>
                <w:noProof/>
                <w:webHidden/>
              </w:rPr>
              <w:fldChar w:fldCharType="begin"/>
            </w:r>
            <w:r>
              <w:rPr>
                <w:noProof/>
                <w:webHidden/>
              </w:rPr>
              <w:instrText xml:space="preserve"> PAGEREF _Toc175345315 \h </w:instrText>
            </w:r>
            <w:r>
              <w:rPr>
                <w:noProof/>
                <w:webHidden/>
              </w:rPr>
            </w:r>
            <w:r>
              <w:rPr>
                <w:noProof/>
                <w:webHidden/>
              </w:rPr>
              <w:fldChar w:fldCharType="separate"/>
            </w:r>
            <w:r>
              <w:rPr>
                <w:noProof/>
                <w:webHidden/>
              </w:rPr>
              <w:t>26</w:t>
            </w:r>
            <w:r>
              <w:rPr>
                <w:noProof/>
                <w:webHidden/>
              </w:rPr>
              <w:fldChar w:fldCharType="end"/>
            </w:r>
          </w:hyperlink>
        </w:p>
        <w:p w14:paraId="1ECCCCEA" w14:textId="13685D35" w:rsidR="00515900" w:rsidRDefault="00515900">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75345316" w:history="1">
            <w:r w:rsidRPr="00D30B0E">
              <w:rPr>
                <w:rStyle w:val="Hyperlink"/>
                <w:rFonts w:ascii="Arial" w:hAnsi="Arial" w:cs="Arial"/>
                <w:noProof/>
              </w:rPr>
              <w:t>Appendix D: VRIO</w:t>
            </w:r>
            <w:r>
              <w:rPr>
                <w:noProof/>
                <w:webHidden/>
              </w:rPr>
              <w:tab/>
            </w:r>
            <w:r>
              <w:rPr>
                <w:noProof/>
                <w:webHidden/>
              </w:rPr>
              <w:fldChar w:fldCharType="begin"/>
            </w:r>
            <w:r>
              <w:rPr>
                <w:noProof/>
                <w:webHidden/>
              </w:rPr>
              <w:instrText xml:space="preserve"> PAGEREF _Toc175345316 \h </w:instrText>
            </w:r>
            <w:r>
              <w:rPr>
                <w:noProof/>
                <w:webHidden/>
              </w:rPr>
            </w:r>
            <w:r>
              <w:rPr>
                <w:noProof/>
                <w:webHidden/>
              </w:rPr>
              <w:fldChar w:fldCharType="separate"/>
            </w:r>
            <w:r>
              <w:rPr>
                <w:noProof/>
                <w:webHidden/>
              </w:rPr>
              <w:t>27</w:t>
            </w:r>
            <w:r>
              <w:rPr>
                <w:noProof/>
                <w:webHidden/>
              </w:rPr>
              <w:fldChar w:fldCharType="end"/>
            </w:r>
          </w:hyperlink>
        </w:p>
        <w:p w14:paraId="679BBC3E" w14:textId="31DDE701" w:rsidR="002A49B0" w:rsidRPr="00E138ED" w:rsidRDefault="002A49B0" w:rsidP="002A49B0">
          <w:pPr>
            <w:rPr>
              <w:rFonts w:ascii="Arial" w:hAnsi="Arial" w:cs="Arial"/>
              <w:b/>
              <w:bCs/>
              <w:noProof/>
            </w:rPr>
          </w:pPr>
          <w:r w:rsidRPr="00E138ED">
            <w:rPr>
              <w:rFonts w:ascii="Arial" w:hAnsi="Arial" w:cs="Arial"/>
              <w:b/>
              <w:bCs/>
              <w:noProof/>
            </w:rPr>
            <w:fldChar w:fldCharType="end"/>
          </w:r>
        </w:p>
      </w:sdtContent>
    </w:sdt>
    <w:p w14:paraId="67D3B6A9" w14:textId="77777777" w:rsidR="002A49B0" w:rsidRPr="00E138ED" w:rsidRDefault="002A49B0">
      <w:pPr>
        <w:rPr>
          <w:rFonts w:ascii="Arial" w:hAnsi="Arial" w:cs="Arial"/>
          <w:b/>
        </w:rPr>
      </w:pPr>
      <w:bookmarkStart w:id="3" w:name="_vtz8kmpfmh0m" w:colFirst="0" w:colLast="0"/>
      <w:bookmarkEnd w:id="3"/>
      <w:r w:rsidRPr="00E138ED">
        <w:rPr>
          <w:rFonts w:ascii="Arial" w:hAnsi="Arial" w:cs="Arial"/>
        </w:rPr>
        <w:br w:type="page"/>
      </w:r>
    </w:p>
    <w:p w14:paraId="297B938F" w14:textId="7FB542E1" w:rsidR="00AB056B" w:rsidRPr="00BD4BDD" w:rsidRDefault="008F0BA2">
      <w:pPr>
        <w:pStyle w:val="Heading1"/>
        <w:rPr>
          <w:rFonts w:ascii="Arial" w:hAnsi="Arial" w:cs="Arial"/>
          <w:sz w:val="32"/>
          <w:szCs w:val="32"/>
        </w:rPr>
      </w:pPr>
      <w:bookmarkStart w:id="4" w:name="_Toc175345295"/>
      <w:r w:rsidRPr="00BD4BDD">
        <w:rPr>
          <w:rFonts w:ascii="Arial" w:hAnsi="Arial" w:cs="Arial"/>
          <w:sz w:val="32"/>
          <w:szCs w:val="32"/>
        </w:rPr>
        <w:lastRenderedPageBreak/>
        <w:t>Introduction</w:t>
      </w:r>
      <w:bookmarkEnd w:id="4"/>
      <w:r w:rsidRPr="00BD4BDD">
        <w:rPr>
          <w:rFonts w:ascii="Arial" w:hAnsi="Arial" w:cs="Arial"/>
          <w:sz w:val="32"/>
          <w:szCs w:val="32"/>
        </w:rPr>
        <w:t xml:space="preserve"> </w:t>
      </w:r>
    </w:p>
    <w:p w14:paraId="297B9390" w14:textId="77777777" w:rsidR="00AB056B" w:rsidRDefault="008F0BA2">
      <w:pPr>
        <w:rPr>
          <w:rFonts w:ascii="Arial" w:hAnsi="Arial" w:cs="Arial"/>
        </w:rPr>
      </w:pPr>
      <w:r w:rsidRPr="00E138ED">
        <w:rPr>
          <w:rFonts w:ascii="Arial" w:hAnsi="Arial" w:cs="Arial"/>
        </w:rPr>
        <w:t>This report is a strategic overview of BP Plc, and it focuses on the company's corporate and business strategies and their implementation. The primary objective is to critically evaluate BP's strategic options and analyse how efficiently these strategies have been implemented in building the company's competitive advantages. At the forefront of being a global energy corporation, BP Plc participates in oil and gas exploration, production, and renewable energy solutions. It will further analyse the strategic alignment, use of resources, and sustainability initiatives of BP, and give recommendations for future strategic directions.</w:t>
      </w:r>
    </w:p>
    <w:p w14:paraId="3C19F66A" w14:textId="77777777" w:rsidR="00BD4BDD" w:rsidRPr="00E138ED" w:rsidRDefault="00BD4BDD">
      <w:pPr>
        <w:rPr>
          <w:rFonts w:ascii="Arial" w:hAnsi="Arial" w:cs="Arial"/>
        </w:rPr>
      </w:pPr>
    </w:p>
    <w:p w14:paraId="297B9391" w14:textId="77777777" w:rsidR="00AB056B" w:rsidRPr="00BD4BDD" w:rsidRDefault="008F0BA2">
      <w:pPr>
        <w:pStyle w:val="Heading1"/>
        <w:rPr>
          <w:rFonts w:ascii="Arial" w:hAnsi="Arial" w:cs="Arial"/>
          <w:sz w:val="32"/>
          <w:szCs w:val="32"/>
        </w:rPr>
      </w:pPr>
      <w:bookmarkStart w:id="5" w:name="_of8w6db3qm52" w:colFirst="0" w:colLast="0"/>
      <w:bookmarkStart w:id="6" w:name="_Toc175345296"/>
      <w:bookmarkEnd w:id="5"/>
      <w:r w:rsidRPr="00BD4BDD">
        <w:rPr>
          <w:rFonts w:ascii="Arial" w:hAnsi="Arial" w:cs="Arial"/>
          <w:sz w:val="32"/>
          <w:szCs w:val="32"/>
        </w:rPr>
        <w:t>Company Overview</w:t>
      </w:r>
      <w:bookmarkEnd w:id="6"/>
    </w:p>
    <w:p w14:paraId="297B9392" w14:textId="30F0A83F" w:rsidR="00AB056B" w:rsidRDefault="008F0BA2">
      <w:pPr>
        <w:spacing w:before="240" w:after="240"/>
        <w:rPr>
          <w:rFonts w:ascii="Arial" w:hAnsi="Arial" w:cs="Arial"/>
        </w:rPr>
      </w:pPr>
      <w:r w:rsidRPr="00E138ED">
        <w:rPr>
          <w:rFonts w:ascii="Arial" w:hAnsi="Arial" w:cs="Arial"/>
        </w:rPr>
        <w:t xml:space="preserve">BP Plc is an integrated energy company, headquartered in London, and was formed in 1909 as the Anglo-Persian Oil Company (BP, 2024). Changing with the sands of time, BP has grown from a traditional oil and gas company into a diversified energy company that possesses great goodwill for renewable energy and technology. Today, it is involved in every part of the energy value chain: from exploration and production to refining and marketing of oil and gas, while simultaneously developing various low-carbon energy solutions. Key corporate strategies for BP include manufacturing a green energy shift through massive investment in renewables and technology designed to support net-zero emissions by 2050 (AlAli </w:t>
      </w:r>
      <w:r w:rsidRPr="00E138ED">
        <w:rPr>
          <w:rFonts w:ascii="Arial" w:hAnsi="Arial" w:cs="Arial"/>
          <w:i/>
          <w:iCs/>
        </w:rPr>
        <w:t>et al.,</w:t>
      </w:r>
      <w:r w:rsidRPr="00E138ED">
        <w:rPr>
          <w:rFonts w:ascii="Arial" w:hAnsi="Arial" w:cs="Arial"/>
        </w:rPr>
        <w:t xml:space="preserve"> n.d.). Business strategy sets directions for better operational efficiency, deeper digital transformation, and richer customer relationships. These strategies are moulded in such a way that BP will be well-positioned in this new evolving energy environment to balance traditional energy production against hard-won sustainable development projects in order to meet future global energy demand estimates.</w:t>
      </w:r>
    </w:p>
    <w:p w14:paraId="19CC640A" w14:textId="77777777" w:rsidR="00BD4BDD" w:rsidRPr="00E138ED" w:rsidRDefault="00BD4BDD">
      <w:pPr>
        <w:spacing w:before="240" w:after="240"/>
        <w:rPr>
          <w:rFonts w:ascii="Arial" w:hAnsi="Arial" w:cs="Arial"/>
        </w:rPr>
      </w:pPr>
    </w:p>
    <w:p w14:paraId="297B9393" w14:textId="77777777" w:rsidR="00AB056B" w:rsidRPr="00BD4BDD" w:rsidRDefault="008F0BA2">
      <w:pPr>
        <w:pStyle w:val="Heading1"/>
        <w:rPr>
          <w:rFonts w:ascii="Arial" w:hAnsi="Arial" w:cs="Arial"/>
          <w:sz w:val="32"/>
          <w:szCs w:val="32"/>
        </w:rPr>
      </w:pPr>
      <w:bookmarkStart w:id="7" w:name="_db4j7o12hpr" w:colFirst="0" w:colLast="0"/>
      <w:bookmarkStart w:id="8" w:name="_Toc175345297"/>
      <w:bookmarkEnd w:id="7"/>
      <w:r w:rsidRPr="00BD4BDD">
        <w:rPr>
          <w:rFonts w:ascii="Arial" w:hAnsi="Arial" w:cs="Arial"/>
          <w:sz w:val="32"/>
          <w:szCs w:val="32"/>
        </w:rPr>
        <w:lastRenderedPageBreak/>
        <w:t>Analysis of Key Business and Corporate Strategies</w:t>
      </w:r>
      <w:bookmarkEnd w:id="8"/>
      <w:r w:rsidRPr="00BD4BDD">
        <w:rPr>
          <w:rFonts w:ascii="Arial" w:hAnsi="Arial" w:cs="Arial"/>
          <w:sz w:val="32"/>
          <w:szCs w:val="32"/>
        </w:rPr>
        <w:t xml:space="preserve"> </w:t>
      </w:r>
    </w:p>
    <w:p w14:paraId="297B9394" w14:textId="77777777" w:rsidR="00AB056B" w:rsidRPr="00F378E5" w:rsidRDefault="008F0BA2" w:rsidP="00F378E5">
      <w:pPr>
        <w:pStyle w:val="Heading2"/>
        <w:rPr>
          <w:rFonts w:ascii="Arial" w:hAnsi="Arial" w:cs="Arial"/>
          <w:sz w:val="28"/>
          <w:szCs w:val="28"/>
        </w:rPr>
      </w:pPr>
      <w:bookmarkStart w:id="9" w:name="_Toc175345298"/>
      <w:r w:rsidRPr="00F378E5">
        <w:rPr>
          <w:rFonts w:ascii="Arial" w:hAnsi="Arial" w:cs="Arial"/>
          <w:sz w:val="28"/>
          <w:szCs w:val="28"/>
        </w:rPr>
        <w:t>Identification of Key Strategies</w:t>
      </w:r>
      <w:bookmarkEnd w:id="9"/>
    </w:p>
    <w:p w14:paraId="297B9395" w14:textId="2099F8BE" w:rsidR="00AB056B" w:rsidRPr="00E138ED" w:rsidRDefault="008F0BA2">
      <w:pPr>
        <w:spacing w:before="240" w:after="240"/>
        <w:rPr>
          <w:rFonts w:ascii="Arial" w:hAnsi="Arial" w:cs="Arial"/>
        </w:rPr>
      </w:pPr>
      <w:r w:rsidRPr="00E138ED">
        <w:rPr>
          <w:rFonts w:ascii="Arial" w:hAnsi="Arial" w:cs="Arial"/>
        </w:rPr>
        <w:t xml:space="preserve">Diversification and digital transformation can be the future corporate strategy of BP Plc in its quest to undertake the transition towards a sustainable future for energy (AlAli </w:t>
      </w:r>
      <w:r w:rsidRPr="00E138ED">
        <w:rPr>
          <w:rFonts w:ascii="Arial" w:hAnsi="Arial" w:cs="Arial"/>
          <w:i/>
          <w:iCs/>
        </w:rPr>
        <w:t>et al.,</w:t>
      </w:r>
      <w:r w:rsidRPr="00E138ED">
        <w:rPr>
          <w:rFonts w:ascii="Arial" w:hAnsi="Arial" w:cs="Arial"/>
        </w:rPr>
        <w:t xml:space="preserve"> n.d.). Specifically, it is seen in the increasing investments that BP has been entering into concerning renewal sources: wind, solar, and bioenergy which go </w:t>
      </w:r>
      <w:r w:rsidR="00BD4BDD">
        <w:rPr>
          <w:rFonts w:ascii="Arial" w:hAnsi="Arial" w:cs="Arial"/>
        </w:rPr>
        <w:t>P</w:t>
      </w:r>
      <w:r w:rsidRPr="00E138ED">
        <w:rPr>
          <w:rFonts w:ascii="Arial" w:hAnsi="Arial" w:cs="Arial"/>
        </w:rPr>
        <w:t>ari</w:t>
      </w:r>
      <w:r w:rsidR="00BD4BDD">
        <w:rPr>
          <w:rFonts w:ascii="Arial" w:hAnsi="Arial" w:cs="Arial"/>
        </w:rPr>
        <w:t>-</w:t>
      </w:r>
      <w:r w:rsidRPr="00E138ED">
        <w:rPr>
          <w:rFonts w:ascii="Arial" w:hAnsi="Arial" w:cs="Arial"/>
        </w:rPr>
        <w:t xml:space="preserve">passu with its traditional production of oil and gas. This strategic shift is inversely correlated with reliance on fossil fuel energy and positively correlated with global sustainability goals. Furthermore, BP is investing a lot in digital technologies in order to ensure operational efficiency and innovation (Huang </w:t>
      </w:r>
      <w:r w:rsidRPr="00E138ED">
        <w:rPr>
          <w:rFonts w:ascii="Arial" w:hAnsi="Arial" w:cs="Arial"/>
          <w:i/>
          <w:iCs/>
        </w:rPr>
        <w:t>et al.,</w:t>
      </w:r>
      <w:r w:rsidRPr="00E138ED">
        <w:rPr>
          <w:rFonts w:ascii="Arial" w:hAnsi="Arial" w:cs="Arial"/>
        </w:rPr>
        <w:t xml:space="preserve"> 2021). The company works on advanced exploration and production procedures through improvement in the areas of data analytics, artificial intelligence, and automation. As far as business strategy goes, BP focuses on its market position through competitive differentiation and cost leadership. The company enhances its relative competitive advantage through its global network and advanced technological expertise. BP's competitive strategies also include the optimization of upstream and downstream operations, the reduction of operational costs, and the maximization of customer value with integrated energy solutions and product offerings that meet specific market needs. </w:t>
      </w:r>
    </w:p>
    <w:p w14:paraId="297B9396" w14:textId="77777777" w:rsidR="00AB056B" w:rsidRPr="00F378E5" w:rsidRDefault="008F0BA2" w:rsidP="00F378E5">
      <w:pPr>
        <w:pStyle w:val="Heading2"/>
        <w:rPr>
          <w:rFonts w:ascii="Arial" w:hAnsi="Arial" w:cs="Arial"/>
          <w:sz w:val="28"/>
          <w:szCs w:val="28"/>
        </w:rPr>
      </w:pPr>
      <w:bookmarkStart w:id="10" w:name="_Toc175345299"/>
      <w:r w:rsidRPr="00F378E5">
        <w:rPr>
          <w:rFonts w:ascii="Arial" w:hAnsi="Arial" w:cs="Arial"/>
          <w:sz w:val="28"/>
          <w:szCs w:val="28"/>
        </w:rPr>
        <w:t>Discussion of Strategy Pursuit</w:t>
      </w:r>
      <w:bookmarkEnd w:id="10"/>
    </w:p>
    <w:p w14:paraId="297B9397" w14:textId="77777777" w:rsidR="00AB056B" w:rsidRPr="00E138ED" w:rsidRDefault="008F0BA2">
      <w:pPr>
        <w:numPr>
          <w:ilvl w:val="0"/>
          <w:numId w:val="6"/>
        </w:numPr>
        <w:spacing w:before="240" w:after="240"/>
        <w:rPr>
          <w:rFonts w:ascii="Arial" w:hAnsi="Arial" w:cs="Arial"/>
        </w:rPr>
      </w:pPr>
      <w:r w:rsidRPr="00E138ED">
        <w:rPr>
          <w:rFonts w:ascii="Arial" w:hAnsi="Arial" w:cs="Arial"/>
          <w:b/>
        </w:rPr>
        <w:t xml:space="preserve">SWOT Analysis: </w:t>
      </w:r>
      <w:r w:rsidRPr="00E138ED">
        <w:rPr>
          <w:rFonts w:ascii="Arial" w:hAnsi="Arial" w:cs="Arial"/>
        </w:rPr>
        <w:t xml:space="preserve">SWOT Analysis for BP Plc: The strategic landscape for BP Plc is very complex. Huge global exposure, high technological know-how, and strong financial capabilities are the main drivers toward its market position (Schwartz, 2020). Over-reliance on fossil-fuel-based operations and high transition risk are part of the core challenges in honouring the pledge to become net zero by 2050 (Cloeter, 2020). Growing demand in renewable energy markets and technological advancements through government incentives will drive growth in forthcoming years. At the same time, turbulent oil processes, competition from already existing and new players, strict environmental regulations, and geopolitical risks are some of the threats which BP is facing. Attention to these factors would be of immense </w:t>
      </w:r>
      <w:r w:rsidRPr="00E138ED">
        <w:rPr>
          <w:rFonts w:ascii="Arial" w:hAnsi="Arial" w:cs="Arial"/>
        </w:rPr>
        <w:lastRenderedPageBreak/>
        <w:t>importance to BP to better its strategic pursuit toward attaining sustainable growth and a competitive edge within the changing energy sector.</w:t>
      </w:r>
    </w:p>
    <w:p w14:paraId="297B9398" w14:textId="77777777" w:rsidR="00AB056B" w:rsidRPr="00E138ED" w:rsidRDefault="008F0BA2">
      <w:pPr>
        <w:spacing w:before="240" w:after="240"/>
        <w:jc w:val="center"/>
        <w:rPr>
          <w:rFonts w:ascii="Arial" w:hAnsi="Arial" w:cs="Arial"/>
        </w:rPr>
      </w:pPr>
      <w:r w:rsidRPr="00E138ED">
        <w:rPr>
          <w:rFonts w:ascii="Arial" w:hAnsi="Arial" w:cs="Arial"/>
          <w:noProof/>
        </w:rPr>
        <w:drawing>
          <wp:inline distT="114300" distB="114300" distL="114300" distR="114300" wp14:anchorId="297B948E" wp14:editId="297B948F">
            <wp:extent cx="3500438" cy="3500438"/>
            <wp:effectExtent l="0" t="0" r="0" b="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3500438" cy="3500438"/>
                    </a:xfrm>
                    <a:prstGeom prst="rect">
                      <a:avLst/>
                    </a:prstGeom>
                    <a:ln/>
                  </pic:spPr>
                </pic:pic>
              </a:graphicData>
            </a:graphic>
          </wp:inline>
        </w:drawing>
      </w:r>
    </w:p>
    <w:p w14:paraId="297B9399" w14:textId="77777777" w:rsidR="00AB056B" w:rsidRPr="00E138ED" w:rsidRDefault="008F0BA2">
      <w:pPr>
        <w:spacing w:before="240" w:after="240"/>
        <w:jc w:val="center"/>
        <w:rPr>
          <w:rFonts w:ascii="Arial" w:hAnsi="Arial" w:cs="Arial"/>
          <w:b/>
        </w:rPr>
      </w:pPr>
      <w:r w:rsidRPr="00E138ED">
        <w:rPr>
          <w:rFonts w:ascii="Arial" w:hAnsi="Arial" w:cs="Arial"/>
          <w:b/>
        </w:rPr>
        <w:t>Figure 1: SWOT Analysis</w:t>
      </w:r>
    </w:p>
    <w:p w14:paraId="297B939A" w14:textId="77777777" w:rsidR="00AB056B" w:rsidRPr="00E138ED" w:rsidRDefault="008F0BA2">
      <w:pPr>
        <w:spacing w:before="240" w:after="240"/>
        <w:jc w:val="center"/>
        <w:rPr>
          <w:rFonts w:ascii="Arial" w:hAnsi="Arial" w:cs="Arial"/>
        </w:rPr>
      </w:pPr>
      <w:r w:rsidRPr="00E138ED">
        <w:rPr>
          <w:rFonts w:ascii="Arial" w:hAnsi="Arial" w:cs="Arial"/>
        </w:rPr>
        <w:t>(Source: Cloeter, 2020)</w:t>
      </w:r>
    </w:p>
    <w:p w14:paraId="297B939B" w14:textId="6A0AA953" w:rsidR="00AB056B" w:rsidRPr="00E138ED" w:rsidRDefault="008F0BA2">
      <w:pPr>
        <w:numPr>
          <w:ilvl w:val="0"/>
          <w:numId w:val="6"/>
        </w:numPr>
        <w:spacing w:before="240" w:after="240"/>
        <w:rPr>
          <w:rFonts w:ascii="Arial" w:hAnsi="Arial" w:cs="Arial"/>
        </w:rPr>
      </w:pPr>
      <w:r w:rsidRPr="00E138ED">
        <w:rPr>
          <w:rFonts w:ascii="Arial" w:hAnsi="Arial" w:cs="Arial"/>
          <w:b/>
        </w:rPr>
        <w:t xml:space="preserve">PESTEL Analysis: </w:t>
      </w:r>
      <w:r w:rsidRPr="00E138ED">
        <w:rPr>
          <w:rFonts w:ascii="Arial" w:hAnsi="Arial" w:cs="Arial"/>
        </w:rPr>
        <w:t xml:space="preserve">Some of the key factors naïvely influencing the strategy of BP Plc are identified through its PESTLE analysis. The governmental policies on climate change and energy transitions set a direction for BP in its renewable investments. Fluctuations in oil prices, coupled with efforts of diversification, influence revenues (Puyt </w:t>
      </w:r>
      <w:r w:rsidRPr="00E138ED">
        <w:rPr>
          <w:rFonts w:ascii="Arial" w:hAnsi="Arial" w:cs="Arial"/>
          <w:i/>
          <w:iCs/>
        </w:rPr>
        <w:t>et al.,</w:t>
      </w:r>
      <w:r w:rsidRPr="00E138ED">
        <w:rPr>
          <w:rFonts w:ascii="Arial" w:hAnsi="Arial" w:cs="Arial"/>
        </w:rPr>
        <w:t xml:space="preserve"> 2023). Socially, public demand for sustainability drives BP's focus on renewables and CSR activities. Technologically, efficiency advancements underpin digital transformation (Benzaghta </w:t>
      </w:r>
      <w:r w:rsidRPr="00E138ED">
        <w:rPr>
          <w:rFonts w:ascii="Arial" w:hAnsi="Arial" w:cs="Arial"/>
          <w:i/>
          <w:iCs/>
        </w:rPr>
        <w:t>et al.,</w:t>
      </w:r>
      <w:r w:rsidRPr="00E138ED">
        <w:rPr>
          <w:rFonts w:ascii="Arial" w:hAnsi="Arial" w:cs="Arial"/>
        </w:rPr>
        <w:t xml:space="preserve"> 2021). Environmentally, concerns and regulations initiate the green shift in BP. From a legal perspective, compliance with environmental laws is very critical; from an operational point of view, the management of the risks connected with litigation is fundamental to stability. </w:t>
      </w:r>
    </w:p>
    <w:p w14:paraId="297B939C" w14:textId="77777777" w:rsidR="00AB056B" w:rsidRPr="00E138ED" w:rsidRDefault="008F0BA2">
      <w:pPr>
        <w:spacing w:before="240" w:after="240"/>
        <w:jc w:val="center"/>
        <w:rPr>
          <w:rFonts w:ascii="Arial" w:hAnsi="Arial" w:cs="Arial"/>
        </w:rPr>
      </w:pPr>
      <w:r w:rsidRPr="00E138ED">
        <w:rPr>
          <w:rFonts w:ascii="Arial" w:hAnsi="Arial" w:cs="Arial"/>
          <w:noProof/>
        </w:rPr>
        <w:lastRenderedPageBreak/>
        <w:drawing>
          <wp:inline distT="114300" distB="114300" distL="114300" distR="114300" wp14:anchorId="297B9490" wp14:editId="297B9491">
            <wp:extent cx="5943600" cy="2057400"/>
            <wp:effectExtent l="0" t="0" r="0" b="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5943600" cy="2057400"/>
                    </a:xfrm>
                    <a:prstGeom prst="rect">
                      <a:avLst/>
                    </a:prstGeom>
                    <a:ln/>
                  </pic:spPr>
                </pic:pic>
              </a:graphicData>
            </a:graphic>
          </wp:inline>
        </w:drawing>
      </w:r>
    </w:p>
    <w:p w14:paraId="297B939D" w14:textId="77777777" w:rsidR="00AB056B" w:rsidRPr="00E138ED" w:rsidRDefault="008F0BA2">
      <w:pPr>
        <w:spacing w:before="240" w:after="240"/>
        <w:jc w:val="center"/>
        <w:rPr>
          <w:rFonts w:ascii="Arial" w:hAnsi="Arial" w:cs="Arial"/>
          <w:b/>
        </w:rPr>
      </w:pPr>
      <w:r w:rsidRPr="00E138ED">
        <w:rPr>
          <w:rFonts w:ascii="Arial" w:hAnsi="Arial" w:cs="Arial"/>
          <w:b/>
        </w:rPr>
        <w:t>Figure 2: PESTLE Analysis</w:t>
      </w:r>
    </w:p>
    <w:p w14:paraId="297B939E" w14:textId="1067B717" w:rsidR="00AB056B" w:rsidRPr="00E138ED" w:rsidRDefault="008F0BA2">
      <w:pPr>
        <w:spacing w:before="240" w:after="240"/>
        <w:jc w:val="center"/>
        <w:rPr>
          <w:rFonts w:ascii="Arial" w:hAnsi="Arial" w:cs="Arial"/>
        </w:rPr>
      </w:pPr>
      <w:r w:rsidRPr="00E138ED">
        <w:rPr>
          <w:rFonts w:ascii="Arial" w:hAnsi="Arial" w:cs="Arial"/>
        </w:rPr>
        <w:t xml:space="preserve">(Source: Benzaghta </w:t>
      </w:r>
      <w:r w:rsidRPr="00E138ED">
        <w:rPr>
          <w:rFonts w:ascii="Arial" w:hAnsi="Arial" w:cs="Arial"/>
          <w:i/>
          <w:iCs/>
        </w:rPr>
        <w:t>et al.,</w:t>
      </w:r>
      <w:r w:rsidRPr="00E138ED">
        <w:rPr>
          <w:rFonts w:ascii="Arial" w:hAnsi="Arial" w:cs="Arial"/>
        </w:rPr>
        <w:t xml:space="preserve"> 2021)</w:t>
      </w:r>
    </w:p>
    <w:p w14:paraId="297B939F" w14:textId="77B187EA" w:rsidR="00AB056B" w:rsidRPr="00E138ED" w:rsidRDefault="008F0BA2">
      <w:pPr>
        <w:numPr>
          <w:ilvl w:val="0"/>
          <w:numId w:val="6"/>
        </w:numPr>
        <w:spacing w:before="240" w:after="240"/>
        <w:rPr>
          <w:rFonts w:ascii="Arial" w:hAnsi="Arial" w:cs="Arial"/>
        </w:rPr>
      </w:pPr>
      <w:r w:rsidRPr="00E138ED">
        <w:rPr>
          <w:rFonts w:ascii="Arial" w:hAnsi="Arial" w:cs="Arial"/>
          <w:b/>
        </w:rPr>
        <w:t xml:space="preserve">Industry Five Forces Analysis: </w:t>
      </w:r>
      <w:r w:rsidRPr="0069610D">
        <w:rPr>
          <w:rFonts w:ascii="Arial" w:hAnsi="Arial" w:cs="Arial"/>
          <w:b/>
        </w:rPr>
        <w:t>The</w:t>
      </w:r>
      <w:r w:rsidRPr="00E138ED">
        <w:rPr>
          <w:rFonts w:ascii="Arial" w:hAnsi="Arial" w:cs="Arial"/>
        </w:rPr>
        <w:t xml:space="preserve"> five forces analysis shows key strategic pressures on BP Plc. The threat of new entrants is low due to the significantly high level of capital and regulatory barriers; besides, BP's already established market presence has enabled it to gain a competitive advantage (de Sousa and Castañeda-Ayarza, 2022). Suppliers have lower bargaining powers as</w:t>
      </w:r>
      <w:r w:rsidR="0069610D">
        <w:rPr>
          <w:rFonts w:ascii="Arial" w:hAnsi="Arial" w:cs="Arial"/>
        </w:rPr>
        <w:t xml:space="preserve"> </w:t>
      </w:r>
      <w:r w:rsidRPr="00E138ED">
        <w:rPr>
          <w:rFonts w:ascii="Arial" w:hAnsi="Arial" w:cs="Arial"/>
        </w:rPr>
        <w:t>a consequence of BP's scale and global reach, enabling them to obtain better terms. The bargaining power of buyers is increasing as the demand shifts towards sustainable energy and pushes BP to adapt. Furthermore, BP's step-up in renewable investments narrows the threat of substitute products arising from alternative sources of energy. Industry rivalry is tough, strong competition forces BP to innovate all the time and seek better operational efficiency in its wide-reaching markets.</w:t>
      </w:r>
    </w:p>
    <w:p w14:paraId="297B93A0" w14:textId="77777777" w:rsidR="00AB056B" w:rsidRPr="00E138ED" w:rsidRDefault="008F0BA2">
      <w:pPr>
        <w:spacing w:before="240" w:after="240"/>
        <w:jc w:val="center"/>
        <w:rPr>
          <w:rFonts w:ascii="Arial" w:hAnsi="Arial" w:cs="Arial"/>
        </w:rPr>
      </w:pPr>
      <w:r w:rsidRPr="00E138ED">
        <w:rPr>
          <w:rFonts w:ascii="Arial" w:hAnsi="Arial" w:cs="Arial"/>
          <w:noProof/>
        </w:rPr>
        <w:lastRenderedPageBreak/>
        <w:drawing>
          <wp:inline distT="114300" distB="114300" distL="114300" distR="114300" wp14:anchorId="297B9492" wp14:editId="297B9493">
            <wp:extent cx="4127418" cy="2747963"/>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4127418" cy="2747963"/>
                    </a:xfrm>
                    <a:prstGeom prst="rect">
                      <a:avLst/>
                    </a:prstGeom>
                    <a:ln/>
                  </pic:spPr>
                </pic:pic>
              </a:graphicData>
            </a:graphic>
          </wp:inline>
        </w:drawing>
      </w:r>
    </w:p>
    <w:p w14:paraId="297B93A1" w14:textId="77777777" w:rsidR="00AB056B" w:rsidRPr="00E138ED" w:rsidRDefault="008F0BA2">
      <w:pPr>
        <w:spacing w:before="240" w:after="240"/>
        <w:jc w:val="center"/>
        <w:rPr>
          <w:rFonts w:ascii="Arial" w:hAnsi="Arial" w:cs="Arial"/>
          <w:b/>
        </w:rPr>
      </w:pPr>
      <w:r w:rsidRPr="00E138ED">
        <w:rPr>
          <w:rFonts w:ascii="Arial" w:hAnsi="Arial" w:cs="Arial"/>
          <w:b/>
        </w:rPr>
        <w:t>Figure 3: Five Forces Analysis</w:t>
      </w:r>
    </w:p>
    <w:p w14:paraId="297B93A2" w14:textId="77777777" w:rsidR="00AB056B" w:rsidRDefault="008F0BA2">
      <w:pPr>
        <w:spacing w:before="240" w:after="240"/>
        <w:jc w:val="center"/>
        <w:rPr>
          <w:rFonts w:ascii="Arial" w:hAnsi="Arial" w:cs="Arial"/>
        </w:rPr>
      </w:pPr>
      <w:r w:rsidRPr="00E138ED">
        <w:rPr>
          <w:rFonts w:ascii="Arial" w:hAnsi="Arial" w:cs="Arial"/>
        </w:rPr>
        <w:t>(Source: de Sousa and Castañeda-Ayarza, 2022)</w:t>
      </w:r>
    </w:p>
    <w:p w14:paraId="6089C786" w14:textId="77777777" w:rsidR="0069610D" w:rsidRPr="00E138ED" w:rsidRDefault="0069610D">
      <w:pPr>
        <w:spacing w:before="240" w:after="240"/>
        <w:jc w:val="center"/>
        <w:rPr>
          <w:rFonts w:ascii="Arial" w:hAnsi="Arial" w:cs="Arial"/>
        </w:rPr>
      </w:pPr>
    </w:p>
    <w:p w14:paraId="297B93A3" w14:textId="77777777" w:rsidR="00AB056B" w:rsidRPr="00BD4BDD" w:rsidRDefault="008F0BA2">
      <w:pPr>
        <w:pStyle w:val="Heading1"/>
        <w:rPr>
          <w:rFonts w:ascii="Arial" w:hAnsi="Arial" w:cs="Arial"/>
          <w:sz w:val="32"/>
          <w:szCs w:val="32"/>
        </w:rPr>
      </w:pPr>
      <w:bookmarkStart w:id="11" w:name="_5hybmh1j2bb" w:colFirst="0" w:colLast="0"/>
      <w:bookmarkStart w:id="12" w:name="_Toc175345300"/>
      <w:bookmarkEnd w:id="11"/>
      <w:r w:rsidRPr="00BD4BDD">
        <w:rPr>
          <w:rFonts w:ascii="Arial" w:hAnsi="Arial" w:cs="Arial"/>
          <w:sz w:val="32"/>
          <w:szCs w:val="32"/>
        </w:rPr>
        <w:t>Resources and Capabilities Alignment</w:t>
      </w:r>
      <w:bookmarkEnd w:id="12"/>
      <w:r w:rsidRPr="00BD4BDD">
        <w:rPr>
          <w:rFonts w:ascii="Arial" w:hAnsi="Arial" w:cs="Arial"/>
          <w:sz w:val="32"/>
          <w:szCs w:val="32"/>
        </w:rPr>
        <w:t xml:space="preserve"> </w:t>
      </w:r>
    </w:p>
    <w:p w14:paraId="297B93A4" w14:textId="77777777" w:rsidR="00AB056B" w:rsidRPr="00F378E5" w:rsidRDefault="008F0BA2" w:rsidP="00F378E5">
      <w:pPr>
        <w:pStyle w:val="Heading2"/>
        <w:rPr>
          <w:rFonts w:ascii="Arial" w:hAnsi="Arial" w:cs="Arial"/>
          <w:sz w:val="28"/>
          <w:szCs w:val="28"/>
        </w:rPr>
      </w:pPr>
      <w:bookmarkStart w:id="13" w:name="_Toc175345301"/>
      <w:r w:rsidRPr="00F378E5">
        <w:rPr>
          <w:rFonts w:ascii="Arial" w:hAnsi="Arial" w:cs="Arial"/>
          <w:sz w:val="28"/>
          <w:szCs w:val="28"/>
        </w:rPr>
        <w:t>Identification of Resources and Capabilities</w:t>
      </w:r>
      <w:bookmarkEnd w:id="13"/>
    </w:p>
    <w:p w14:paraId="297B93A5" w14:textId="77777777" w:rsidR="00AB056B" w:rsidRPr="00E138ED" w:rsidRDefault="008F0BA2">
      <w:pPr>
        <w:numPr>
          <w:ilvl w:val="0"/>
          <w:numId w:val="1"/>
        </w:numPr>
        <w:rPr>
          <w:rFonts w:ascii="Arial" w:hAnsi="Arial" w:cs="Arial"/>
        </w:rPr>
      </w:pPr>
      <w:r w:rsidRPr="00E138ED">
        <w:rPr>
          <w:rFonts w:ascii="Arial" w:hAnsi="Arial" w:cs="Arial"/>
          <w:b/>
          <w:i/>
        </w:rPr>
        <w:t xml:space="preserve">Financial Resources: </w:t>
      </w:r>
      <w:r w:rsidRPr="00E138ED">
        <w:rPr>
          <w:rFonts w:ascii="Arial" w:hAnsi="Arial" w:cs="Arial"/>
        </w:rPr>
        <w:t>BP commands substantial financial resources. The company operates with high revenues and is greatly profitable. In 2023, revenue was $245 billion, with net income at $22 billion, to give enough capital for investment in the future of the company in renewable energy and technology, together with operations (Matović, 2020).</w:t>
      </w:r>
    </w:p>
    <w:p w14:paraId="297B93A6" w14:textId="77777777" w:rsidR="00AB056B" w:rsidRPr="00E138ED" w:rsidRDefault="008F0BA2">
      <w:pPr>
        <w:numPr>
          <w:ilvl w:val="0"/>
          <w:numId w:val="1"/>
        </w:numPr>
        <w:rPr>
          <w:rFonts w:ascii="Arial" w:hAnsi="Arial" w:cs="Arial"/>
        </w:rPr>
      </w:pPr>
      <w:r w:rsidRPr="00E138ED">
        <w:rPr>
          <w:rFonts w:ascii="Arial" w:hAnsi="Arial" w:cs="Arial"/>
          <w:b/>
          <w:i/>
        </w:rPr>
        <w:t>Technological Capability:</w:t>
      </w:r>
      <w:r w:rsidRPr="00E138ED">
        <w:rPr>
          <w:rFonts w:ascii="Arial" w:hAnsi="Arial" w:cs="Arial"/>
        </w:rPr>
        <w:t xml:space="preserve"> BP centres reliance on technologies that support higher operating efficiencies and an engine for innovation. It is investing in digital technologies data analytics, artificial intelligence, and automation that are critical in optimizing exploration, production, and energy management.</w:t>
      </w:r>
    </w:p>
    <w:p w14:paraId="297B93A7" w14:textId="523A1B3D" w:rsidR="00AB056B" w:rsidRPr="00E138ED" w:rsidRDefault="008F0BA2">
      <w:pPr>
        <w:numPr>
          <w:ilvl w:val="0"/>
          <w:numId w:val="1"/>
        </w:numPr>
        <w:rPr>
          <w:rFonts w:ascii="Arial" w:hAnsi="Arial" w:cs="Arial"/>
        </w:rPr>
      </w:pPr>
      <w:r w:rsidRPr="00E138ED">
        <w:rPr>
          <w:rFonts w:ascii="Arial" w:hAnsi="Arial" w:cs="Arial"/>
          <w:b/>
          <w:i/>
        </w:rPr>
        <w:t>Human Capital:</w:t>
      </w:r>
      <w:r w:rsidRPr="00E138ED">
        <w:rPr>
          <w:rFonts w:ascii="Arial" w:hAnsi="Arial" w:cs="Arial"/>
        </w:rPr>
        <w:t xml:space="preserve"> BP has a critical asset comprising highly professional and technical individuals working within the domains of engineering, research, and </w:t>
      </w:r>
      <w:r w:rsidRPr="00E138ED">
        <w:rPr>
          <w:rFonts w:ascii="Arial" w:hAnsi="Arial" w:cs="Arial"/>
        </w:rPr>
        <w:lastRenderedPageBreak/>
        <w:t xml:space="preserve">management (Anastasiu </w:t>
      </w:r>
      <w:r w:rsidRPr="00E138ED">
        <w:rPr>
          <w:rFonts w:ascii="Arial" w:hAnsi="Arial" w:cs="Arial"/>
          <w:i/>
          <w:iCs/>
        </w:rPr>
        <w:t>et al.,</w:t>
      </w:r>
      <w:r w:rsidRPr="00E138ED">
        <w:rPr>
          <w:rFonts w:ascii="Arial" w:hAnsi="Arial" w:cs="Arial"/>
        </w:rPr>
        <w:t xml:space="preserve"> 2020). A few policies in employee development and strategic recruitment to support innovation and operational goals within the corporation.</w:t>
      </w:r>
    </w:p>
    <w:p w14:paraId="297B93A8" w14:textId="77777777" w:rsidR="00AB056B" w:rsidRPr="00E138ED" w:rsidRDefault="008F0BA2">
      <w:pPr>
        <w:numPr>
          <w:ilvl w:val="0"/>
          <w:numId w:val="1"/>
        </w:numPr>
        <w:rPr>
          <w:rFonts w:ascii="Arial" w:hAnsi="Arial" w:cs="Arial"/>
        </w:rPr>
      </w:pPr>
      <w:r w:rsidRPr="00E138ED">
        <w:rPr>
          <w:rFonts w:ascii="Arial" w:hAnsi="Arial" w:cs="Arial"/>
          <w:b/>
          <w:i/>
        </w:rPr>
        <w:t xml:space="preserve">Physical Assets: </w:t>
      </w:r>
      <w:r w:rsidRPr="00E138ED">
        <w:rPr>
          <w:rFonts w:ascii="Arial" w:hAnsi="Arial" w:cs="Arial"/>
        </w:rPr>
        <w:t>This large network of refineries, production plants, and other renewable energy installations is essential to the company's operations and strategic goals worldwide.</w:t>
      </w:r>
    </w:p>
    <w:p w14:paraId="297B93A9" w14:textId="77777777" w:rsidR="00AB056B" w:rsidRPr="00F378E5" w:rsidRDefault="008F0BA2" w:rsidP="00F378E5">
      <w:pPr>
        <w:pStyle w:val="Heading2"/>
        <w:rPr>
          <w:rFonts w:ascii="Arial" w:hAnsi="Arial" w:cs="Arial"/>
          <w:sz w:val="28"/>
          <w:szCs w:val="28"/>
        </w:rPr>
      </w:pPr>
      <w:bookmarkStart w:id="14" w:name="_Toc175345302"/>
      <w:r w:rsidRPr="0069610D">
        <w:rPr>
          <w:rFonts w:ascii="Arial" w:hAnsi="Arial" w:cs="Arial"/>
          <w:sz w:val="28"/>
          <w:szCs w:val="28"/>
        </w:rPr>
        <w:t>Analysis of Alignment</w:t>
      </w:r>
      <w:bookmarkEnd w:id="14"/>
    </w:p>
    <w:p w14:paraId="297B93AA" w14:textId="77777777" w:rsidR="00AB056B" w:rsidRPr="00E138ED" w:rsidRDefault="008F0BA2">
      <w:pPr>
        <w:numPr>
          <w:ilvl w:val="0"/>
          <w:numId w:val="7"/>
        </w:numPr>
        <w:spacing w:before="240" w:after="0"/>
        <w:jc w:val="left"/>
        <w:rPr>
          <w:rFonts w:ascii="Arial" w:hAnsi="Arial" w:cs="Arial"/>
        </w:rPr>
      </w:pPr>
      <w:r w:rsidRPr="00E138ED">
        <w:rPr>
          <w:rFonts w:ascii="Arial" w:hAnsi="Arial" w:cs="Arial"/>
          <w:b/>
        </w:rPr>
        <w:t>Financial Resources:</w:t>
      </w:r>
    </w:p>
    <w:p w14:paraId="297B93AB" w14:textId="77777777" w:rsidR="00AB056B" w:rsidRPr="00E138ED" w:rsidRDefault="008F0BA2">
      <w:pPr>
        <w:numPr>
          <w:ilvl w:val="1"/>
          <w:numId w:val="7"/>
        </w:numPr>
        <w:rPr>
          <w:rFonts w:ascii="Arial" w:hAnsi="Arial" w:cs="Arial"/>
        </w:rPr>
      </w:pPr>
      <w:r w:rsidRPr="00E138ED">
        <w:rPr>
          <w:rFonts w:ascii="Arial" w:hAnsi="Arial" w:cs="Arial"/>
          <w:b/>
          <w:i/>
        </w:rPr>
        <w:t xml:space="preserve">Diversification Support: </w:t>
      </w:r>
      <w:r w:rsidRPr="00E138ED">
        <w:rPr>
          <w:rFonts w:ascii="Arial" w:hAnsi="Arial" w:cs="Arial"/>
        </w:rPr>
        <w:t>BP is financially strong enough to make significant and potential investments in renewable energy and technology. For instance, BP budgeted $5 billion for renewable-energy projects in 2023 with the corporation's strategy in diversifying into a greener energy mix (Wellner and Lakotta, 2020).</w:t>
      </w:r>
    </w:p>
    <w:p w14:paraId="297B93AC" w14:textId="77777777" w:rsidR="00AB056B" w:rsidRPr="00E138ED" w:rsidRDefault="008F0BA2">
      <w:pPr>
        <w:numPr>
          <w:ilvl w:val="1"/>
          <w:numId w:val="7"/>
        </w:numPr>
        <w:rPr>
          <w:rFonts w:ascii="Arial" w:hAnsi="Arial" w:cs="Arial"/>
        </w:rPr>
      </w:pPr>
      <w:r w:rsidRPr="00E138ED">
        <w:rPr>
          <w:rFonts w:ascii="Arial" w:hAnsi="Arial" w:cs="Arial"/>
          <w:b/>
          <w:i/>
        </w:rPr>
        <w:t>Operational Efficiency:</w:t>
      </w:r>
      <w:r w:rsidRPr="00E138ED">
        <w:rPr>
          <w:rFonts w:ascii="Arial" w:hAnsi="Arial" w:cs="Arial"/>
        </w:rPr>
        <w:t xml:space="preserve"> The financial resources also help in cost-cutting measures and enhancements of efficiency in BP's operations, quite necessary for competitive pricing or essential to maintain profitability.</w:t>
      </w:r>
    </w:p>
    <w:p w14:paraId="297B93AD" w14:textId="77777777" w:rsidR="00AB056B" w:rsidRPr="00E138ED" w:rsidRDefault="008F0BA2">
      <w:pPr>
        <w:numPr>
          <w:ilvl w:val="0"/>
          <w:numId w:val="7"/>
        </w:numPr>
        <w:spacing w:after="0"/>
        <w:jc w:val="left"/>
        <w:rPr>
          <w:rFonts w:ascii="Arial" w:hAnsi="Arial" w:cs="Arial"/>
        </w:rPr>
      </w:pPr>
      <w:r w:rsidRPr="00E138ED">
        <w:rPr>
          <w:rFonts w:ascii="Arial" w:hAnsi="Arial" w:cs="Arial"/>
          <w:b/>
        </w:rPr>
        <w:t>Technological Capabilities:</w:t>
      </w:r>
    </w:p>
    <w:p w14:paraId="297B93AE" w14:textId="77777777" w:rsidR="00AB056B" w:rsidRPr="00E138ED" w:rsidRDefault="008F0BA2">
      <w:pPr>
        <w:numPr>
          <w:ilvl w:val="1"/>
          <w:numId w:val="7"/>
        </w:numPr>
        <w:rPr>
          <w:rFonts w:ascii="Arial" w:hAnsi="Arial" w:cs="Arial"/>
        </w:rPr>
      </w:pPr>
      <w:r w:rsidRPr="00E138ED">
        <w:rPr>
          <w:rFonts w:ascii="Arial" w:hAnsi="Arial" w:cs="Arial"/>
          <w:b/>
          <w:i/>
        </w:rPr>
        <w:t>Digital Transformation:</w:t>
      </w:r>
      <w:r w:rsidRPr="00E138ED">
        <w:rPr>
          <w:rFonts w:ascii="Arial" w:hAnsi="Arial" w:cs="Arial"/>
        </w:rPr>
        <w:t xml:space="preserve"> The investment in digital technologies at BP is in line with the strategic outlook of enhancing operational efficiency and innovation. For example, AI deployment in upstream operations at BP improved decision-making and reduced operation costs (de Aro and Perez, 2021).</w:t>
      </w:r>
    </w:p>
    <w:p w14:paraId="297B93AF" w14:textId="77777777" w:rsidR="00AB056B" w:rsidRPr="00E138ED" w:rsidRDefault="008F0BA2">
      <w:pPr>
        <w:numPr>
          <w:ilvl w:val="1"/>
          <w:numId w:val="7"/>
        </w:numPr>
        <w:rPr>
          <w:rFonts w:ascii="Arial" w:hAnsi="Arial" w:cs="Arial"/>
        </w:rPr>
      </w:pPr>
      <w:r w:rsidRPr="00E138ED">
        <w:rPr>
          <w:rFonts w:ascii="Arial" w:hAnsi="Arial" w:cs="Arial"/>
          <w:b/>
          <w:i/>
        </w:rPr>
        <w:t xml:space="preserve">Renewable Energy Innovation: </w:t>
      </w:r>
      <w:r w:rsidRPr="00E138ED">
        <w:rPr>
          <w:rFonts w:ascii="Arial" w:hAnsi="Arial" w:cs="Arial"/>
        </w:rPr>
        <w:t>BP utilizes technological innovation to pilot and integrate new renewable energy technologies to drive its strategic interest in rebalancing toward a more sustainable mix of energy.</w:t>
      </w:r>
    </w:p>
    <w:p w14:paraId="297B93B0" w14:textId="77777777" w:rsidR="00AB056B" w:rsidRPr="00E138ED" w:rsidRDefault="008F0BA2">
      <w:pPr>
        <w:numPr>
          <w:ilvl w:val="0"/>
          <w:numId w:val="7"/>
        </w:numPr>
        <w:spacing w:after="0"/>
        <w:jc w:val="left"/>
        <w:rPr>
          <w:rFonts w:ascii="Arial" w:hAnsi="Arial" w:cs="Arial"/>
        </w:rPr>
      </w:pPr>
      <w:r w:rsidRPr="00E138ED">
        <w:rPr>
          <w:rFonts w:ascii="Arial" w:hAnsi="Arial" w:cs="Arial"/>
          <w:b/>
        </w:rPr>
        <w:t>Human Capital:</w:t>
      </w:r>
    </w:p>
    <w:p w14:paraId="297B93B1" w14:textId="53152A99" w:rsidR="00AB056B" w:rsidRPr="00E138ED" w:rsidRDefault="008F0BA2">
      <w:pPr>
        <w:numPr>
          <w:ilvl w:val="1"/>
          <w:numId w:val="7"/>
        </w:numPr>
        <w:rPr>
          <w:rFonts w:ascii="Arial" w:hAnsi="Arial" w:cs="Arial"/>
        </w:rPr>
      </w:pPr>
      <w:r w:rsidRPr="00E138ED">
        <w:rPr>
          <w:rFonts w:ascii="Arial" w:hAnsi="Arial" w:cs="Arial"/>
          <w:b/>
          <w:i/>
        </w:rPr>
        <w:lastRenderedPageBreak/>
        <w:t>Talent and Expertise:</w:t>
      </w:r>
      <w:r w:rsidRPr="00E138ED">
        <w:rPr>
          <w:rFonts w:ascii="Arial" w:hAnsi="Arial" w:cs="Arial"/>
        </w:rPr>
        <w:t xml:space="preserve"> Obviously, the competence of its workforce helps BP to successfully implement its strategic initiatives. For example, research and development being focused on by BP with regard to renewable energy technologies are aided by its skilled engineers and scientists (Dethine </w:t>
      </w:r>
      <w:r w:rsidRPr="00E138ED">
        <w:rPr>
          <w:rFonts w:ascii="Arial" w:hAnsi="Arial" w:cs="Arial"/>
          <w:i/>
          <w:iCs/>
        </w:rPr>
        <w:t>et al.,</w:t>
      </w:r>
      <w:r w:rsidRPr="00E138ED">
        <w:rPr>
          <w:rFonts w:ascii="Arial" w:hAnsi="Arial" w:cs="Arial"/>
        </w:rPr>
        <w:t xml:space="preserve"> 2020).</w:t>
      </w:r>
    </w:p>
    <w:p w14:paraId="297B93B2" w14:textId="7A45EEE2" w:rsidR="00AB056B" w:rsidRPr="00E138ED" w:rsidRDefault="008F0BA2">
      <w:pPr>
        <w:numPr>
          <w:ilvl w:val="1"/>
          <w:numId w:val="7"/>
        </w:numPr>
        <w:rPr>
          <w:rFonts w:ascii="Arial" w:hAnsi="Arial" w:cs="Arial"/>
        </w:rPr>
      </w:pPr>
      <w:r w:rsidRPr="00E138ED">
        <w:rPr>
          <w:rFonts w:ascii="Arial" w:hAnsi="Arial" w:cs="Arial"/>
          <w:b/>
          <w:i/>
        </w:rPr>
        <w:t xml:space="preserve">Leadership and Management: </w:t>
      </w:r>
      <w:r w:rsidRPr="00E138ED">
        <w:rPr>
          <w:rFonts w:ascii="Arial" w:hAnsi="Arial" w:cs="Arial"/>
        </w:rPr>
        <w:t xml:space="preserve">Effective leadership and strategic management are called for by this category in the implementation and guiding of the company's transformational strategies (Oncioiu </w:t>
      </w:r>
      <w:r w:rsidRPr="00E138ED">
        <w:rPr>
          <w:rFonts w:ascii="Arial" w:hAnsi="Arial" w:cs="Arial"/>
          <w:i/>
          <w:iCs/>
        </w:rPr>
        <w:t>et al.,</w:t>
      </w:r>
      <w:r w:rsidRPr="00E138ED">
        <w:rPr>
          <w:rFonts w:ascii="Arial" w:hAnsi="Arial" w:cs="Arial"/>
        </w:rPr>
        <w:t xml:space="preserve"> 2020). The place of leadership in transitioning BP to renewable energy and digital innovation is key.</w:t>
      </w:r>
    </w:p>
    <w:p w14:paraId="297B93B3" w14:textId="77777777" w:rsidR="00AB056B" w:rsidRPr="00E138ED" w:rsidRDefault="008F0BA2">
      <w:pPr>
        <w:numPr>
          <w:ilvl w:val="0"/>
          <w:numId w:val="7"/>
        </w:numPr>
        <w:spacing w:after="0"/>
        <w:jc w:val="left"/>
        <w:rPr>
          <w:rFonts w:ascii="Arial" w:hAnsi="Arial" w:cs="Arial"/>
        </w:rPr>
      </w:pPr>
      <w:r w:rsidRPr="00E138ED">
        <w:rPr>
          <w:rFonts w:ascii="Arial" w:hAnsi="Arial" w:cs="Arial"/>
          <w:b/>
        </w:rPr>
        <w:t>Physical Assets:</w:t>
      </w:r>
    </w:p>
    <w:p w14:paraId="297B93B4" w14:textId="22ED8EE1" w:rsidR="00AB056B" w:rsidRPr="00E138ED" w:rsidRDefault="008F0BA2">
      <w:pPr>
        <w:numPr>
          <w:ilvl w:val="1"/>
          <w:numId w:val="7"/>
        </w:numPr>
        <w:rPr>
          <w:rFonts w:ascii="Arial" w:hAnsi="Arial" w:cs="Arial"/>
        </w:rPr>
      </w:pPr>
      <w:r w:rsidRPr="00E138ED">
        <w:rPr>
          <w:rFonts w:ascii="Arial" w:hAnsi="Arial" w:cs="Arial"/>
          <w:b/>
          <w:i/>
        </w:rPr>
        <w:t xml:space="preserve">Integration with Strategies: </w:t>
      </w:r>
      <w:r w:rsidRPr="00E138ED">
        <w:rPr>
          <w:rFonts w:ascii="Arial" w:hAnsi="Arial" w:cs="Arial"/>
        </w:rPr>
        <w:t xml:space="preserve">It goes with the company's strategies: BP's worldwide network of the production and refining facilities subsidiary supports its business strategy in ensuring efficient and reliable energy supply (Dethine </w:t>
      </w:r>
      <w:r w:rsidRPr="00E138ED">
        <w:rPr>
          <w:rFonts w:ascii="Arial" w:hAnsi="Arial" w:cs="Arial"/>
          <w:i/>
          <w:iCs/>
        </w:rPr>
        <w:t>et al.,</w:t>
      </w:r>
      <w:r w:rsidRPr="00E138ED">
        <w:rPr>
          <w:rFonts w:ascii="Arial" w:hAnsi="Arial" w:cs="Arial"/>
        </w:rPr>
        <w:t xml:space="preserve"> 2020). Furthermore, activities in renewable energy infrastructure, such as solar and wind farms, are in line with its strategic goal of sustainability.</w:t>
      </w:r>
    </w:p>
    <w:p w14:paraId="297B93B5" w14:textId="77777777" w:rsidR="00AB056B" w:rsidRPr="00F378E5" w:rsidRDefault="008F0BA2" w:rsidP="00F378E5">
      <w:pPr>
        <w:pStyle w:val="Heading2"/>
        <w:rPr>
          <w:rFonts w:ascii="Arial" w:hAnsi="Arial" w:cs="Arial"/>
          <w:sz w:val="28"/>
          <w:szCs w:val="28"/>
        </w:rPr>
      </w:pPr>
      <w:bookmarkStart w:id="15" w:name="_Toc175345303"/>
      <w:r w:rsidRPr="0069610D">
        <w:rPr>
          <w:rFonts w:ascii="Arial" w:hAnsi="Arial" w:cs="Arial"/>
          <w:sz w:val="28"/>
          <w:szCs w:val="28"/>
        </w:rPr>
        <w:t>Framework Application: VRIO Analysis</w:t>
      </w:r>
      <w:bookmarkEnd w:id="15"/>
    </w:p>
    <w:p w14:paraId="297B93B6" w14:textId="2EF66C78" w:rsidR="00AB056B" w:rsidRPr="00E138ED" w:rsidRDefault="008F0BA2">
      <w:pPr>
        <w:spacing w:before="240" w:after="240"/>
        <w:rPr>
          <w:rFonts w:ascii="Arial" w:hAnsi="Arial" w:cs="Arial"/>
        </w:rPr>
      </w:pPr>
      <w:r w:rsidRPr="00E138ED">
        <w:rPr>
          <w:rFonts w:ascii="Arial" w:hAnsi="Arial" w:cs="Arial"/>
        </w:rPr>
        <w:t xml:space="preserve">Applied, the VRIO framework on BP's resources and capabilities identifies a number of useful insights: first, the firm's financial resources, advanced technology, and human capital are extremely valuable because they help to serve the implementation of the strategic goals set by the company, apart from improving the competitive position of a firm (Lashitew </w:t>
      </w:r>
      <w:r w:rsidRPr="00E138ED">
        <w:rPr>
          <w:rFonts w:ascii="Arial" w:hAnsi="Arial" w:cs="Arial"/>
          <w:i/>
          <w:iCs/>
        </w:rPr>
        <w:t>et al.,</w:t>
      </w:r>
      <w:r w:rsidRPr="00E138ED">
        <w:rPr>
          <w:rFonts w:ascii="Arial" w:hAnsi="Arial" w:cs="Arial"/>
        </w:rPr>
        <w:t xml:space="preserve"> 2021). The rarity of the assets within BP precisely, it is unknown how the integration of cutting-edge technology results in such extensive financial assets is what gives it a strong competitive edge over peers. Even though some factors of BP's technology and financial strength can be imitated, the way in which its resources come together in strategic alignment is </w:t>
      </w:r>
      <w:r w:rsidR="00515900" w:rsidRPr="00E138ED">
        <w:rPr>
          <w:rFonts w:ascii="Arial" w:hAnsi="Arial" w:cs="Arial"/>
        </w:rPr>
        <w:t>difficult</w:t>
      </w:r>
      <w:r w:rsidRPr="00E138ED">
        <w:rPr>
          <w:rFonts w:ascii="Arial" w:hAnsi="Arial" w:cs="Arial"/>
        </w:rPr>
        <w:t xml:space="preserve"> for any competitor to copy. Besides, the organizational structure of BP is also properly aligned to leverage its various resources effectively; its strategic initiatives and investments are focused on serving corporate </w:t>
      </w:r>
      <w:r w:rsidRPr="00E138ED">
        <w:rPr>
          <w:rFonts w:ascii="Arial" w:hAnsi="Arial" w:cs="Arial"/>
        </w:rPr>
        <w:lastRenderedPageBreak/>
        <w:t xml:space="preserve">objectives (Gedam </w:t>
      </w:r>
      <w:r w:rsidRPr="00E138ED">
        <w:rPr>
          <w:rFonts w:ascii="Arial" w:hAnsi="Arial" w:cs="Arial"/>
          <w:i/>
          <w:iCs/>
        </w:rPr>
        <w:t>et al.,</w:t>
      </w:r>
      <w:r w:rsidRPr="00E138ED">
        <w:rPr>
          <w:rFonts w:ascii="Arial" w:hAnsi="Arial" w:cs="Arial"/>
        </w:rPr>
        <w:t xml:space="preserve"> 2021). The bottom line that the VRIO framework reveals is that it is BP's resources and capabilities that are the driving forces toward its renewable energy transition, digital transformation, and improvement of operational efficiency thereby reinforcing its competitive advantage.</w:t>
      </w:r>
    </w:p>
    <w:p w14:paraId="297B93B7" w14:textId="77777777" w:rsidR="00AB056B" w:rsidRPr="00E138ED" w:rsidRDefault="008F0BA2">
      <w:pPr>
        <w:spacing w:before="240" w:after="240"/>
        <w:jc w:val="center"/>
        <w:rPr>
          <w:rFonts w:ascii="Arial" w:hAnsi="Arial" w:cs="Arial"/>
        </w:rPr>
      </w:pPr>
      <w:r w:rsidRPr="00E138ED">
        <w:rPr>
          <w:rFonts w:ascii="Arial" w:hAnsi="Arial" w:cs="Arial"/>
          <w:noProof/>
        </w:rPr>
        <w:drawing>
          <wp:inline distT="114300" distB="114300" distL="114300" distR="114300" wp14:anchorId="297B9494" wp14:editId="297B9495">
            <wp:extent cx="4424363" cy="3318272"/>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4424363" cy="3318272"/>
                    </a:xfrm>
                    <a:prstGeom prst="rect">
                      <a:avLst/>
                    </a:prstGeom>
                    <a:ln/>
                  </pic:spPr>
                </pic:pic>
              </a:graphicData>
            </a:graphic>
          </wp:inline>
        </w:drawing>
      </w:r>
    </w:p>
    <w:p w14:paraId="297B93B8" w14:textId="77777777" w:rsidR="00AB056B" w:rsidRPr="00E138ED" w:rsidRDefault="008F0BA2">
      <w:pPr>
        <w:spacing w:before="240" w:after="240"/>
        <w:jc w:val="center"/>
        <w:rPr>
          <w:rFonts w:ascii="Arial" w:hAnsi="Arial" w:cs="Arial"/>
          <w:b/>
        </w:rPr>
      </w:pPr>
      <w:r w:rsidRPr="00E138ED">
        <w:rPr>
          <w:rFonts w:ascii="Arial" w:hAnsi="Arial" w:cs="Arial"/>
          <w:b/>
        </w:rPr>
        <w:t>Figure 4: VRIO Analysis</w:t>
      </w:r>
    </w:p>
    <w:p w14:paraId="297B93B9" w14:textId="601ADB0F" w:rsidR="00AB056B" w:rsidRPr="00E138ED" w:rsidRDefault="008F0BA2">
      <w:pPr>
        <w:spacing w:before="240" w:after="240"/>
        <w:jc w:val="center"/>
        <w:rPr>
          <w:rFonts w:ascii="Arial" w:hAnsi="Arial" w:cs="Arial"/>
        </w:rPr>
      </w:pPr>
      <w:r w:rsidRPr="00E138ED">
        <w:rPr>
          <w:rFonts w:ascii="Arial" w:hAnsi="Arial" w:cs="Arial"/>
        </w:rPr>
        <w:t xml:space="preserve">(Source: Lashitew </w:t>
      </w:r>
      <w:r w:rsidRPr="00E138ED">
        <w:rPr>
          <w:rFonts w:ascii="Arial" w:hAnsi="Arial" w:cs="Arial"/>
          <w:i/>
          <w:iCs/>
        </w:rPr>
        <w:t>et al.,</w:t>
      </w:r>
      <w:r w:rsidRPr="00E138ED">
        <w:rPr>
          <w:rFonts w:ascii="Arial" w:hAnsi="Arial" w:cs="Arial"/>
        </w:rPr>
        <w:t xml:space="preserve"> 2021)</w:t>
      </w:r>
    </w:p>
    <w:p w14:paraId="297B93BA" w14:textId="77777777" w:rsidR="00AB056B" w:rsidRPr="00BD4BDD" w:rsidRDefault="008F0BA2">
      <w:pPr>
        <w:pStyle w:val="Heading1"/>
        <w:rPr>
          <w:rFonts w:ascii="Arial" w:hAnsi="Arial" w:cs="Arial"/>
          <w:sz w:val="32"/>
          <w:szCs w:val="32"/>
        </w:rPr>
      </w:pPr>
      <w:bookmarkStart w:id="16" w:name="_5gjiw2co1e3i" w:colFirst="0" w:colLast="0"/>
      <w:bookmarkStart w:id="17" w:name="_Toc175345304"/>
      <w:bookmarkEnd w:id="16"/>
      <w:r w:rsidRPr="00BD4BDD">
        <w:rPr>
          <w:rFonts w:ascii="Arial" w:hAnsi="Arial" w:cs="Arial"/>
          <w:sz w:val="32"/>
          <w:szCs w:val="32"/>
        </w:rPr>
        <w:t>Evaluation of Strategy Implementation</w:t>
      </w:r>
      <w:bookmarkEnd w:id="17"/>
    </w:p>
    <w:p w14:paraId="297B93BB" w14:textId="77777777" w:rsidR="00AB056B" w:rsidRPr="00F378E5" w:rsidRDefault="008F0BA2" w:rsidP="00F378E5">
      <w:pPr>
        <w:pStyle w:val="Heading2"/>
        <w:rPr>
          <w:rFonts w:ascii="Arial" w:hAnsi="Arial" w:cs="Arial"/>
          <w:sz w:val="28"/>
          <w:szCs w:val="28"/>
        </w:rPr>
      </w:pPr>
      <w:bookmarkStart w:id="18" w:name="_Toc175345305"/>
      <w:r w:rsidRPr="00F378E5">
        <w:rPr>
          <w:rFonts w:ascii="Arial" w:hAnsi="Arial" w:cs="Arial"/>
          <w:sz w:val="28"/>
          <w:szCs w:val="28"/>
        </w:rPr>
        <w:t>Success of Implementation</w:t>
      </w:r>
      <w:bookmarkEnd w:id="18"/>
    </w:p>
    <w:p w14:paraId="297B93BD" w14:textId="77777777" w:rsidR="00AB056B" w:rsidRPr="00E138ED" w:rsidRDefault="008F0BA2">
      <w:pPr>
        <w:numPr>
          <w:ilvl w:val="0"/>
          <w:numId w:val="2"/>
        </w:numPr>
        <w:spacing w:before="240" w:after="0"/>
        <w:jc w:val="left"/>
        <w:rPr>
          <w:rFonts w:ascii="Arial" w:hAnsi="Arial" w:cs="Arial"/>
        </w:rPr>
      </w:pPr>
      <w:r w:rsidRPr="00E138ED">
        <w:rPr>
          <w:rFonts w:ascii="Arial" w:hAnsi="Arial" w:cs="Arial"/>
          <w:b/>
        </w:rPr>
        <w:t>Financial Performance:</w:t>
      </w:r>
    </w:p>
    <w:p w14:paraId="297B93BE" w14:textId="5AB8B46F" w:rsidR="00AB056B" w:rsidRPr="00E138ED" w:rsidRDefault="008F0BA2">
      <w:pPr>
        <w:numPr>
          <w:ilvl w:val="1"/>
          <w:numId w:val="2"/>
        </w:numPr>
        <w:rPr>
          <w:rFonts w:ascii="Arial" w:hAnsi="Arial" w:cs="Arial"/>
        </w:rPr>
      </w:pPr>
      <w:r w:rsidRPr="00E138ED">
        <w:rPr>
          <w:rFonts w:ascii="Arial" w:hAnsi="Arial" w:cs="Arial"/>
        </w:rPr>
        <w:t xml:space="preserve">In 2023, BP generated revenues of $245 billion and net income of $22 billion, which is a strong financial performance considering the troubled global energy market (Konopik </w:t>
      </w:r>
      <w:r w:rsidRPr="00E138ED">
        <w:rPr>
          <w:rFonts w:ascii="Arial" w:hAnsi="Arial" w:cs="Arial"/>
          <w:i/>
          <w:iCs/>
        </w:rPr>
        <w:t>et al.,</w:t>
      </w:r>
      <w:r w:rsidRPr="00E138ED">
        <w:rPr>
          <w:rFonts w:ascii="Arial" w:hAnsi="Arial" w:cs="Arial"/>
        </w:rPr>
        <w:t xml:space="preserve"> 2022). Its revenue growth and profitability are indicative of this firm's success in executing strategy effectively, especially through its initiatives on diversification efforts and digital transformation.</w:t>
      </w:r>
    </w:p>
    <w:p w14:paraId="297B93BF" w14:textId="77777777" w:rsidR="00AB056B" w:rsidRPr="00E138ED" w:rsidRDefault="008F0BA2">
      <w:pPr>
        <w:numPr>
          <w:ilvl w:val="1"/>
          <w:numId w:val="2"/>
        </w:numPr>
        <w:rPr>
          <w:rFonts w:ascii="Arial" w:hAnsi="Arial" w:cs="Arial"/>
        </w:rPr>
      </w:pPr>
      <w:r w:rsidRPr="00E138ED">
        <w:rPr>
          <w:rFonts w:ascii="Arial" w:hAnsi="Arial" w:cs="Arial"/>
        </w:rPr>
        <w:lastRenderedPageBreak/>
        <w:t>BP's investments in renewables have begun to bear fruit. Revenues were supported by group renewable energy projects, from offshore wind farms to solar power installations. For example, BP's renewable energy segment lifted revenue by 20% in 2023 alone, showing the successful execution of its strategy (Vial, 2021).</w:t>
      </w:r>
    </w:p>
    <w:p w14:paraId="297B93C0" w14:textId="77777777" w:rsidR="00AB056B" w:rsidRPr="00E138ED" w:rsidRDefault="008F0BA2">
      <w:pPr>
        <w:numPr>
          <w:ilvl w:val="0"/>
          <w:numId w:val="2"/>
        </w:numPr>
        <w:spacing w:after="0"/>
        <w:jc w:val="left"/>
        <w:rPr>
          <w:rFonts w:ascii="Arial" w:hAnsi="Arial" w:cs="Arial"/>
        </w:rPr>
      </w:pPr>
      <w:r w:rsidRPr="00E138ED">
        <w:rPr>
          <w:rFonts w:ascii="Arial" w:hAnsi="Arial" w:cs="Arial"/>
          <w:b/>
        </w:rPr>
        <w:t>Competitive Advantages Achieved:</w:t>
      </w:r>
    </w:p>
    <w:p w14:paraId="297B93C1" w14:textId="77777777" w:rsidR="00AB056B" w:rsidRPr="00E138ED" w:rsidRDefault="008F0BA2">
      <w:pPr>
        <w:numPr>
          <w:ilvl w:val="1"/>
          <w:numId w:val="2"/>
        </w:numPr>
        <w:rPr>
          <w:rFonts w:ascii="Arial" w:hAnsi="Arial" w:cs="Arial"/>
        </w:rPr>
      </w:pPr>
      <w:r w:rsidRPr="00E138ED">
        <w:rPr>
          <w:rFonts w:ascii="Arial" w:hAnsi="Arial" w:cs="Arial"/>
        </w:rPr>
        <w:t>A focus on technological innovation and operational efficiency at BP has improved its competitive position. Digital technologies, particularly AI and big data analytics, have helped the company optimize exploration and production processes to reduce costs and improve efficiency (Fedyk and Hodson, 2023).</w:t>
      </w:r>
    </w:p>
    <w:p w14:paraId="297B93C2" w14:textId="77777777" w:rsidR="00AB056B" w:rsidRPr="00E138ED" w:rsidRDefault="008F0BA2">
      <w:pPr>
        <w:numPr>
          <w:ilvl w:val="1"/>
          <w:numId w:val="2"/>
        </w:numPr>
        <w:rPr>
          <w:rFonts w:ascii="Arial" w:hAnsi="Arial" w:cs="Arial"/>
        </w:rPr>
      </w:pPr>
      <w:r w:rsidRPr="00E138ED">
        <w:rPr>
          <w:rFonts w:ascii="Arial" w:hAnsi="Arial" w:cs="Arial"/>
        </w:rPr>
        <w:t>Success in strategic redirection for BP is marked by the gains it has made in terms of market share in the renewable energy sector. On a larger scale, it places the company among the top global renewable players, underpinning the ability of the business to adapt and have effective competition in a changing energy environment.</w:t>
      </w:r>
    </w:p>
    <w:p w14:paraId="297B93C3" w14:textId="77777777" w:rsidR="00AB056B" w:rsidRPr="00F378E5" w:rsidRDefault="008F0BA2" w:rsidP="00F378E5">
      <w:pPr>
        <w:pStyle w:val="Heading2"/>
        <w:rPr>
          <w:rFonts w:ascii="Arial" w:hAnsi="Arial" w:cs="Arial"/>
          <w:sz w:val="28"/>
          <w:szCs w:val="28"/>
        </w:rPr>
      </w:pPr>
      <w:bookmarkStart w:id="19" w:name="_Toc175345306"/>
      <w:r w:rsidRPr="00F378E5">
        <w:rPr>
          <w:rFonts w:ascii="Arial" w:hAnsi="Arial" w:cs="Arial"/>
          <w:sz w:val="28"/>
          <w:szCs w:val="28"/>
        </w:rPr>
        <w:t>Sustainability and Environmental Considerations</w:t>
      </w:r>
      <w:bookmarkEnd w:id="19"/>
    </w:p>
    <w:p w14:paraId="297B93C4" w14:textId="77777777" w:rsidR="00AB056B" w:rsidRPr="00E138ED" w:rsidRDefault="008F0BA2">
      <w:pPr>
        <w:numPr>
          <w:ilvl w:val="0"/>
          <w:numId w:val="3"/>
        </w:numPr>
        <w:spacing w:before="240" w:after="0"/>
        <w:jc w:val="left"/>
        <w:rPr>
          <w:rFonts w:ascii="Arial" w:hAnsi="Arial" w:cs="Arial"/>
        </w:rPr>
      </w:pPr>
      <w:r w:rsidRPr="00E138ED">
        <w:rPr>
          <w:rFonts w:ascii="Arial" w:hAnsi="Arial" w:cs="Arial"/>
          <w:b/>
        </w:rPr>
        <w:t>Sustainability Practices:</w:t>
      </w:r>
    </w:p>
    <w:p w14:paraId="297B93C5" w14:textId="3A50FA6D" w:rsidR="00AB056B" w:rsidRPr="00E138ED" w:rsidRDefault="008F0BA2">
      <w:pPr>
        <w:numPr>
          <w:ilvl w:val="1"/>
          <w:numId w:val="3"/>
        </w:numPr>
        <w:rPr>
          <w:rFonts w:ascii="Arial" w:hAnsi="Arial" w:cs="Arial"/>
        </w:rPr>
      </w:pPr>
      <w:r w:rsidRPr="00E138ED">
        <w:rPr>
          <w:rFonts w:ascii="Arial" w:hAnsi="Arial" w:cs="Arial"/>
        </w:rPr>
        <w:t xml:space="preserve">It has pledged to reach net-zero emissions by 2050, which is in line with the group's sustainability strategy. A few intermediate goals on carbon footprint reduction have been set by the company for operational emission: a 30-35% reduction by 2030 (Dinçer </w:t>
      </w:r>
      <w:r w:rsidRPr="00E138ED">
        <w:rPr>
          <w:rFonts w:ascii="Arial" w:hAnsi="Arial" w:cs="Arial"/>
          <w:i/>
          <w:iCs/>
        </w:rPr>
        <w:t>et al.,</w:t>
      </w:r>
      <w:r w:rsidRPr="00E138ED">
        <w:rPr>
          <w:rFonts w:ascii="Arial" w:hAnsi="Arial" w:cs="Arial"/>
        </w:rPr>
        <w:t xml:space="preserve"> 2022). BP has large-scale investments in renewable energy: in 2023, it announced that it would invest $5 billion in green projects, underpinning the company's commitment to sustainable development (Succar and Poirier, 2020).</w:t>
      </w:r>
    </w:p>
    <w:p w14:paraId="297B93C6" w14:textId="77777777" w:rsidR="00AB056B" w:rsidRPr="00E138ED" w:rsidRDefault="008F0BA2">
      <w:pPr>
        <w:numPr>
          <w:ilvl w:val="1"/>
          <w:numId w:val="3"/>
        </w:numPr>
        <w:rPr>
          <w:rFonts w:ascii="Arial" w:hAnsi="Arial" w:cs="Arial"/>
        </w:rPr>
      </w:pPr>
      <w:r w:rsidRPr="00E138ED">
        <w:rPr>
          <w:rFonts w:ascii="Arial" w:hAnsi="Arial" w:cs="Arial"/>
        </w:rPr>
        <w:t xml:space="preserve">Apart from these, sustainability practices at BP also include those that are aimed at promoting energy efficiency and reducing the overall ecological impact of its operations. For instance, BP has applied technologies that </w:t>
      </w:r>
      <w:r w:rsidRPr="00E138ED">
        <w:rPr>
          <w:rFonts w:ascii="Arial" w:hAnsi="Arial" w:cs="Arial"/>
        </w:rPr>
        <w:lastRenderedPageBreak/>
        <w:t>save energy during its refining process, increasing the use of renewable energy in its facilities (Astawa, 2022).</w:t>
      </w:r>
    </w:p>
    <w:p w14:paraId="297B93C7" w14:textId="77777777" w:rsidR="00AB056B" w:rsidRPr="00E138ED" w:rsidRDefault="008F0BA2">
      <w:pPr>
        <w:jc w:val="center"/>
        <w:rPr>
          <w:rFonts w:ascii="Arial" w:hAnsi="Arial" w:cs="Arial"/>
        </w:rPr>
      </w:pPr>
      <w:r w:rsidRPr="00E138ED">
        <w:rPr>
          <w:rFonts w:ascii="Arial" w:hAnsi="Arial" w:cs="Arial"/>
          <w:noProof/>
        </w:rPr>
        <w:drawing>
          <wp:inline distT="114300" distB="114300" distL="114300" distR="114300" wp14:anchorId="297B9496" wp14:editId="297B9497">
            <wp:extent cx="3576638" cy="3146753"/>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3576638" cy="3146753"/>
                    </a:xfrm>
                    <a:prstGeom prst="rect">
                      <a:avLst/>
                    </a:prstGeom>
                    <a:ln/>
                  </pic:spPr>
                </pic:pic>
              </a:graphicData>
            </a:graphic>
          </wp:inline>
        </w:drawing>
      </w:r>
    </w:p>
    <w:p w14:paraId="297B93C8" w14:textId="77777777" w:rsidR="00AB056B" w:rsidRPr="00E138ED" w:rsidRDefault="008F0BA2">
      <w:pPr>
        <w:jc w:val="center"/>
        <w:rPr>
          <w:rFonts w:ascii="Arial" w:hAnsi="Arial" w:cs="Arial"/>
          <w:b/>
        </w:rPr>
      </w:pPr>
      <w:r w:rsidRPr="00E138ED">
        <w:rPr>
          <w:rFonts w:ascii="Arial" w:hAnsi="Arial" w:cs="Arial"/>
          <w:b/>
        </w:rPr>
        <w:t>Figure 5: Environmental Sustainability</w:t>
      </w:r>
    </w:p>
    <w:p w14:paraId="297B93C9" w14:textId="77777777" w:rsidR="00AB056B" w:rsidRPr="00E138ED" w:rsidRDefault="008F0BA2">
      <w:pPr>
        <w:jc w:val="center"/>
        <w:rPr>
          <w:rFonts w:ascii="Arial" w:hAnsi="Arial" w:cs="Arial"/>
        </w:rPr>
      </w:pPr>
      <w:r w:rsidRPr="00E138ED">
        <w:rPr>
          <w:rFonts w:ascii="Arial" w:hAnsi="Arial" w:cs="Arial"/>
        </w:rPr>
        <w:t>(Source: Astawa, 2022)</w:t>
      </w:r>
    </w:p>
    <w:p w14:paraId="297B93CA" w14:textId="77777777" w:rsidR="00AB056B" w:rsidRPr="00E138ED" w:rsidRDefault="008F0BA2">
      <w:pPr>
        <w:numPr>
          <w:ilvl w:val="0"/>
          <w:numId w:val="3"/>
        </w:numPr>
        <w:spacing w:before="240" w:after="0"/>
        <w:jc w:val="left"/>
        <w:rPr>
          <w:rFonts w:ascii="Arial" w:hAnsi="Arial" w:cs="Arial"/>
        </w:rPr>
      </w:pPr>
      <w:r w:rsidRPr="00E138ED">
        <w:rPr>
          <w:rFonts w:ascii="Arial" w:hAnsi="Arial" w:cs="Arial"/>
          <w:b/>
        </w:rPr>
        <w:t>Integration of Environmental Considerations:</w:t>
      </w:r>
    </w:p>
    <w:p w14:paraId="297B93CB" w14:textId="62E06B76" w:rsidR="00AB056B" w:rsidRPr="00E138ED" w:rsidRDefault="008F0BA2">
      <w:pPr>
        <w:numPr>
          <w:ilvl w:val="1"/>
          <w:numId w:val="3"/>
        </w:numPr>
        <w:rPr>
          <w:rFonts w:ascii="Arial" w:hAnsi="Arial" w:cs="Arial"/>
        </w:rPr>
      </w:pPr>
      <w:r w:rsidRPr="00E138ED">
        <w:rPr>
          <w:rFonts w:ascii="Arial" w:hAnsi="Arial" w:cs="Arial"/>
        </w:rPr>
        <w:t xml:space="preserve">Environmental considerations are those deeply integrated into the corporate strategy at BP. The decision by this company to shift to renewable sources of energy and correspondingly invest in low-carbon technologies is driven by reducing GHG emissions and bounding the organization's environmental impact (Saloko </w:t>
      </w:r>
      <w:r w:rsidRPr="00E138ED">
        <w:rPr>
          <w:rFonts w:ascii="Arial" w:hAnsi="Arial" w:cs="Arial"/>
          <w:i/>
          <w:iCs/>
        </w:rPr>
        <w:t>et al.,</w:t>
      </w:r>
      <w:r w:rsidRPr="00E138ED">
        <w:rPr>
          <w:rFonts w:ascii="Arial" w:hAnsi="Arial" w:cs="Arial"/>
        </w:rPr>
        <w:t xml:space="preserve"> 2023).</w:t>
      </w:r>
    </w:p>
    <w:p w14:paraId="297B93CC" w14:textId="77777777" w:rsidR="00AB056B" w:rsidRDefault="008F0BA2">
      <w:pPr>
        <w:numPr>
          <w:ilvl w:val="1"/>
          <w:numId w:val="3"/>
        </w:numPr>
        <w:rPr>
          <w:rFonts w:ascii="Arial" w:hAnsi="Arial" w:cs="Arial"/>
        </w:rPr>
      </w:pPr>
      <w:r w:rsidRPr="00E138ED">
        <w:rPr>
          <w:rFonts w:ascii="Arial" w:hAnsi="Arial" w:cs="Arial"/>
        </w:rPr>
        <w:t>BP has comprehensive sustainability reports and adherence to international standards in the face of its environmental policies, such as the UN's Sustainable Development Goals. This scheme entails an environmental management system that monitors and reports on environmental performance.</w:t>
      </w:r>
    </w:p>
    <w:p w14:paraId="1D85485D" w14:textId="77777777" w:rsidR="00BD4BDD" w:rsidRPr="00E138ED" w:rsidRDefault="00BD4BDD" w:rsidP="00BD4BDD">
      <w:pPr>
        <w:ind w:left="1440"/>
        <w:rPr>
          <w:rFonts w:ascii="Arial" w:hAnsi="Arial" w:cs="Arial"/>
        </w:rPr>
      </w:pPr>
    </w:p>
    <w:p w14:paraId="297B93CD" w14:textId="77777777" w:rsidR="00AB056B" w:rsidRPr="00BD4BDD" w:rsidRDefault="008F0BA2">
      <w:pPr>
        <w:pStyle w:val="Heading1"/>
        <w:rPr>
          <w:rFonts w:ascii="Arial" w:hAnsi="Arial" w:cs="Arial"/>
          <w:sz w:val="32"/>
          <w:szCs w:val="32"/>
        </w:rPr>
      </w:pPr>
      <w:bookmarkStart w:id="20" w:name="_ka3ha13g3xde" w:colFirst="0" w:colLast="0"/>
      <w:bookmarkStart w:id="21" w:name="_Toc175345307"/>
      <w:bookmarkEnd w:id="20"/>
      <w:r w:rsidRPr="00BD4BDD">
        <w:rPr>
          <w:rFonts w:ascii="Arial" w:hAnsi="Arial" w:cs="Arial"/>
          <w:sz w:val="32"/>
          <w:szCs w:val="32"/>
        </w:rPr>
        <w:lastRenderedPageBreak/>
        <w:t>Future Strategic Directions and Recommendations</w:t>
      </w:r>
      <w:bookmarkEnd w:id="21"/>
    </w:p>
    <w:p w14:paraId="297B93CE" w14:textId="77777777" w:rsidR="00AB056B" w:rsidRPr="00F378E5" w:rsidRDefault="008F0BA2" w:rsidP="00F378E5">
      <w:pPr>
        <w:pStyle w:val="Heading2"/>
        <w:rPr>
          <w:rFonts w:ascii="Arial" w:hAnsi="Arial" w:cs="Arial"/>
          <w:sz w:val="28"/>
          <w:szCs w:val="28"/>
        </w:rPr>
      </w:pPr>
      <w:bookmarkStart w:id="22" w:name="_Toc175345308"/>
      <w:r w:rsidRPr="00F378E5">
        <w:rPr>
          <w:rFonts w:ascii="Arial" w:hAnsi="Arial" w:cs="Arial"/>
          <w:sz w:val="28"/>
          <w:szCs w:val="28"/>
        </w:rPr>
        <w:t>Evaluation of Future Choices</w:t>
      </w:r>
      <w:bookmarkEnd w:id="22"/>
    </w:p>
    <w:p w14:paraId="297B93CF" w14:textId="77777777" w:rsidR="00AB056B" w:rsidRPr="00E138ED" w:rsidRDefault="008F0BA2">
      <w:pPr>
        <w:numPr>
          <w:ilvl w:val="0"/>
          <w:numId w:val="5"/>
        </w:numPr>
        <w:spacing w:before="240" w:after="0"/>
        <w:jc w:val="left"/>
        <w:rPr>
          <w:rFonts w:ascii="Arial" w:hAnsi="Arial" w:cs="Arial"/>
        </w:rPr>
      </w:pPr>
      <w:r w:rsidRPr="00E138ED">
        <w:rPr>
          <w:rFonts w:ascii="Arial" w:hAnsi="Arial" w:cs="Arial"/>
          <w:b/>
        </w:rPr>
        <w:t>Expansion into Emerging Markets:</w:t>
      </w:r>
    </w:p>
    <w:p w14:paraId="297B93D0" w14:textId="77777777" w:rsidR="00AB056B" w:rsidRPr="00E138ED" w:rsidRDefault="008F0BA2">
      <w:pPr>
        <w:numPr>
          <w:ilvl w:val="1"/>
          <w:numId w:val="5"/>
        </w:numPr>
        <w:rPr>
          <w:rFonts w:ascii="Arial" w:hAnsi="Arial" w:cs="Arial"/>
        </w:rPr>
      </w:pPr>
      <w:r w:rsidRPr="00E138ED">
        <w:rPr>
          <w:rFonts w:ascii="Arial" w:hAnsi="Arial" w:cs="Arial"/>
          <w:b/>
          <w:i/>
        </w:rPr>
        <w:t xml:space="preserve">Opportunity: </w:t>
      </w:r>
      <w:r w:rsidRPr="00E138ED">
        <w:rPr>
          <w:rFonts w:ascii="Arial" w:hAnsi="Arial" w:cs="Arial"/>
        </w:rPr>
        <w:t>New emerging markets in particular, Asian and African continents present an enormous opportunity for growth in light of rising energy demands and economic development. BP will increase its presence in these geographies to capture new customer bases and market share (Sun and Lei, 2021).</w:t>
      </w:r>
    </w:p>
    <w:p w14:paraId="297B93D1" w14:textId="77777777" w:rsidR="00AB056B" w:rsidRPr="00E138ED" w:rsidRDefault="008F0BA2">
      <w:pPr>
        <w:numPr>
          <w:ilvl w:val="1"/>
          <w:numId w:val="5"/>
        </w:numPr>
        <w:rPr>
          <w:rFonts w:ascii="Arial" w:hAnsi="Arial" w:cs="Arial"/>
        </w:rPr>
      </w:pPr>
      <w:r w:rsidRPr="00E138ED">
        <w:rPr>
          <w:rFonts w:ascii="Arial" w:hAnsi="Arial" w:cs="Arial"/>
          <w:b/>
          <w:i/>
        </w:rPr>
        <w:t xml:space="preserve">Risk: </w:t>
      </w:r>
      <w:r w:rsidRPr="00E138ED">
        <w:rPr>
          <w:rFonts w:ascii="Arial" w:hAnsi="Arial" w:cs="Arial"/>
        </w:rPr>
        <w:t>Instability in politics and uncertainties over regulations in certain emerging markets the company has entered may pose a potential threat. BP should, therefore, be wary of the risks and take measures for their mitigation through strategic partnerships and local expertise.</w:t>
      </w:r>
    </w:p>
    <w:p w14:paraId="297B93D2" w14:textId="77777777" w:rsidR="00AB056B" w:rsidRPr="00E138ED" w:rsidRDefault="008F0BA2">
      <w:pPr>
        <w:numPr>
          <w:ilvl w:val="0"/>
          <w:numId w:val="5"/>
        </w:numPr>
        <w:spacing w:after="0"/>
        <w:jc w:val="left"/>
        <w:rPr>
          <w:rFonts w:ascii="Arial" w:hAnsi="Arial" w:cs="Arial"/>
        </w:rPr>
      </w:pPr>
      <w:r w:rsidRPr="00E138ED">
        <w:rPr>
          <w:rFonts w:ascii="Arial" w:hAnsi="Arial" w:cs="Arial"/>
          <w:b/>
        </w:rPr>
        <w:t>Increased Investment in Renewable Technologies:</w:t>
      </w:r>
    </w:p>
    <w:p w14:paraId="297B93D3" w14:textId="77777777" w:rsidR="00AB056B" w:rsidRPr="00E138ED" w:rsidRDefault="008F0BA2">
      <w:pPr>
        <w:numPr>
          <w:ilvl w:val="1"/>
          <w:numId w:val="5"/>
        </w:numPr>
        <w:rPr>
          <w:rFonts w:ascii="Arial" w:hAnsi="Arial" w:cs="Arial"/>
        </w:rPr>
      </w:pPr>
      <w:r w:rsidRPr="00E138ED">
        <w:rPr>
          <w:rFonts w:ascii="Arial" w:hAnsi="Arial" w:cs="Arial"/>
          <w:b/>
          <w:i/>
        </w:rPr>
        <w:t>Opportunity:</w:t>
      </w:r>
      <w:r w:rsidRPr="00E138ED">
        <w:rPr>
          <w:rFonts w:ascii="Arial" w:hAnsi="Arial" w:cs="Arial"/>
        </w:rPr>
        <w:t xml:space="preserve"> Increasing investments in next-generation renewable technologies in hydrogen and solar panels puts a company at the forefront of global decarbonization trends and underlines BP's strong positioning with leading platform technologies (Lin, 2021).</w:t>
      </w:r>
    </w:p>
    <w:p w14:paraId="297B93D4" w14:textId="77777777" w:rsidR="00AB056B" w:rsidRPr="00E138ED" w:rsidRDefault="008F0BA2">
      <w:pPr>
        <w:numPr>
          <w:ilvl w:val="1"/>
          <w:numId w:val="5"/>
        </w:numPr>
        <w:rPr>
          <w:rFonts w:ascii="Arial" w:hAnsi="Arial" w:cs="Arial"/>
        </w:rPr>
      </w:pPr>
      <w:r w:rsidRPr="00E138ED">
        <w:rPr>
          <w:rFonts w:ascii="Arial" w:hAnsi="Arial" w:cs="Arial"/>
          <w:b/>
          <w:i/>
        </w:rPr>
        <w:t xml:space="preserve">Risk: </w:t>
      </w:r>
      <w:r w:rsidRPr="00E138ED">
        <w:rPr>
          <w:rFonts w:ascii="Arial" w:hAnsi="Arial" w:cs="Arial"/>
        </w:rPr>
        <w:t>High initial investments and technological uncertainties are major risks. These can be reduced, however, through strategic cooperation with technology providers and research institutions.</w:t>
      </w:r>
    </w:p>
    <w:p w14:paraId="297B93D5" w14:textId="77777777" w:rsidR="00AB056B" w:rsidRPr="00E138ED" w:rsidRDefault="008F0BA2">
      <w:pPr>
        <w:numPr>
          <w:ilvl w:val="0"/>
          <w:numId w:val="5"/>
        </w:numPr>
        <w:spacing w:after="0"/>
        <w:jc w:val="left"/>
        <w:rPr>
          <w:rFonts w:ascii="Arial" w:hAnsi="Arial" w:cs="Arial"/>
        </w:rPr>
      </w:pPr>
      <w:r w:rsidRPr="00E138ED">
        <w:rPr>
          <w:rFonts w:ascii="Arial" w:hAnsi="Arial" w:cs="Arial"/>
          <w:b/>
        </w:rPr>
        <w:t>Digital Transformation and Innovation:</w:t>
      </w:r>
    </w:p>
    <w:p w14:paraId="297B93D6" w14:textId="243D9572" w:rsidR="00AB056B" w:rsidRPr="00E138ED" w:rsidRDefault="008F0BA2">
      <w:pPr>
        <w:numPr>
          <w:ilvl w:val="1"/>
          <w:numId w:val="5"/>
        </w:numPr>
        <w:rPr>
          <w:rFonts w:ascii="Arial" w:hAnsi="Arial" w:cs="Arial"/>
        </w:rPr>
      </w:pPr>
      <w:r w:rsidRPr="00E138ED">
        <w:rPr>
          <w:rFonts w:ascii="Arial" w:hAnsi="Arial" w:cs="Arial"/>
          <w:b/>
          <w:i/>
        </w:rPr>
        <w:t xml:space="preserve">Opportunity: </w:t>
      </w:r>
      <w:r w:rsidRPr="00E138ED">
        <w:rPr>
          <w:rFonts w:ascii="Arial" w:hAnsi="Arial" w:cs="Arial"/>
        </w:rPr>
        <w:t xml:space="preserve">Through the use of digital technologies like blockchain for supply chain transparency and increased AI for predictive upkeep it enables organizations to use operational proficiency for new business models (Grillo </w:t>
      </w:r>
      <w:r w:rsidRPr="00E138ED">
        <w:rPr>
          <w:rFonts w:ascii="Arial" w:hAnsi="Arial" w:cs="Arial"/>
          <w:i/>
          <w:iCs/>
        </w:rPr>
        <w:t>et al.,</w:t>
      </w:r>
      <w:r w:rsidRPr="00E138ED">
        <w:rPr>
          <w:rFonts w:ascii="Arial" w:hAnsi="Arial" w:cs="Arial"/>
        </w:rPr>
        <w:t xml:space="preserve"> 2021).</w:t>
      </w:r>
    </w:p>
    <w:p w14:paraId="297B93D7" w14:textId="77777777" w:rsidR="00AB056B" w:rsidRPr="00E138ED" w:rsidRDefault="008F0BA2">
      <w:pPr>
        <w:numPr>
          <w:ilvl w:val="1"/>
          <w:numId w:val="5"/>
        </w:numPr>
        <w:rPr>
          <w:rFonts w:ascii="Arial" w:hAnsi="Arial" w:cs="Arial"/>
        </w:rPr>
      </w:pPr>
      <w:r w:rsidRPr="00E138ED">
        <w:rPr>
          <w:rFonts w:ascii="Arial" w:hAnsi="Arial" w:cs="Arial"/>
          <w:b/>
          <w:i/>
        </w:rPr>
        <w:t>Risk:</w:t>
      </w:r>
      <w:r w:rsidRPr="00E138ED">
        <w:rPr>
          <w:rFonts w:ascii="Arial" w:hAnsi="Arial" w:cs="Arial"/>
        </w:rPr>
        <w:t xml:space="preserve"> There is risk at both ends, given the rapidity at which technological changes will come, and the cybersecurity threats associated with these </w:t>
      </w:r>
      <w:r w:rsidRPr="00E138ED">
        <w:rPr>
          <w:rFonts w:ascii="Arial" w:hAnsi="Arial" w:cs="Arial"/>
        </w:rPr>
        <w:lastRenderedPageBreak/>
        <w:t>technologies. BP ought to be investing in strong cybersecurity measures and agile technology adoption strategies.</w:t>
      </w:r>
    </w:p>
    <w:p w14:paraId="297B93D8" w14:textId="77777777" w:rsidR="00AB056B" w:rsidRPr="00E138ED" w:rsidRDefault="008F0BA2">
      <w:pPr>
        <w:numPr>
          <w:ilvl w:val="0"/>
          <w:numId w:val="5"/>
        </w:numPr>
        <w:spacing w:after="0"/>
        <w:jc w:val="left"/>
        <w:rPr>
          <w:rFonts w:ascii="Arial" w:hAnsi="Arial" w:cs="Arial"/>
        </w:rPr>
      </w:pPr>
      <w:r w:rsidRPr="00E138ED">
        <w:rPr>
          <w:rFonts w:ascii="Arial" w:hAnsi="Arial" w:cs="Arial"/>
          <w:b/>
        </w:rPr>
        <w:t>Diversification into Energy Storage Solutions:</w:t>
      </w:r>
    </w:p>
    <w:p w14:paraId="297B93D9" w14:textId="77777777" w:rsidR="00AB056B" w:rsidRPr="00E138ED" w:rsidRDefault="008F0BA2">
      <w:pPr>
        <w:numPr>
          <w:ilvl w:val="1"/>
          <w:numId w:val="5"/>
        </w:numPr>
        <w:rPr>
          <w:rFonts w:ascii="Arial" w:hAnsi="Arial" w:cs="Arial"/>
        </w:rPr>
      </w:pPr>
      <w:r w:rsidRPr="00E138ED">
        <w:rPr>
          <w:rFonts w:ascii="Arial" w:hAnsi="Arial" w:cs="Arial"/>
          <w:b/>
          <w:i/>
        </w:rPr>
        <w:t xml:space="preserve">Opportunity: </w:t>
      </w:r>
      <w:r w:rsidRPr="00E138ED">
        <w:rPr>
          <w:rFonts w:ascii="Arial" w:hAnsi="Arial" w:cs="Arial"/>
        </w:rPr>
        <w:t>As more and more renewable sources of energy are being harnessed, the need to store all that energy effectively will also increase (Mihelcic and Zimmerman, 2021). In developing or acquiring energy storage technologies that are advanced, a competitive edge in running a business not only gets derived but also ensures the reliability of the energy.</w:t>
      </w:r>
    </w:p>
    <w:p w14:paraId="297B93DA" w14:textId="77777777" w:rsidR="00AB056B" w:rsidRPr="00E138ED" w:rsidRDefault="008F0BA2">
      <w:pPr>
        <w:numPr>
          <w:ilvl w:val="1"/>
          <w:numId w:val="5"/>
        </w:numPr>
        <w:rPr>
          <w:rFonts w:ascii="Arial" w:hAnsi="Arial" w:cs="Arial"/>
        </w:rPr>
      </w:pPr>
      <w:r w:rsidRPr="00E138ED">
        <w:rPr>
          <w:rFonts w:ascii="Arial" w:hAnsi="Arial" w:cs="Arial"/>
          <w:b/>
          <w:i/>
        </w:rPr>
        <w:t xml:space="preserve">Risk: </w:t>
      </w:r>
      <w:r w:rsidRPr="00E138ED">
        <w:rPr>
          <w:rFonts w:ascii="Arial" w:hAnsi="Arial" w:cs="Arial"/>
        </w:rPr>
        <w:t>Operate in a very competitive energy storage market with huge investments in research and development. Strategic partnerships or acquisitions can be executed to mitigate the risk.</w:t>
      </w:r>
    </w:p>
    <w:p w14:paraId="297B93DB" w14:textId="77777777" w:rsidR="00AB056B" w:rsidRPr="00515900" w:rsidRDefault="008F0BA2" w:rsidP="00515900">
      <w:pPr>
        <w:pStyle w:val="Heading2"/>
        <w:rPr>
          <w:rFonts w:ascii="Arial" w:hAnsi="Arial" w:cs="Arial"/>
          <w:sz w:val="28"/>
          <w:szCs w:val="28"/>
        </w:rPr>
      </w:pPr>
      <w:bookmarkStart w:id="23" w:name="_Toc175345309"/>
      <w:r w:rsidRPr="00F378E5">
        <w:rPr>
          <w:rFonts w:ascii="Arial" w:hAnsi="Arial" w:cs="Arial"/>
          <w:sz w:val="28"/>
          <w:szCs w:val="28"/>
        </w:rPr>
        <w:t>Recommendations for Sustainability Practices</w:t>
      </w:r>
      <w:bookmarkEnd w:id="23"/>
    </w:p>
    <w:p w14:paraId="297B93DC" w14:textId="77777777" w:rsidR="00AB056B" w:rsidRPr="00E138ED" w:rsidRDefault="008F0BA2">
      <w:pPr>
        <w:numPr>
          <w:ilvl w:val="0"/>
          <w:numId w:val="4"/>
        </w:numPr>
        <w:spacing w:before="240" w:after="0"/>
        <w:jc w:val="left"/>
        <w:rPr>
          <w:rFonts w:ascii="Arial" w:hAnsi="Arial" w:cs="Arial"/>
        </w:rPr>
      </w:pPr>
      <w:r w:rsidRPr="00E138ED">
        <w:rPr>
          <w:rFonts w:ascii="Arial" w:hAnsi="Arial" w:cs="Arial"/>
          <w:b/>
        </w:rPr>
        <w:t>Enhance Renewable Energy Investment:</w:t>
      </w:r>
    </w:p>
    <w:p w14:paraId="297B93DD" w14:textId="781F9515" w:rsidR="00AB056B" w:rsidRPr="00E138ED" w:rsidRDefault="008F0BA2">
      <w:pPr>
        <w:numPr>
          <w:ilvl w:val="1"/>
          <w:numId w:val="4"/>
        </w:numPr>
        <w:rPr>
          <w:rFonts w:ascii="Arial" w:hAnsi="Arial" w:cs="Arial"/>
        </w:rPr>
      </w:pPr>
      <w:r w:rsidRPr="00E138ED">
        <w:rPr>
          <w:rFonts w:ascii="Arial" w:hAnsi="Arial" w:cs="Arial"/>
          <w:b/>
          <w:i/>
        </w:rPr>
        <w:t xml:space="preserve">Recommendation: </w:t>
      </w:r>
      <w:r w:rsidRPr="00E138ED">
        <w:rPr>
          <w:rFonts w:ascii="Arial" w:hAnsi="Arial" w:cs="Arial"/>
        </w:rPr>
        <w:t xml:space="preserve">Ramp up investment in a diversified portfolio of wind, solar, and hydrogen from renewable energy sources (Danso </w:t>
      </w:r>
      <w:r w:rsidRPr="00E138ED">
        <w:rPr>
          <w:rFonts w:ascii="Arial" w:hAnsi="Arial" w:cs="Arial"/>
          <w:i/>
          <w:iCs/>
        </w:rPr>
        <w:t>et al.,</w:t>
      </w:r>
      <w:r w:rsidRPr="00E138ED">
        <w:rPr>
          <w:rFonts w:ascii="Arial" w:hAnsi="Arial" w:cs="Arial"/>
        </w:rPr>
        <w:t xml:space="preserve"> 2020). Target the scaling up of projects with both development and environmental benefits.</w:t>
      </w:r>
    </w:p>
    <w:p w14:paraId="297B93DE" w14:textId="77777777" w:rsidR="00AB056B" w:rsidRPr="00E138ED" w:rsidRDefault="008F0BA2">
      <w:pPr>
        <w:numPr>
          <w:ilvl w:val="1"/>
          <w:numId w:val="4"/>
        </w:numPr>
        <w:rPr>
          <w:rFonts w:ascii="Arial" w:hAnsi="Arial" w:cs="Arial"/>
        </w:rPr>
      </w:pPr>
      <w:r w:rsidRPr="00E138ED">
        <w:rPr>
          <w:rFonts w:ascii="Arial" w:hAnsi="Arial" w:cs="Arial"/>
          <w:b/>
          <w:i/>
        </w:rPr>
        <w:t>Contribution to Competitive Advantage:</w:t>
      </w:r>
      <w:r w:rsidRPr="00E138ED">
        <w:rPr>
          <w:rFonts w:ascii="Arial" w:hAnsi="Arial" w:cs="Arial"/>
        </w:rPr>
        <w:t xml:space="preserve"> Diversifying renewable energy investments will raise BP's market reputation as a leader in sustainable energy companies, help attract environmentally sensitive investors, and meet regulatory requirements for reductions in emissions.</w:t>
      </w:r>
    </w:p>
    <w:p w14:paraId="297B93DF" w14:textId="77777777" w:rsidR="00AB056B" w:rsidRPr="00E138ED" w:rsidRDefault="008F0BA2">
      <w:pPr>
        <w:numPr>
          <w:ilvl w:val="0"/>
          <w:numId w:val="4"/>
        </w:numPr>
        <w:spacing w:after="0"/>
        <w:jc w:val="left"/>
        <w:rPr>
          <w:rFonts w:ascii="Arial" w:hAnsi="Arial" w:cs="Arial"/>
        </w:rPr>
      </w:pPr>
      <w:r w:rsidRPr="00E138ED">
        <w:rPr>
          <w:rFonts w:ascii="Arial" w:hAnsi="Arial" w:cs="Arial"/>
          <w:b/>
        </w:rPr>
        <w:t>Develop and Implement Advanced Carbon Capture Technologies:</w:t>
      </w:r>
    </w:p>
    <w:p w14:paraId="297B93E0" w14:textId="20780099" w:rsidR="00AB056B" w:rsidRPr="00E138ED" w:rsidRDefault="008F0BA2">
      <w:pPr>
        <w:numPr>
          <w:ilvl w:val="1"/>
          <w:numId w:val="4"/>
        </w:numPr>
        <w:rPr>
          <w:rFonts w:ascii="Arial" w:hAnsi="Arial" w:cs="Arial"/>
        </w:rPr>
      </w:pPr>
      <w:r w:rsidRPr="00E138ED">
        <w:rPr>
          <w:rFonts w:ascii="Arial" w:hAnsi="Arial" w:cs="Arial"/>
          <w:b/>
          <w:i/>
        </w:rPr>
        <w:t xml:space="preserve">Recommendation: </w:t>
      </w:r>
      <w:r w:rsidRPr="00E138ED">
        <w:rPr>
          <w:rFonts w:ascii="Arial" w:hAnsi="Arial" w:cs="Arial"/>
        </w:rPr>
        <w:t xml:space="preserve">Fund research and development into innovative carbon capture and storage technologies. Partner with academia and technology companies to hasten the pace of innovation in this area (Appio </w:t>
      </w:r>
      <w:r w:rsidRPr="00E138ED">
        <w:rPr>
          <w:rFonts w:ascii="Arial" w:hAnsi="Arial" w:cs="Arial"/>
          <w:i/>
          <w:iCs/>
        </w:rPr>
        <w:t>et al.,</w:t>
      </w:r>
      <w:r w:rsidRPr="00E138ED">
        <w:rPr>
          <w:rFonts w:ascii="Arial" w:hAnsi="Arial" w:cs="Arial"/>
        </w:rPr>
        <w:t xml:space="preserve"> 2021).</w:t>
      </w:r>
    </w:p>
    <w:p w14:paraId="297B93E1" w14:textId="77777777" w:rsidR="00AB056B" w:rsidRPr="00E138ED" w:rsidRDefault="008F0BA2">
      <w:pPr>
        <w:numPr>
          <w:ilvl w:val="1"/>
          <w:numId w:val="4"/>
        </w:numPr>
        <w:rPr>
          <w:rFonts w:ascii="Arial" w:hAnsi="Arial" w:cs="Arial"/>
        </w:rPr>
      </w:pPr>
      <w:r w:rsidRPr="00E138ED">
        <w:rPr>
          <w:rFonts w:ascii="Arial" w:hAnsi="Arial" w:cs="Arial"/>
          <w:b/>
          <w:i/>
        </w:rPr>
        <w:t xml:space="preserve">Contribution to Competitive Advantage: </w:t>
      </w:r>
      <w:r w:rsidRPr="00E138ED">
        <w:rPr>
          <w:rFonts w:ascii="Arial" w:hAnsi="Arial" w:cs="Arial"/>
        </w:rPr>
        <w:t xml:space="preserve">Effective CCS technologies will reduce BP's carbon footprint and be of benefit to its sustainability </w:t>
      </w:r>
      <w:r w:rsidRPr="00E138ED">
        <w:rPr>
          <w:rFonts w:ascii="Arial" w:hAnsi="Arial" w:cs="Arial"/>
        </w:rPr>
        <w:lastRenderedPageBreak/>
        <w:t>credentials. This can open access to new revenue streams from carbon credits and compliance with global carbon reduction targets.</w:t>
      </w:r>
    </w:p>
    <w:p w14:paraId="297B93E2" w14:textId="77777777" w:rsidR="00AB056B" w:rsidRPr="00E138ED" w:rsidRDefault="008F0BA2">
      <w:pPr>
        <w:numPr>
          <w:ilvl w:val="0"/>
          <w:numId w:val="4"/>
        </w:numPr>
        <w:spacing w:after="0"/>
        <w:jc w:val="left"/>
        <w:rPr>
          <w:rFonts w:ascii="Arial" w:hAnsi="Arial" w:cs="Arial"/>
        </w:rPr>
      </w:pPr>
      <w:r w:rsidRPr="00E138ED">
        <w:rPr>
          <w:rFonts w:ascii="Arial" w:hAnsi="Arial" w:cs="Arial"/>
          <w:b/>
        </w:rPr>
        <w:t>Adopt Circular Economy Practices:</w:t>
      </w:r>
    </w:p>
    <w:p w14:paraId="297B93E3" w14:textId="57244DDC" w:rsidR="00AB056B" w:rsidRPr="00E138ED" w:rsidRDefault="008F0BA2">
      <w:pPr>
        <w:numPr>
          <w:ilvl w:val="1"/>
          <w:numId w:val="4"/>
        </w:numPr>
        <w:rPr>
          <w:rFonts w:ascii="Arial" w:hAnsi="Arial" w:cs="Arial"/>
        </w:rPr>
      </w:pPr>
      <w:r w:rsidRPr="00E138ED">
        <w:rPr>
          <w:rFonts w:ascii="Arial" w:hAnsi="Arial" w:cs="Arial"/>
          <w:b/>
          <w:i/>
        </w:rPr>
        <w:t>Recommendation:</w:t>
      </w:r>
      <w:r w:rsidRPr="00E138ED">
        <w:rPr>
          <w:rFonts w:ascii="Arial" w:hAnsi="Arial" w:cs="Arial"/>
        </w:rPr>
        <w:t xml:space="preserve"> Circular Economy in BP Operations: Reducing wastes, enhancing resource efficiency, and increasing recycling (Drechsler </w:t>
      </w:r>
      <w:r w:rsidRPr="00E138ED">
        <w:rPr>
          <w:rFonts w:ascii="Arial" w:hAnsi="Arial" w:cs="Arial"/>
          <w:i/>
          <w:iCs/>
        </w:rPr>
        <w:t>et al.,</w:t>
      </w:r>
      <w:r w:rsidRPr="00E138ED">
        <w:rPr>
          <w:rFonts w:ascii="Arial" w:hAnsi="Arial" w:cs="Arial"/>
        </w:rPr>
        <w:t xml:space="preserve"> 2020). Development of procedures that allow the reuse of materials while reducing waste in energy production and refining.</w:t>
      </w:r>
    </w:p>
    <w:p w14:paraId="297B93E4" w14:textId="77777777" w:rsidR="00AB056B" w:rsidRPr="00E138ED" w:rsidRDefault="008F0BA2">
      <w:pPr>
        <w:numPr>
          <w:ilvl w:val="1"/>
          <w:numId w:val="4"/>
        </w:numPr>
        <w:rPr>
          <w:rFonts w:ascii="Arial" w:hAnsi="Arial" w:cs="Arial"/>
        </w:rPr>
      </w:pPr>
      <w:r w:rsidRPr="00E138ED">
        <w:rPr>
          <w:rFonts w:ascii="Arial" w:hAnsi="Arial" w:cs="Arial"/>
          <w:b/>
          <w:i/>
        </w:rPr>
        <w:t>Contribution to Competitive Advantage:</w:t>
      </w:r>
      <w:r w:rsidRPr="00E138ED">
        <w:rPr>
          <w:rFonts w:ascii="Arial" w:hAnsi="Arial" w:cs="Arial"/>
        </w:rPr>
        <w:t xml:space="preserve"> Circular economy practices will improve the environmental impact of BP, lower the operational costs associated with waste management, and enhance its reputation as a sustainable business.</w:t>
      </w:r>
    </w:p>
    <w:p w14:paraId="297B93E5" w14:textId="77777777" w:rsidR="00AB056B" w:rsidRPr="00E138ED" w:rsidRDefault="008F0BA2">
      <w:pPr>
        <w:numPr>
          <w:ilvl w:val="0"/>
          <w:numId w:val="4"/>
        </w:numPr>
        <w:spacing w:after="0"/>
        <w:jc w:val="left"/>
        <w:rPr>
          <w:rFonts w:ascii="Arial" w:hAnsi="Arial" w:cs="Arial"/>
        </w:rPr>
      </w:pPr>
      <w:r w:rsidRPr="00E138ED">
        <w:rPr>
          <w:rFonts w:ascii="Arial" w:hAnsi="Arial" w:cs="Arial"/>
          <w:b/>
        </w:rPr>
        <w:t>Strengthen Environmental Reporting and Transparency:</w:t>
      </w:r>
    </w:p>
    <w:p w14:paraId="297B93E6" w14:textId="77A0B94C" w:rsidR="00AB056B" w:rsidRPr="00E138ED" w:rsidRDefault="008F0BA2">
      <w:pPr>
        <w:numPr>
          <w:ilvl w:val="1"/>
          <w:numId w:val="4"/>
        </w:numPr>
        <w:rPr>
          <w:rFonts w:ascii="Arial" w:hAnsi="Arial" w:cs="Arial"/>
        </w:rPr>
      </w:pPr>
      <w:r w:rsidRPr="00E138ED">
        <w:rPr>
          <w:rFonts w:ascii="Arial" w:hAnsi="Arial" w:cs="Arial"/>
          <w:b/>
          <w:i/>
        </w:rPr>
        <w:t xml:space="preserve">Recommendation: </w:t>
      </w:r>
      <w:r w:rsidRPr="00E138ED">
        <w:rPr>
          <w:rFonts w:ascii="Arial" w:hAnsi="Arial" w:cs="Arial"/>
        </w:rPr>
        <w:t xml:space="preserve">Enhance transparency of environmental reporting by applying good practices for sustainability disclosure with globally applied reporting standards, such as the Global Reporting Initiative and Task Force on Climate-related Financial Disclosures (Wen </w:t>
      </w:r>
      <w:r w:rsidRPr="00E138ED">
        <w:rPr>
          <w:rFonts w:ascii="Arial" w:hAnsi="Arial" w:cs="Arial"/>
          <w:i/>
          <w:iCs/>
        </w:rPr>
        <w:t>et al.,</w:t>
      </w:r>
      <w:r w:rsidRPr="00E138ED">
        <w:rPr>
          <w:rFonts w:ascii="Arial" w:hAnsi="Arial" w:cs="Arial"/>
        </w:rPr>
        <w:t xml:space="preserve"> 2022).</w:t>
      </w:r>
    </w:p>
    <w:p w14:paraId="297B93E7" w14:textId="2B5599C8" w:rsidR="00AB056B" w:rsidRPr="00E138ED" w:rsidRDefault="008F0BA2">
      <w:pPr>
        <w:numPr>
          <w:ilvl w:val="1"/>
          <w:numId w:val="4"/>
        </w:numPr>
        <w:rPr>
          <w:rFonts w:ascii="Arial" w:hAnsi="Arial" w:cs="Arial"/>
        </w:rPr>
      </w:pPr>
      <w:r w:rsidRPr="00E138ED">
        <w:rPr>
          <w:rFonts w:ascii="Arial" w:hAnsi="Arial" w:cs="Arial"/>
          <w:b/>
          <w:i/>
        </w:rPr>
        <w:t>Contribution to Competitive Advantage:</w:t>
      </w:r>
      <w:r w:rsidRPr="00E138ED">
        <w:rPr>
          <w:rFonts w:ascii="Arial" w:hAnsi="Arial" w:cs="Arial"/>
        </w:rPr>
        <w:t xml:space="preserve"> Improved transparency will build stakeholder trust in demonstrating BP's long-standing commitment to sustainability, better positioning the company with investors and regulators who put a premium on environmental responsibility (Wilberforce </w:t>
      </w:r>
      <w:r w:rsidRPr="00E138ED">
        <w:rPr>
          <w:rFonts w:ascii="Arial" w:hAnsi="Arial" w:cs="Arial"/>
          <w:i/>
          <w:iCs/>
        </w:rPr>
        <w:t>et al.,</w:t>
      </w:r>
      <w:r w:rsidRPr="00E138ED">
        <w:rPr>
          <w:rFonts w:ascii="Arial" w:hAnsi="Arial" w:cs="Arial"/>
        </w:rPr>
        <w:t xml:space="preserve"> 2021).</w:t>
      </w:r>
    </w:p>
    <w:p w14:paraId="297B93E8" w14:textId="77777777" w:rsidR="00AB056B" w:rsidRPr="00BD4BDD" w:rsidRDefault="008F0BA2" w:rsidP="00515900">
      <w:pPr>
        <w:pStyle w:val="Heading1"/>
        <w:rPr>
          <w:rFonts w:ascii="Arial" w:hAnsi="Arial" w:cs="Arial"/>
          <w:sz w:val="32"/>
          <w:szCs w:val="32"/>
        </w:rPr>
      </w:pPr>
      <w:bookmarkStart w:id="24" w:name="_nezehrp60z2f" w:colFirst="0" w:colLast="0"/>
      <w:bookmarkStart w:id="25" w:name="_Toc175345310"/>
      <w:bookmarkEnd w:id="24"/>
      <w:r w:rsidRPr="00BD4BDD">
        <w:rPr>
          <w:rFonts w:ascii="Arial" w:hAnsi="Arial" w:cs="Arial"/>
          <w:sz w:val="32"/>
          <w:szCs w:val="32"/>
        </w:rPr>
        <w:t>Conclusion</w:t>
      </w:r>
      <w:bookmarkEnd w:id="25"/>
    </w:p>
    <w:p w14:paraId="297B93E9" w14:textId="453B09E1" w:rsidR="00AB056B" w:rsidRPr="00E138ED" w:rsidRDefault="008F0BA2">
      <w:pPr>
        <w:rPr>
          <w:rFonts w:ascii="Arial" w:hAnsi="Arial" w:cs="Arial"/>
        </w:rPr>
      </w:pPr>
      <w:r w:rsidRPr="00E138ED">
        <w:rPr>
          <w:rFonts w:ascii="Arial" w:hAnsi="Arial" w:cs="Arial"/>
        </w:rPr>
        <w:t xml:space="preserve">This is evidenced by its strong financial performance and enhanced market position because the corporate and business strategies adopted by BP Plc have been successfully implemented. Increasing its focus on renewable energy and technological capability strengthens its competitive advantages. With huge investments and the best sustainability practices, BP supports global environmental goals and creates for itself a leading position in the transition to greener forms of energy. In the future, BP needs to </w:t>
      </w:r>
      <w:r w:rsidRPr="00E138ED">
        <w:rPr>
          <w:rFonts w:ascii="Arial" w:hAnsi="Arial" w:cs="Arial"/>
        </w:rPr>
        <w:lastRenderedPageBreak/>
        <w:t xml:space="preserve">turn its strategy toward further penetration into emerging markets, advanced renewable technologies, and digital transformation. </w:t>
      </w:r>
      <w:r w:rsidR="00B72771" w:rsidRPr="00E138ED">
        <w:rPr>
          <w:rFonts w:ascii="Arial" w:hAnsi="Arial" w:cs="Arial"/>
          <w:color w:val="000000" w:themeColor="text1"/>
        </w:rPr>
        <w:t>Better environmental standards, combined with new sources of development, would go a long way toward establishing secure, long-term differentiation and competitiveness for BP in a changing energy landscape.</w:t>
      </w:r>
      <w:r w:rsidRPr="00E138ED">
        <w:rPr>
          <w:rFonts w:ascii="Arial" w:hAnsi="Arial" w:cs="Arial"/>
        </w:rPr>
        <w:br w:type="page"/>
      </w:r>
    </w:p>
    <w:p w14:paraId="297B93EA" w14:textId="77777777" w:rsidR="00AB056B" w:rsidRPr="00BD4BDD" w:rsidRDefault="008F0BA2" w:rsidP="00515900">
      <w:pPr>
        <w:pStyle w:val="Heading1"/>
        <w:rPr>
          <w:rFonts w:ascii="Arial" w:hAnsi="Arial" w:cs="Arial"/>
          <w:sz w:val="32"/>
          <w:szCs w:val="32"/>
        </w:rPr>
      </w:pPr>
      <w:bookmarkStart w:id="26" w:name="_bk3nbn5f9jui" w:colFirst="0" w:colLast="0"/>
      <w:bookmarkStart w:id="27" w:name="_Toc175345311"/>
      <w:bookmarkEnd w:id="26"/>
      <w:r w:rsidRPr="00BD4BDD">
        <w:rPr>
          <w:rFonts w:ascii="Arial" w:hAnsi="Arial" w:cs="Arial"/>
          <w:sz w:val="32"/>
          <w:szCs w:val="32"/>
        </w:rPr>
        <w:lastRenderedPageBreak/>
        <w:t>References</w:t>
      </w:r>
      <w:bookmarkEnd w:id="27"/>
    </w:p>
    <w:p w14:paraId="311085B5" w14:textId="77777777" w:rsidR="002A49B0" w:rsidRPr="00E138ED" w:rsidRDefault="002A49B0">
      <w:pPr>
        <w:spacing w:before="240" w:after="240"/>
        <w:rPr>
          <w:rFonts w:ascii="Arial" w:hAnsi="Arial" w:cs="Arial"/>
        </w:rPr>
      </w:pPr>
      <w:r w:rsidRPr="00E138ED">
        <w:rPr>
          <w:rFonts w:ascii="Arial" w:hAnsi="Arial" w:cs="Arial"/>
        </w:rPr>
        <w:t>AlAli, A., AlHammadi, A., AlMarzooqi, F., AlBlooshi, H., AlBlooshi, R. and AlMarzooqi, Z., Financial Analysis of British Petroleum PLC.</w:t>
      </w:r>
    </w:p>
    <w:p w14:paraId="61E63AB5" w14:textId="77777777" w:rsidR="002A49B0" w:rsidRPr="00E138ED" w:rsidRDefault="002A49B0">
      <w:pPr>
        <w:spacing w:before="240" w:after="240"/>
        <w:rPr>
          <w:rFonts w:ascii="Arial" w:hAnsi="Arial" w:cs="Arial"/>
        </w:rPr>
      </w:pPr>
      <w:r w:rsidRPr="00E138ED">
        <w:rPr>
          <w:rFonts w:ascii="Arial" w:hAnsi="Arial" w:cs="Arial"/>
        </w:rPr>
        <w:t xml:space="preserve">Anastasiu, L., Gavriş, O. and Maier, D., 2020. Is human capital ready for change? A strategic approach adapting Porter’s five forces to human resources. </w:t>
      </w:r>
      <w:r w:rsidRPr="00E138ED">
        <w:rPr>
          <w:rFonts w:ascii="Arial" w:hAnsi="Arial" w:cs="Arial"/>
          <w:i/>
        </w:rPr>
        <w:t>Sustainability</w:t>
      </w:r>
      <w:r w:rsidRPr="00E138ED">
        <w:rPr>
          <w:rFonts w:ascii="Arial" w:hAnsi="Arial" w:cs="Arial"/>
        </w:rPr>
        <w:t xml:space="preserve">, </w:t>
      </w:r>
      <w:r w:rsidRPr="00E138ED">
        <w:rPr>
          <w:rFonts w:ascii="Arial" w:hAnsi="Arial" w:cs="Arial"/>
          <w:i/>
        </w:rPr>
        <w:t>12</w:t>
      </w:r>
      <w:r w:rsidRPr="00E138ED">
        <w:rPr>
          <w:rFonts w:ascii="Arial" w:hAnsi="Arial" w:cs="Arial"/>
        </w:rPr>
        <w:t>(6), p.2300.</w:t>
      </w:r>
    </w:p>
    <w:p w14:paraId="5867164E" w14:textId="77777777" w:rsidR="002A49B0" w:rsidRPr="00E138ED" w:rsidRDefault="002A49B0">
      <w:pPr>
        <w:spacing w:before="240" w:after="240"/>
        <w:rPr>
          <w:rFonts w:ascii="Arial" w:hAnsi="Arial" w:cs="Arial"/>
        </w:rPr>
      </w:pPr>
      <w:r w:rsidRPr="00E138ED">
        <w:rPr>
          <w:rFonts w:ascii="Arial" w:hAnsi="Arial" w:cs="Arial"/>
        </w:rPr>
        <w:t xml:space="preserve">Appio, F.P., Frattini, F., Petruzzelli, A.M. and Neirotti, P., 2021. Digital transformation and innovation management: A synthesis of existing research and an agenda for future studies. </w:t>
      </w:r>
      <w:r w:rsidRPr="00E138ED">
        <w:rPr>
          <w:rFonts w:ascii="Arial" w:hAnsi="Arial" w:cs="Arial"/>
          <w:i/>
        </w:rPr>
        <w:t>Journal of Product Innovation Management</w:t>
      </w:r>
      <w:r w:rsidRPr="00E138ED">
        <w:rPr>
          <w:rFonts w:ascii="Arial" w:hAnsi="Arial" w:cs="Arial"/>
        </w:rPr>
        <w:t xml:space="preserve">, </w:t>
      </w:r>
      <w:r w:rsidRPr="00E138ED">
        <w:rPr>
          <w:rFonts w:ascii="Arial" w:hAnsi="Arial" w:cs="Arial"/>
          <w:i/>
        </w:rPr>
        <w:t>38</w:t>
      </w:r>
      <w:r w:rsidRPr="00E138ED">
        <w:rPr>
          <w:rFonts w:ascii="Arial" w:hAnsi="Arial" w:cs="Arial"/>
        </w:rPr>
        <w:t>(1), pp.4-20.</w:t>
      </w:r>
    </w:p>
    <w:p w14:paraId="05CFA567" w14:textId="77777777" w:rsidR="002A49B0" w:rsidRPr="00E138ED" w:rsidRDefault="002A49B0">
      <w:pPr>
        <w:spacing w:before="240" w:after="240"/>
        <w:rPr>
          <w:rFonts w:ascii="Arial" w:hAnsi="Arial" w:cs="Arial"/>
        </w:rPr>
      </w:pPr>
      <w:r w:rsidRPr="00E138ED">
        <w:rPr>
          <w:rFonts w:ascii="Arial" w:hAnsi="Arial" w:cs="Arial"/>
        </w:rPr>
        <w:t xml:space="preserve">Astawa, I.P.M., 2022, March. VRIO Model as a Framework for Developing Tourism Competitiveness. In </w:t>
      </w:r>
      <w:r w:rsidRPr="00E138ED">
        <w:rPr>
          <w:rFonts w:ascii="Arial" w:hAnsi="Arial" w:cs="Arial"/>
          <w:i/>
        </w:rPr>
        <w:t>International Conference on Applied Science and Technology on Social Science 2021 (iCAST-SS 2021)</w:t>
      </w:r>
      <w:r w:rsidRPr="00E138ED">
        <w:rPr>
          <w:rFonts w:ascii="Arial" w:hAnsi="Arial" w:cs="Arial"/>
        </w:rPr>
        <w:t xml:space="preserve"> (pp. 173-178). Atlantis Press.</w:t>
      </w:r>
    </w:p>
    <w:p w14:paraId="0A090596" w14:textId="77777777" w:rsidR="002A49B0" w:rsidRPr="00E138ED" w:rsidRDefault="002A49B0">
      <w:pPr>
        <w:spacing w:before="240" w:after="240"/>
        <w:rPr>
          <w:rFonts w:ascii="Arial" w:hAnsi="Arial" w:cs="Arial"/>
        </w:rPr>
      </w:pPr>
      <w:r w:rsidRPr="00E138ED">
        <w:rPr>
          <w:rFonts w:ascii="Arial" w:hAnsi="Arial" w:cs="Arial"/>
        </w:rPr>
        <w:t xml:space="preserve">Benzaghta, M.A., Elwalda, A., Mousa, M.M., Erkan, I. and Rahman, M., 2021. SWOT analysis applications: An integrative literature review. </w:t>
      </w:r>
      <w:r w:rsidRPr="00E138ED">
        <w:rPr>
          <w:rFonts w:ascii="Arial" w:hAnsi="Arial" w:cs="Arial"/>
          <w:i/>
        </w:rPr>
        <w:t>Journal of Global Business Insights</w:t>
      </w:r>
      <w:r w:rsidRPr="00E138ED">
        <w:rPr>
          <w:rFonts w:ascii="Arial" w:hAnsi="Arial" w:cs="Arial"/>
        </w:rPr>
        <w:t xml:space="preserve">, </w:t>
      </w:r>
      <w:r w:rsidRPr="00E138ED">
        <w:rPr>
          <w:rFonts w:ascii="Arial" w:hAnsi="Arial" w:cs="Arial"/>
          <w:i/>
        </w:rPr>
        <w:t>6</w:t>
      </w:r>
      <w:r w:rsidRPr="00E138ED">
        <w:rPr>
          <w:rFonts w:ascii="Arial" w:hAnsi="Arial" w:cs="Arial"/>
        </w:rPr>
        <w:t>(1), pp.54-72.</w:t>
      </w:r>
    </w:p>
    <w:p w14:paraId="17280291" w14:textId="77777777" w:rsidR="002A49B0" w:rsidRPr="00E138ED" w:rsidRDefault="002A49B0">
      <w:pPr>
        <w:spacing w:before="240" w:after="240"/>
        <w:rPr>
          <w:rFonts w:ascii="Arial" w:hAnsi="Arial" w:cs="Arial"/>
        </w:rPr>
      </w:pPr>
      <w:r w:rsidRPr="00E138ED">
        <w:rPr>
          <w:rFonts w:ascii="Arial" w:hAnsi="Arial" w:cs="Arial"/>
        </w:rPr>
        <w:t xml:space="preserve">Bp, 2024. </w:t>
      </w:r>
      <w:r w:rsidRPr="00E138ED">
        <w:rPr>
          <w:rFonts w:ascii="Arial" w:hAnsi="Arial" w:cs="Arial"/>
          <w:i/>
        </w:rPr>
        <w:t>Who we are | Home</w:t>
      </w:r>
      <w:r w:rsidRPr="00E138ED">
        <w:rPr>
          <w:rFonts w:ascii="Arial" w:hAnsi="Arial" w:cs="Arial"/>
        </w:rPr>
        <w:t>. Available at: https://www.bp.com/en/global/corporate/who-we-are.html [Accessed on: 27.07.2024]</w:t>
      </w:r>
    </w:p>
    <w:p w14:paraId="74F73B8E" w14:textId="77777777" w:rsidR="002A49B0" w:rsidRPr="00E138ED" w:rsidRDefault="002A49B0">
      <w:pPr>
        <w:spacing w:before="240" w:after="240"/>
        <w:rPr>
          <w:rFonts w:ascii="Arial" w:hAnsi="Arial" w:cs="Arial"/>
        </w:rPr>
      </w:pPr>
      <w:r w:rsidRPr="00E138ED">
        <w:rPr>
          <w:rFonts w:ascii="Arial" w:hAnsi="Arial" w:cs="Arial"/>
        </w:rPr>
        <w:t xml:space="preserve">Cloeter, R., 2020. The Extraterritorial Application of the Commodity Exchange Act in Prime International Trading, Ltd. v. BP PLC. </w:t>
      </w:r>
      <w:r w:rsidRPr="00E138ED">
        <w:rPr>
          <w:rFonts w:ascii="Arial" w:hAnsi="Arial" w:cs="Arial"/>
          <w:i/>
        </w:rPr>
        <w:t>Energy LJ</w:t>
      </w:r>
      <w:r w:rsidRPr="00E138ED">
        <w:rPr>
          <w:rFonts w:ascii="Arial" w:hAnsi="Arial" w:cs="Arial"/>
        </w:rPr>
        <w:t xml:space="preserve">, </w:t>
      </w:r>
      <w:r w:rsidRPr="00E138ED">
        <w:rPr>
          <w:rFonts w:ascii="Arial" w:hAnsi="Arial" w:cs="Arial"/>
          <w:i/>
        </w:rPr>
        <w:t>41</w:t>
      </w:r>
      <w:r w:rsidRPr="00E138ED">
        <w:rPr>
          <w:rFonts w:ascii="Arial" w:hAnsi="Arial" w:cs="Arial"/>
        </w:rPr>
        <w:t>, p.387.</w:t>
      </w:r>
    </w:p>
    <w:p w14:paraId="4BB4B058" w14:textId="77777777" w:rsidR="002A49B0" w:rsidRPr="00E138ED" w:rsidRDefault="002A49B0">
      <w:pPr>
        <w:spacing w:before="240" w:after="240"/>
        <w:rPr>
          <w:rFonts w:ascii="Arial" w:hAnsi="Arial" w:cs="Arial"/>
        </w:rPr>
      </w:pPr>
      <w:r w:rsidRPr="00E138ED">
        <w:rPr>
          <w:rFonts w:ascii="Arial" w:hAnsi="Arial" w:cs="Arial"/>
        </w:rPr>
        <w:t xml:space="preserve">Danso, A., Adomako, S., Lartey, T., Amankwah-Amoah, J. and Owusu-Yirenkyi, D., 2020. Stakeholder integration, environmental sustainability orientation and financial performance. </w:t>
      </w:r>
      <w:r w:rsidRPr="00E138ED">
        <w:rPr>
          <w:rFonts w:ascii="Arial" w:hAnsi="Arial" w:cs="Arial"/>
          <w:i/>
        </w:rPr>
        <w:t>Journal of business research</w:t>
      </w:r>
      <w:r w:rsidRPr="00E138ED">
        <w:rPr>
          <w:rFonts w:ascii="Arial" w:hAnsi="Arial" w:cs="Arial"/>
        </w:rPr>
        <w:t xml:space="preserve">, </w:t>
      </w:r>
      <w:r w:rsidRPr="00E138ED">
        <w:rPr>
          <w:rFonts w:ascii="Arial" w:hAnsi="Arial" w:cs="Arial"/>
          <w:i/>
        </w:rPr>
        <w:t>119</w:t>
      </w:r>
      <w:r w:rsidRPr="00E138ED">
        <w:rPr>
          <w:rFonts w:ascii="Arial" w:hAnsi="Arial" w:cs="Arial"/>
        </w:rPr>
        <w:t>, pp.652-662.</w:t>
      </w:r>
    </w:p>
    <w:p w14:paraId="6DDE0040" w14:textId="77777777" w:rsidR="002A49B0" w:rsidRPr="00E138ED" w:rsidRDefault="002A49B0">
      <w:pPr>
        <w:spacing w:before="240" w:after="240"/>
        <w:rPr>
          <w:rFonts w:ascii="Arial" w:hAnsi="Arial" w:cs="Arial"/>
        </w:rPr>
      </w:pPr>
      <w:r w:rsidRPr="00E138ED">
        <w:rPr>
          <w:rFonts w:ascii="Arial" w:hAnsi="Arial" w:cs="Arial"/>
        </w:rPr>
        <w:t xml:space="preserve">de Aro, E.R. and Perez, G., 2021. Identification of dynamic capabilities in open innovation. </w:t>
      </w:r>
      <w:r w:rsidRPr="00E138ED">
        <w:rPr>
          <w:rFonts w:ascii="Arial" w:hAnsi="Arial" w:cs="Arial"/>
          <w:i/>
        </w:rPr>
        <w:t>Innovation &amp; Management Review</w:t>
      </w:r>
      <w:r w:rsidRPr="00E138ED">
        <w:rPr>
          <w:rFonts w:ascii="Arial" w:hAnsi="Arial" w:cs="Arial"/>
        </w:rPr>
        <w:t xml:space="preserve">, </w:t>
      </w:r>
      <w:r w:rsidRPr="00E138ED">
        <w:rPr>
          <w:rFonts w:ascii="Arial" w:hAnsi="Arial" w:cs="Arial"/>
          <w:i/>
        </w:rPr>
        <w:t>18</w:t>
      </w:r>
      <w:r w:rsidRPr="00E138ED">
        <w:rPr>
          <w:rFonts w:ascii="Arial" w:hAnsi="Arial" w:cs="Arial"/>
        </w:rPr>
        <w:t>(2), pp.118-128.</w:t>
      </w:r>
    </w:p>
    <w:p w14:paraId="78BC80BF" w14:textId="77777777" w:rsidR="002A49B0" w:rsidRPr="00E138ED" w:rsidRDefault="002A49B0">
      <w:pPr>
        <w:spacing w:before="240" w:after="240"/>
        <w:rPr>
          <w:rFonts w:ascii="Arial" w:hAnsi="Arial" w:cs="Arial"/>
        </w:rPr>
      </w:pPr>
      <w:r w:rsidRPr="00E138ED">
        <w:rPr>
          <w:rFonts w:ascii="Arial" w:hAnsi="Arial" w:cs="Arial"/>
        </w:rPr>
        <w:lastRenderedPageBreak/>
        <w:t xml:space="preserve">de Sousa, G.C. and Castañeda-Ayarza, J.A., 2022. PESTEL analysis and the macro-environmental factors that influence the development of the electric and hybrid vehicles industry in Brazil. </w:t>
      </w:r>
      <w:r w:rsidRPr="00E138ED">
        <w:rPr>
          <w:rFonts w:ascii="Arial" w:hAnsi="Arial" w:cs="Arial"/>
          <w:i/>
        </w:rPr>
        <w:t>Case Studies on Transport Policy</w:t>
      </w:r>
      <w:r w:rsidRPr="00E138ED">
        <w:rPr>
          <w:rFonts w:ascii="Arial" w:hAnsi="Arial" w:cs="Arial"/>
        </w:rPr>
        <w:t xml:space="preserve">, </w:t>
      </w:r>
      <w:r w:rsidRPr="00E138ED">
        <w:rPr>
          <w:rFonts w:ascii="Arial" w:hAnsi="Arial" w:cs="Arial"/>
          <w:i/>
        </w:rPr>
        <w:t>10</w:t>
      </w:r>
      <w:r w:rsidRPr="00E138ED">
        <w:rPr>
          <w:rFonts w:ascii="Arial" w:hAnsi="Arial" w:cs="Arial"/>
        </w:rPr>
        <w:t>(1), pp.686-699.</w:t>
      </w:r>
    </w:p>
    <w:p w14:paraId="72A415FF" w14:textId="77777777" w:rsidR="002A49B0" w:rsidRPr="00E138ED" w:rsidRDefault="002A49B0">
      <w:pPr>
        <w:spacing w:before="240" w:after="240"/>
        <w:rPr>
          <w:rFonts w:ascii="Arial" w:hAnsi="Arial" w:cs="Arial"/>
        </w:rPr>
      </w:pPr>
      <w:r w:rsidRPr="00E138ED">
        <w:rPr>
          <w:rFonts w:ascii="Arial" w:hAnsi="Arial" w:cs="Arial"/>
        </w:rPr>
        <w:t xml:space="preserve">Dethine, B., Enjolras, M. and Monticolo, D., 2020. Digitalization and SMEs’ export management: Impacts on resources and capabilities. </w:t>
      </w:r>
      <w:r w:rsidRPr="00E138ED">
        <w:rPr>
          <w:rFonts w:ascii="Arial" w:hAnsi="Arial" w:cs="Arial"/>
          <w:i/>
        </w:rPr>
        <w:t>Technology Innovation Management Review</w:t>
      </w:r>
      <w:r w:rsidRPr="00E138ED">
        <w:rPr>
          <w:rFonts w:ascii="Arial" w:hAnsi="Arial" w:cs="Arial"/>
        </w:rPr>
        <w:t xml:space="preserve">, </w:t>
      </w:r>
      <w:r w:rsidRPr="00E138ED">
        <w:rPr>
          <w:rFonts w:ascii="Arial" w:hAnsi="Arial" w:cs="Arial"/>
          <w:i/>
        </w:rPr>
        <w:t>10</w:t>
      </w:r>
      <w:r w:rsidRPr="00E138ED">
        <w:rPr>
          <w:rFonts w:ascii="Arial" w:hAnsi="Arial" w:cs="Arial"/>
        </w:rPr>
        <w:t>(4).</w:t>
      </w:r>
    </w:p>
    <w:p w14:paraId="1BECC629" w14:textId="77777777" w:rsidR="002A49B0" w:rsidRPr="00E138ED" w:rsidRDefault="002A49B0">
      <w:pPr>
        <w:spacing w:before="240" w:after="240"/>
        <w:rPr>
          <w:rFonts w:ascii="Arial" w:hAnsi="Arial" w:cs="Arial"/>
        </w:rPr>
      </w:pPr>
      <w:r w:rsidRPr="00E138ED">
        <w:rPr>
          <w:rFonts w:ascii="Arial" w:hAnsi="Arial" w:cs="Arial"/>
        </w:rPr>
        <w:t xml:space="preserve">Dinçer, H., Yüksel, S. and Martínez, L., 2022. Collaboration enhanced hybrid fuzzy decision-making approach to analyze the renewable energy investment projects. </w:t>
      </w:r>
      <w:r w:rsidRPr="00E138ED">
        <w:rPr>
          <w:rFonts w:ascii="Arial" w:hAnsi="Arial" w:cs="Arial"/>
          <w:i/>
        </w:rPr>
        <w:t>Energy Reports</w:t>
      </w:r>
      <w:r w:rsidRPr="00E138ED">
        <w:rPr>
          <w:rFonts w:ascii="Arial" w:hAnsi="Arial" w:cs="Arial"/>
        </w:rPr>
        <w:t xml:space="preserve">, </w:t>
      </w:r>
      <w:r w:rsidRPr="00E138ED">
        <w:rPr>
          <w:rFonts w:ascii="Arial" w:hAnsi="Arial" w:cs="Arial"/>
          <w:i/>
        </w:rPr>
        <w:t>8</w:t>
      </w:r>
      <w:r w:rsidRPr="00E138ED">
        <w:rPr>
          <w:rFonts w:ascii="Arial" w:hAnsi="Arial" w:cs="Arial"/>
        </w:rPr>
        <w:t>, pp.377-389.</w:t>
      </w:r>
    </w:p>
    <w:p w14:paraId="657AC35F" w14:textId="77777777" w:rsidR="002A49B0" w:rsidRPr="00E138ED" w:rsidRDefault="002A49B0">
      <w:pPr>
        <w:spacing w:before="240" w:after="240"/>
        <w:rPr>
          <w:rFonts w:ascii="Arial" w:hAnsi="Arial" w:cs="Arial"/>
        </w:rPr>
      </w:pPr>
      <w:r w:rsidRPr="00E138ED">
        <w:rPr>
          <w:rFonts w:ascii="Arial" w:hAnsi="Arial" w:cs="Arial"/>
        </w:rPr>
        <w:t xml:space="preserve">Drechsler, K., Gregory, R., Wagner, H.T. and Tumbas, S., 2020. At the crossroads between digital innovation and digital transformation. </w:t>
      </w:r>
      <w:r w:rsidRPr="00E138ED">
        <w:rPr>
          <w:rFonts w:ascii="Arial" w:hAnsi="Arial" w:cs="Arial"/>
          <w:i/>
        </w:rPr>
        <w:t>Communications of the Association for Information Systems</w:t>
      </w:r>
      <w:r w:rsidRPr="00E138ED">
        <w:rPr>
          <w:rFonts w:ascii="Arial" w:hAnsi="Arial" w:cs="Arial"/>
        </w:rPr>
        <w:t xml:space="preserve">, </w:t>
      </w:r>
      <w:r w:rsidRPr="00E138ED">
        <w:rPr>
          <w:rFonts w:ascii="Arial" w:hAnsi="Arial" w:cs="Arial"/>
          <w:i/>
        </w:rPr>
        <w:t>47</w:t>
      </w:r>
      <w:r w:rsidRPr="00E138ED">
        <w:rPr>
          <w:rFonts w:ascii="Arial" w:hAnsi="Arial" w:cs="Arial"/>
        </w:rPr>
        <w:t>(1), p.23.</w:t>
      </w:r>
    </w:p>
    <w:p w14:paraId="31A6015C" w14:textId="77777777" w:rsidR="002A49B0" w:rsidRPr="00E138ED" w:rsidRDefault="002A49B0">
      <w:pPr>
        <w:spacing w:before="240" w:after="240"/>
        <w:rPr>
          <w:rFonts w:ascii="Arial" w:hAnsi="Arial" w:cs="Arial"/>
        </w:rPr>
      </w:pPr>
      <w:r w:rsidRPr="00E138ED">
        <w:rPr>
          <w:rFonts w:ascii="Arial" w:hAnsi="Arial" w:cs="Arial"/>
        </w:rPr>
        <w:t xml:space="preserve">Fedyk, A. and Hodson, J., 2023. Trading on talent: Human capital and firm performance. </w:t>
      </w:r>
      <w:r w:rsidRPr="00E138ED">
        <w:rPr>
          <w:rFonts w:ascii="Arial" w:hAnsi="Arial" w:cs="Arial"/>
          <w:i/>
        </w:rPr>
        <w:t>Review of Finance</w:t>
      </w:r>
      <w:r w:rsidRPr="00E138ED">
        <w:rPr>
          <w:rFonts w:ascii="Arial" w:hAnsi="Arial" w:cs="Arial"/>
        </w:rPr>
        <w:t xml:space="preserve">, </w:t>
      </w:r>
      <w:r w:rsidRPr="00E138ED">
        <w:rPr>
          <w:rFonts w:ascii="Arial" w:hAnsi="Arial" w:cs="Arial"/>
          <w:i/>
        </w:rPr>
        <w:t>27</w:t>
      </w:r>
      <w:r w:rsidRPr="00E138ED">
        <w:rPr>
          <w:rFonts w:ascii="Arial" w:hAnsi="Arial" w:cs="Arial"/>
        </w:rPr>
        <w:t>(5), pp.1659-1698.</w:t>
      </w:r>
    </w:p>
    <w:p w14:paraId="488EE4D6" w14:textId="77777777" w:rsidR="002A49B0" w:rsidRPr="00E138ED" w:rsidRDefault="002A49B0">
      <w:pPr>
        <w:spacing w:before="240" w:after="240"/>
        <w:rPr>
          <w:rFonts w:ascii="Arial" w:hAnsi="Arial" w:cs="Arial"/>
        </w:rPr>
      </w:pPr>
      <w:r w:rsidRPr="00E138ED">
        <w:rPr>
          <w:rFonts w:ascii="Arial" w:hAnsi="Arial" w:cs="Arial"/>
        </w:rPr>
        <w:t xml:space="preserve">Gedam, V.V., Raut, R.D., de Sousa Jabbour, A.B.L., Tanksale, A.N. and Narkhede, B.E., 2021. Circular economy practices in a developing economy: Barriers to be defeated. </w:t>
      </w:r>
      <w:r w:rsidRPr="00E138ED">
        <w:rPr>
          <w:rFonts w:ascii="Arial" w:hAnsi="Arial" w:cs="Arial"/>
          <w:i/>
        </w:rPr>
        <w:t>Journal of Cleaner Production</w:t>
      </w:r>
      <w:r w:rsidRPr="00E138ED">
        <w:rPr>
          <w:rFonts w:ascii="Arial" w:hAnsi="Arial" w:cs="Arial"/>
        </w:rPr>
        <w:t xml:space="preserve">, </w:t>
      </w:r>
      <w:r w:rsidRPr="00E138ED">
        <w:rPr>
          <w:rFonts w:ascii="Arial" w:hAnsi="Arial" w:cs="Arial"/>
          <w:i/>
        </w:rPr>
        <w:t>311</w:t>
      </w:r>
      <w:r w:rsidRPr="00E138ED">
        <w:rPr>
          <w:rFonts w:ascii="Arial" w:hAnsi="Arial" w:cs="Arial"/>
        </w:rPr>
        <w:t>, p.127670.</w:t>
      </w:r>
    </w:p>
    <w:p w14:paraId="2CEDCB59" w14:textId="77777777" w:rsidR="002A49B0" w:rsidRPr="00E138ED" w:rsidRDefault="002A49B0">
      <w:pPr>
        <w:spacing w:before="240" w:after="240"/>
        <w:rPr>
          <w:rFonts w:ascii="Arial" w:hAnsi="Arial" w:cs="Arial"/>
        </w:rPr>
      </w:pPr>
      <w:r w:rsidRPr="00E138ED">
        <w:rPr>
          <w:rFonts w:ascii="Arial" w:hAnsi="Arial" w:cs="Arial"/>
        </w:rPr>
        <w:t xml:space="preserve">Grillo, R., Fraceto, L.F., Amorim, M.J., Scott-Fordsmand, J.J., Schoonjans, R. and Chaudhry, Q., 2021. Ecotoxicological and regulatory aspects of environmental sustainability of nanopesticides. </w:t>
      </w:r>
      <w:r w:rsidRPr="00E138ED">
        <w:rPr>
          <w:rFonts w:ascii="Arial" w:hAnsi="Arial" w:cs="Arial"/>
          <w:i/>
        </w:rPr>
        <w:t>Journal of Hazardous Materials</w:t>
      </w:r>
      <w:r w:rsidRPr="00E138ED">
        <w:rPr>
          <w:rFonts w:ascii="Arial" w:hAnsi="Arial" w:cs="Arial"/>
        </w:rPr>
        <w:t xml:space="preserve">, </w:t>
      </w:r>
      <w:r w:rsidRPr="00E138ED">
        <w:rPr>
          <w:rFonts w:ascii="Arial" w:hAnsi="Arial" w:cs="Arial"/>
          <w:i/>
        </w:rPr>
        <w:t>404</w:t>
      </w:r>
      <w:r w:rsidRPr="00E138ED">
        <w:rPr>
          <w:rFonts w:ascii="Arial" w:hAnsi="Arial" w:cs="Arial"/>
        </w:rPr>
        <w:t>, p.124148.</w:t>
      </w:r>
    </w:p>
    <w:p w14:paraId="399ED47F" w14:textId="77777777" w:rsidR="002A49B0" w:rsidRPr="00E138ED" w:rsidRDefault="002A49B0">
      <w:pPr>
        <w:spacing w:before="240" w:after="240"/>
        <w:rPr>
          <w:rFonts w:ascii="Arial" w:hAnsi="Arial" w:cs="Arial"/>
        </w:rPr>
      </w:pPr>
      <w:r w:rsidRPr="00E138ED">
        <w:rPr>
          <w:rFonts w:ascii="Arial" w:hAnsi="Arial" w:cs="Arial"/>
        </w:rPr>
        <w:t xml:space="preserve">Huang, N., Jiang, S., Sun, Y. and Yuwen, Z., 2021, December. The Hedging Policies of BP with the Systematical Analysis. In </w:t>
      </w:r>
      <w:r w:rsidRPr="00E138ED">
        <w:rPr>
          <w:rFonts w:ascii="Arial" w:hAnsi="Arial" w:cs="Arial"/>
          <w:i/>
        </w:rPr>
        <w:t>2021 3rd International Conference on Economic Management and Cultural Industry (ICEMCI 2021)</w:t>
      </w:r>
      <w:r w:rsidRPr="00E138ED">
        <w:rPr>
          <w:rFonts w:ascii="Arial" w:hAnsi="Arial" w:cs="Arial"/>
        </w:rPr>
        <w:t xml:space="preserve"> (pp. 1129-1134). Atlantis Press.</w:t>
      </w:r>
    </w:p>
    <w:p w14:paraId="1D4AEAB3" w14:textId="77777777" w:rsidR="002A49B0" w:rsidRPr="00E138ED" w:rsidRDefault="002A49B0">
      <w:pPr>
        <w:spacing w:before="240" w:after="240"/>
        <w:rPr>
          <w:rFonts w:ascii="Arial" w:hAnsi="Arial" w:cs="Arial"/>
        </w:rPr>
      </w:pPr>
      <w:r w:rsidRPr="00E138ED">
        <w:rPr>
          <w:rFonts w:ascii="Arial" w:hAnsi="Arial" w:cs="Arial"/>
        </w:rPr>
        <w:t xml:space="preserve">Konopik, J., Jahn, C., Schuster, T., Hoßbach, N. and Pflaum, A., 2022. Mastering the digital transformation through organizational capabilities: A conceptual framework. </w:t>
      </w:r>
      <w:r w:rsidRPr="00E138ED">
        <w:rPr>
          <w:rFonts w:ascii="Arial" w:hAnsi="Arial" w:cs="Arial"/>
          <w:i/>
        </w:rPr>
        <w:t>Digital Business</w:t>
      </w:r>
      <w:r w:rsidRPr="00E138ED">
        <w:rPr>
          <w:rFonts w:ascii="Arial" w:hAnsi="Arial" w:cs="Arial"/>
        </w:rPr>
        <w:t xml:space="preserve">, </w:t>
      </w:r>
      <w:r w:rsidRPr="00E138ED">
        <w:rPr>
          <w:rFonts w:ascii="Arial" w:hAnsi="Arial" w:cs="Arial"/>
          <w:i/>
        </w:rPr>
        <w:t>2</w:t>
      </w:r>
      <w:r w:rsidRPr="00E138ED">
        <w:rPr>
          <w:rFonts w:ascii="Arial" w:hAnsi="Arial" w:cs="Arial"/>
        </w:rPr>
        <w:t>(2), p.100019.</w:t>
      </w:r>
    </w:p>
    <w:p w14:paraId="5E1A9158" w14:textId="77777777" w:rsidR="002A49B0" w:rsidRPr="00E138ED" w:rsidRDefault="002A49B0">
      <w:pPr>
        <w:spacing w:before="240" w:after="240"/>
        <w:rPr>
          <w:rFonts w:ascii="Arial" w:hAnsi="Arial" w:cs="Arial"/>
        </w:rPr>
      </w:pPr>
      <w:r w:rsidRPr="00E138ED">
        <w:rPr>
          <w:rFonts w:ascii="Arial" w:hAnsi="Arial" w:cs="Arial"/>
        </w:rPr>
        <w:lastRenderedPageBreak/>
        <w:t xml:space="preserve">Lashitew, A.A., Ross, M.L. and Werker, E., 2021. What drives successful economic diversification in resource-rich countries?. </w:t>
      </w:r>
      <w:r w:rsidRPr="00E138ED">
        <w:rPr>
          <w:rFonts w:ascii="Arial" w:hAnsi="Arial" w:cs="Arial"/>
          <w:i/>
        </w:rPr>
        <w:t>The World Bank Research Observer</w:t>
      </w:r>
      <w:r w:rsidRPr="00E138ED">
        <w:rPr>
          <w:rFonts w:ascii="Arial" w:hAnsi="Arial" w:cs="Arial"/>
        </w:rPr>
        <w:t xml:space="preserve">, </w:t>
      </w:r>
      <w:r w:rsidRPr="00E138ED">
        <w:rPr>
          <w:rFonts w:ascii="Arial" w:hAnsi="Arial" w:cs="Arial"/>
          <w:i/>
        </w:rPr>
        <w:t>36</w:t>
      </w:r>
      <w:r w:rsidRPr="00E138ED">
        <w:rPr>
          <w:rFonts w:ascii="Arial" w:hAnsi="Arial" w:cs="Arial"/>
        </w:rPr>
        <w:t>(2), pp.164-196.</w:t>
      </w:r>
    </w:p>
    <w:p w14:paraId="3C46BF46" w14:textId="77777777" w:rsidR="002A49B0" w:rsidRPr="00E138ED" w:rsidRDefault="002A49B0">
      <w:pPr>
        <w:spacing w:before="240" w:after="240"/>
        <w:rPr>
          <w:rFonts w:ascii="Arial" w:hAnsi="Arial" w:cs="Arial"/>
        </w:rPr>
      </w:pPr>
      <w:r w:rsidRPr="00E138ED">
        <w:rPr>
          <w:rFonts w:ascii="Arial" w:hAnsi="Arial" w:cs="Arial"/>
        </w:rPr>
        <w:t xml:space="preserve">Lin, S., 2021. Financial performance management system and wireless sharing network optimization of listed enterprises under BPNN. </w:t>
      </w:r>
      <w:r w:rsidRPr="00E138ED">
        <w:rPr>
          <w:rFonts w:ascii="Arial" w:hAnsi="Arial" w:cs="Arial"/>
          <w:i/>
        </w:rPr>
        <w:t>Mobile Information Systems</w:t>
      </w:r>
      <w:r w:rsidRPr="00E138ED">
        <w:rPr>
          <w:rFonts w:ascii="Arial" w:hAnsi="Arial" w:cs="Arial"/>
        </w:rPr>
        <w:t xml:space="preserve">, </w:t>
      </w:r>
      <w:r w:rsidRPr="00E138ED">
        <w:rPr>
          <w:rFonts w:ascii="Arial" w:hAnsi="Arial" w:cs="Arial"/>
          <w:i/>
        </w:rPr>
        <w:t>2021</w:t>
      </w:r>
      <w:r w:rsidRPr="00E138ED">
        <w:rPr>
          <w:rFonts w:ascii="Arial" w:hAnsi="Arial" w:cs="Arial"/>
        </w:rPr>
        <w:t>(1), p.3443189.</w:t>
      </w:r>
    </w:p>
    <w:p w14:paraId="0124C643" w14:textId="77777777" w:rsidR="002A49B0" w:rsidRPr="00E138ED" w:rsidRDefault="002A49B0">
      <w:pPr>
        <w:spacing w:before="240" w:after="240"/>
        <w:rPr>
          <w:rFonts w:ascii="Arial" w:hAnsi="Arial" w:cs="Arial"/>
        </w:rPr>
      </w:pPr>
      <w:r w:rsidRPr="00E138ED">
        <w:rPr>
          <w:rFonts w:ascii="Arial" w:hAnsi="Arial" w:cs="Arial"/>
        </w:rPr>
        <w:t xml:space="preserve">Matović, I.M., 2020, September. PESTEL analysis of external environment as a success factor of startup business. In </w:t>
      </w:r>
      <w:r w:rsidRPr="00E138ED">
        <w:rPr>
          <w:rFonts w:ascii="Arial" w:hAnsi="Arial" w:cs="Arial"/>
          <w:i/>
        </w:rPr>
        <w:t>ConScienS conference proceedings</w:t>
      </w:r>
      <w:r w:rsidRPr="00E138ED">
        <w:rPr>
          <w:rFonts w:ascii="Arial" w:hAnsi="Arial" w:cs="Arial"/>
        </w:rPr>
        <w:t xml:space="preserve"> (pp. 96-102). Scientia Moralitas Research Institute.</w:t>
      </w:r>
    </w:p>
    <w:p w14:paraId="7AD6A60B" w14:textId="5BEBB4B3" w:rsidR="002A49B0" w:rsidRPr="00E138ED" w:rsidRDefault="002A49B0">
      <w:pPr>
        <w:spacing w:before="240" w:after="240"/>
        <w:rPr>
          <w:rFonts w:ascii="Arial" w:hAnsi="Arial" w:cs="Arial"/>
        </w:rPr>
      </w:pPr>
      <w:r w:rsidRPr="00E138ED">
        <w:rPr>
          <w:rFonts w:ascii="Arial" w:hAnsi="Arial" w:cs="Arial"/>
        </w:rPr>
        <w:t xml:space="preserve">Mihelcic, J.R. and Zimmerman, J.B., 2021. </w:t>
      </w:r>
      <w:r w:rsidRPr="00E138ED">
        <w:rPr>
          <w:rFonts w:ascii="Arial" w:hAnsi="Arial" w:cs="Arial"/>
          <w:i/>
        </w:rPr>
        <w:t>Environmental engineering: Fundamentals, sustainability, design</w:t>
      </w:r>
      <w:r w:rsidRPr="00E138ED">
        <w:rPr>
          <w:rFonts w:ascii="Arial" w:hAnsi="Arial" w:cs="Arial"/>
        </w:rPr>
        <w:t xml:space="preserve">. John </w:t>
      </w:r>
      <w:r w:rsidR="00BD4BDD" w:rsidRPr="00E138ED">
        <w:rPr>
          <w:rFonts w:ascii="Arial" w:hAnsi="Arial" w:cs="Arial"/>
        </w:rPr>
        <w:t>Wiley</w:t>
      </w:r>
      <w:r w:rsidRPr="00E138ED">
        <w:rPr>
          <w:rFonts w:ascii="Arial" w:hAnsi="Arial" w:cs="Arial"/>
        </w:rPr>
        <w:t xml:space="preserve"> &amp; sons.</w:t>
      </w:r>
    </w:p>
    <w:p w14:paraId="7B3AB768" w14:textId="77777777" w:rsidR="002A49B0" w:rsidRPr="00E138ED" w:rsidRDefault="002A49B0">
      <w:pPr>
        <w:spacing w:before="240" w:after="240"/>
        <w:rPr>
          <w:rFonts w:ascii="Arial" w:hAnsi="Arial" w:cs="Arial"/>
        </w:rPr>
      </w:pPr>
      <w:r w:rsidRPr="00E138ED">
        <w:rPr>
          <w:rFonts w:ascii="Arial" w:hAnsi="Arial" w:cs="Arial"/>
        </w:rPr>
        <w:t xml:space="preserve">Oncioiu, I., Popescu, D.M., Aviana, A.E., Șerban, A., Rotaru, F., Petrescu, M. and Marin-Pantelescu, A., 2020. The role of environmental, social, and governance disclosure in financial transparency. </w:t>
      </w:r>
      <w:r w:rsidRPr="00E138ED">
        <w:rPr>
          <w:rFonts w:ascii="Arial" w:hAnsi="Arial" w:cs="Arial"/>
          <w:i/>
        </w:rPr>
        <w:t>Sustainability</w:t>
      </w:r>
      <w:r w:rsidRPr="00E138ED">
        <w:rPr>
          <w:rFonts w:ascii="Arial" w:hAnsi="Arial" w:cs="Arial"/>
        </w:rPr>
        <w:t xml:space="preserve">, </w:t>
      </w:r>
      <w:r w:rsidRPr="00E138ED">
        <w:rPr>
          <w:rFonts w:ascii="Arial" w:hAnsi="Arial" w:cs="Arial"/>
          <w:i/>
        </w:rPr>
        <w:t>12</w:t>
      </w:r>
      <w:r w:rsidRPr="00E138ED">
        <w:rPr>
          <w:rFonts w:ascii="Arial" w:hAnsi="Arial" w:cs="Arial"/>
        </w:rPr>
        <w:t>(17), p.6757.</w:t>
      </w:r>
    </w:p>
    <w:p w14:paraId="5FFBF301" w14:textId="6B8F8052" w:rsidR="002A49B0" w:rsidRPr="00E138ED" w:rsidRDefault="002A49B0">
      <w:pPr>
        <w:spacing w:before="240" w:after="240"/>
        <w:rPr>
          <w:rFonts w:ascii="Arial" w:hAnsi="Arial" w:cs="Arial"/>
        </w:rPr>
      </w:pPr>
      <w:r w:rsidRPr="00E138ED">
        <w:rPr>
          <w:rFonts w:ascii="Arial" w:hAnsi="Arial" w:cs="Arial"/>
        </w:rPr>
        <w:t xml:space="preserve">Puyt, R.W., Lie, F.B. and Wilderom, C.P., 2023. The origins of SWOT analysis. </w:t>
      </w:r>
      <w:r w:rsidRPr="00E138ED">
        <w:rPr>
          <w:rFonts w:ascii="Arial" w:hAnsi="Arial" w:cs="Arial"/>
          <w:i/>
        </w:rPr>
        <w:t>Long Range Planning</w:t>
      </w:r>
      <w:r w:rsidRPr="00E138ED">
        <w:rPr>
          <w:rFonts w:ascii="Arial" w:hAnsi="Arial" w:cs="Arial"/>
        </w:rPr>
        <w:t xml:space="preserve">, </w:t>
      </w:r>
      <w:r w:rsidRPr="00E138ED">
        <w:rPr>
          <w:rFonts w:ascii="Arial" w:hAnsi="Arial" w:cs="Arial"/>
          <w:i/>
        </w:rPr>
        <w:t>56</w:t>
      </w:r>
      <w:r w:rsidRPr="00E138ED">
        <w:rPr>
          <w:rFonts w:ascii="Arial" w:hAnsi="Arial" w:cs="Arial"/>
        </w:rPr>
        <w:t>(3), p.102304.</w:t>
      </w:r>
    </w:p>
    <w:p w14:paraId="5FA64B06" w14:textId="77777777" w:rsidR="002A49B0" w:rsidRPr="00E138ED" w:rsidRDefault="002A49B0">
      <w:pPr>
        <w:spacing w:before="240" w:after="240"/>
        <w:rPr>
          <w:rFonts w:ascii="Arial" w:hAnsi="Arial" w:cs="Arial"/>
        </w:rPr>
      </w:pPr>
      <w:r w:rsidRPr="00E138ED">
        <w:rPr>
          <w:rFonts w:ascii="Arial" w:hAnsi="Arial" w:cs="Arial"/>
        </w:rPr>
        <w:t xml:space="preserve">Saloko, S.A., SP, M., Elfatma, O., SP, S.G., MP, I., Santi, I.S. and Prasetya, B., 2023, August. ANALYSIS OF SUSTAINABLE COMPETITIVE ADVANTAGE AT PT. X: APPLICATION OF THE VRIO APPROACH. In </w:t>
      </w:r>
      <w:r w:rsidRPr="00E138ED">
        <w:rPr>
          <w:rFonts w:ascii="Arial" w:hAnsi="Arial" w:cs="Arial"/>
          <w:i/>
        </w:rPr>
        <w:t>Proceeding of International Conference on Innovations in Social Sciences Education and Engineering</w:t>
      </w:r>
      <w:r w:rsidRPr="00E138ED">
        <w:rPr>
          <w:rFonts w:ascii="Arial" w:hAnsi="Arial" w:cs="Arial"/>
        </w:rPr>
        <w:t xml:space="preserve"> (Vol. 3, pp. 078-078).</w:t>
      </w:r>
    </w:p>
    <w:p w14:paraId="099900F8" w14:textId="5AF0E557" w:rsidR="002A49B0" w:rsidRPr="00E138ED" w:rsidRDefault="002A49B0">
      <w:pPr>
        <w:spacing w:before="240" w:after="240"/>
        <w:rPr>
          <w:rFonts w:ascii="Arial" w:hAnsi="Arial" w:cs="Arial"/>
        </w:rPr>
      </w:pPr>
      <w:r w:rsidRPr="00E138ED">
        <w:rPr>
          <w:rFonts w:ascii="Arial" w:hAnsi="Arial" w:cs="Arial"/>
        </w:rPr>
        <w:t xml:space="preserve">Schwartz, M.S., 2020. Beyond petroleum or </w:t>
      </w:r>
      <w:r w:rsidR="00BD4BDD" w:rsidRPr="00E138ED">
        <w:rPr>
          <w:rFonts w:ascii="Arial" w:hAnsi="Arial" w:cs="Arial"/>
        </w:rPr>
        <w:t>bottom-line</w:t>
      </w:r>
      <w:r w:rsidRPr="00E138ED">
        <w:rPr>
          <w:rFonts w:ascii="Arial" w:hAnsi="Arial" w:cs="Arial"/>
        </w:rPr>
        <w:t xml:space="preserve"> profits only? An ethical analysis of BP and the Gulf oil spill. </w:t>
      </w:r>
      <w:r w:rsidRPr="00E138ED">
        <w:rPr>
          <w:rFonts w:ascii="Arial" w:hAnsi="Arial" w:cs="Arial"/>
          <w:i/>
        </w:rPr>
        <w:t>Business and Society Review</w:t>
      </w:r>
      <w:r w:rsidRPr="00E138ED">
        <w:rPr>
          <w:rFonts w:ascii="Arial" w:hAnsi="Arial" w:cs="Arial"/>
        </w:rPr>
        <w:t xml:space="preserve">, </w:t>
      </w:r>
      <w:r w:rsidRPr="00E138ED">
        <w:rPr>
          <w:rFonts w:ascii="Arial" w:hAnsi="Arial" w:cs="Arial"/>
          <w:i/>
        </w:rPr>
        <w:t>125</w:t>
      </w:r>
      <w:r w:rsidRPr="00E138ED">
        <w:rPr>
          <w:rFonts w:ascii="Arial" w:hAnsi="Arial" w:cs="Arial"/>
        </w:rPr>
        <w:t>(1), pp.71-88.</w:t>
      </w:r>
    </w:p>
    <w:p w14:paraId="4DC6F120" w14:textId="77777777" w:rsidR="002A49B0" w:rsidRPr="00E138ED" w:rsidRDefault="002A49B0">
      <w:pPr>
        <w:spacing w:before="240" w:after="240"/>
        <w:rPr>
          <w:rFonts w:ascii="Arial" w:hAnsi="Arial" w:cs="Arial"/>
        </w:rPr>
      </w:pPr>
      <w:r w:rsidRPr="00E138ED">
        <w:rPr>
          <w:rFonts w:ascii="Arial" w:hAnsi="Arial" w:cs="Arial"/>
        </w:rPr>
        <w:t xml:space="preserve">Succar, B. and Poirier, E., 2020. Lifecycle information transformation and exchange for delivering and managing digital and physical assets. </w:t>
      </w:r>
      <w:r w:rsidRPr="00E138ED">
        <w:rPr>
          <w:rFonts w:ascii="Arial" w:hAnsi="Arial" w:cs="Arial"/>
          <w:i/>
        </w:rPr>
        <w:t>Automation in Construction</w:t>
      </w:r>
      <w:r w:rsidRPr="00E138ED">
        <w:rPr>
          <w:rFonts w:ascii="Arial" w:hAnsi="Arial" w:cs="Arial"/>
        </w:rPr>
        <w:t xml:space="preserve">, </w:t>
      </w:r>
      <w:r w:rsidRPr="00E138ED">
        <w:rPr>
          <w:rFonts w:ascii="Arial" w:hAnsi="Arial" w:cs="Arial"/>
          <w:i/>
        </w:rPr>
        <w:t>112</w:t>
      </w:r>
      <w:r w:rsidRPr="00E138ED">
        <w:rPr>
          <w:rFonts w:ascii="Arial" w:hAnsi="Arial" w:cs="Arial"/>
        </w:rPr>
        <w:t>, p.103090.</w:t>
      </w:r>
    </w:p>
    <w:p w14:paraId="641D39F4" w14:textId="77777777" w:rsidR="002A49B0" w:rsidRPr="00E138ED" w:rsidRDefault="002A49B0">
      <w:pPr>
        <w:spacing w:before="240" w:after="240"/>
        <w:rPr>
          <w:rFonts w:ascii="Arial" w:hAnsi="Arial" w:cs="Arial"/>
        </w:rPr>
      </w:pPr>
      <w:r w:rsidRPr="00E138ED">
        <w:rPr>
          <w:rFonts w:ascii="Arial" w:hAnsi="Arial" w:cs="Arial"/>
        </w:rPr>
        <w:t xml:space="preserve">Sun, X. and Lei, Y., 2021. Research on financial early warning of mining listed companies based on BP neural network model. </w:t>
      </w:r>
      <w:r w:rsidRPr="00E138ED">
        <w:rPr>
          <w:rFonts w:ascii="Arial" w:hAnsi="Arial" w:cs="Arial"/>
          <w:i/>
        </w:rPr>
        <w:t>Resources Policy</w:t>
      </w:r>
      <w:r w:rsidRPr="00E138ED">
        <w:rPr>
          <w:rFonts w:ascii="Arial" w:hAnsi="Arial" w:cs="Arial"/>
        </w:rPr>
        <w:t xml:space="preserve">, </w:t>
      </w:r>
      <w:r w:rsidRPr="00E138ED">
        <w:rPr>
          <w:rFonts w:ascii="Arial" w:hAnsi="Arial" w:cs="Arial"/>
          <w:i/>
        </w:rPr>
        <w:t>73</w:t>
      </w:r>
      <w:r w:rsidRPr="00E138ED">
        <w:rPr>
          <w:rFonts w:ascii="Arial" w:hAnsi="Arial" w:cs="Arial"/>
        </w:rPr>
        <w:t>, p.102223.</w:t>
      </w:r>
    </w:p>
    <w:p w14:paraId="504543F8" w14:textId="77777777" w:rsidR="002A49B0" w:rsidRPr="00E138ED" w:rsidRDefault="002A49B0">
      <w:pPr>
        <w:spacing w:before="240" w:after="240"/>
        <w:rPr>
          <w:rFonts w:ascii="Arial" w:hAnsi="Arial" w:cs="Arial"/>
        </w:rPr>
      </w:pPr>
      <w:r w:rsidRPr="00E138ED">
        <w:rPr>
          <w:rFonts w:ascii="Arial" w:hAnsi="Arial" w:cs="Arial"/>
        </w:rPr>
        <w:lastRenderedPageBreak/>
        <w:t xml:space="preserve">Vial, G., 2021. Understanding digital transformation: A review and a research agenda. </w:t>
      </w:r>
      <w:r w:rsidRPr="00E138ED">
        <w:rPr>
          <w:rFonts w:ascii="Arial" w:hAnsi="Arial" w:cs="Arial"/>
          <w:i/>
        </w:rPr>
        <w:t>Managing digital transformation</w:t>
      </w:r>
      <w:r w:rsidRPr="00E138ED">
        <w:rPr>
          <w:rFonts w:ascii="Arial" w:hAnsi="Arial" w:cs="Arial"/>
        </w:rPr>
        <w:t>, pp.13-66.</w:t>
      </w:r>
    </w:p>
    <w:p w14:paraId="0C4D6461" w14:textId="77777777" w:rsidR="002A49B0" w:rsidRPr="00E138ED" w:rsidRDefault="002A49B0">
      <w:pPr>
        <w:spacing w:before="240" w:after="240"/>
        <w:rPr>
          <w:rFonts w:ascii="Arial" w:hAnsi="Arial" w:cs="Arial"/>
        </w:rPr>
      </w:pPr>
      <w:r w:rsidRPr="00E138ED">
        <w:rPr>
          <w:rFonts w:ascii="Arial" w:hAnsi="Arial" w:cs="Arial"/>
        </w:rPr>
        <w:t xml:space="preserve">Wellner, S. and Lakotta, J., 2020. Porter's Five Forces in the German railway industry. </w:t>
      </w:r>
      <w:r w:rsidRPr="00E138ED">
        <w:rPr>
          <w:rFonts w:ascii="Arial" w:hAnsi="Arial" w:cs="Arial"/>
          <w:i/>
        </w:rPr>
        <w:t>Journal of Rail Transport Planning &amp; Management</w:t>
      </w:r>
      <w:r w:rsidRPr="00E138ED">
        <w:rPr>
          <w:rFonts w:ascii="Arial" w:hAnsi="Arial" w:cs="Arial"/>
        </w:rPr>
        <w:t xml:space="preserve">, </w:t>
      </w:r>
      <w:r w:rsidRPr="00E138ED">
        <w:rPr>
          <w:rFonts w:ascii="Arial" w:hAnsi="Arial" w:cs="Arial"/>
          <w:i/>
        </w:rPr>
        <w:t>14</w:t>
      </w:r>
      <w:r w:rsidRPr="00E138ED">
        <w:rPr>
          <w:rFonts w:ascii="Arial" w:hAnsi="Arial" w:cs="Arial"/>
        </w:rPr>
        <w:t>, p.100181.</w:t>
      </w:r>
    </w:p>
    <w:p w14:paraId="10108434" w14:textId="69DBC383" w:rsidR="002A49B0" w:rsidRPr="00E138ED" w:rsidRDefault="002A49B0">
      <w:pPr>
        <w:spacing w:before="240" w:after="240"/>
        <w:rPr>
          <w:rFonts w:ascii="Arial" w:hAnsi="Arial" w:cs="Arial"/>
        </w:rPr>
      </w:pPr>
      <w:r w:rsidRPr="00E138ED">
        <w:rPr>
          <w:rFonts w:ascii="Arial" w:hAnsi="Arial" w:cs="Arial"/>
        </w:rPr>
        <w:t xml:space="preserve">Wen, J., Okolo, C.V., Ugwuoke, I.C. and Kolani, K., 2022. Research on influencing factors of renewable energy, energy efficiency, on technological innovation. Does trade, investment and human capital development </w:t>
      </w:r>
      <w:r w:rsidR="00BD4BDD" w:rsidRPr="00E138ED">
        <w:rPr>
          <w:rFonts w:ascii="Arial" w:hAnsi="Arial" w:cs="Arial"/>
        </w:rPr>
        <w:t>matter?</w:t>
      </w:r>
      <w:r w:rsidRPr="00E138ED">
        <w:rPr>
          <w:rFonts w:ascii="Arial" w:hAnsi="Arial" w:cs="Arial"/>
        </w:rPr>
        <w:t xml:space="preserve"> </w:t>
      </w:r>
      <w:r w:rsidRPr="00E138ED">
        <w:rPr>
          <w:rFonts w:ascii="Arial" w:hAnsi="Arial" w:cs="Arial"/>
          <w:i/>
        </w:rPr>
        <w:t>Energy Policy</w:t>
      </w:r>
      <w:r w:rsidRPr="00E138ED">
        <w:rPr>
          <w:rFonts w:ascii="Arial" w:hAnsi="Arial" w:cs="Arial"/>
        </w:rPr>
        <w:t xml:space="preserve">, </w:t>
      </w:r>
      <w:r w:rsidRPr="00E138ED">
        <w:rPr>
          <w:rFonts w:ascii="Arial" w:hAnsi="Arial" w:cs="Arial"/>
          <w:i/>
        </w:rPr>
        <w:t>160</w:t>
      </w:r>
      <w:r w:rsidRPr="00E138ED">
        <w:rPr>
          <w:rFonts w:ascii="Arial" w:hAnsi="Arial" w:cs="Arial"/>
        </w:rPr>
        <w:t>, p.112718.</w:t>
      </w:r>
    </w:p>
    <w:p w14:paraId="546BF65D" w14:textId="4E9FD3ED" w:rsidR="002A49B0" w:rsidRPr="002A49B0" w:rsidRDefault="002A49B0" w:rsidP="002A49B0">
      <w:pPr>
        <w:spacing w:before="240" w:after="240"/>
      </w:pPr>
      <w:r w:rsidRPr="00E138ED">
        <w:rPr>
          <w:rFonts w:ascii="Arial" w:hAnsi="Arial" w:cs="Arial"/>
        </w:rPr>
        <w:t xml:space="preserve">Wilberforce, T., Olabi, A.G., Sayed, E.T., Elsaid, K. and Abdelkareem, M.A., 2021. Progress in carbon capture technologies. </w:t>
      </w:r>
      <w:r w:rsidRPr="00E138ED">
        <w:rPr>
          <w:rFonts w:ascii="Arial" w:hAnsi="Arial" w:cs="Arial"/>
          <w:i/>
        </w:rPr>
        <w:t>Science of The Total Environment</w:t>
      </w:r>
      <w:r w:rsidRPr="00E138ED">
        <w:rPr>
          <w:rFonts w:ascii="Arial" w:hAnsi="Arial" w:cs="Arial"/>
        </w:rPr>
        <w:t xml:space="preserve">, </w:t>
      </w:r>
      <w:r w:rsidRPr="00E138ED">
        <w:rPr>
          <w:rFonts w:ascii="Arial" w:hAnsi="Arial" w:cs="Arial"/>
          <w:i/>
        </w:rPr>
        <w:t>761</w:t>
      </w:r>
      <w:r w:rsidRPr="00E138ED">
        <w:rPr>
          <w:rFonts w:ascii="Arial" w:hAnsi="Arial" w:cs="Arial"/>
        </w:rPr>
        <w:t>, p.143203.</w:t>
      </w:r>
      <w:bookmarkStart w:id="28" w:name="_72toapuwa9vz" w:colFirst="0" w:colLast="0"/>
      <w:bookmarkEnd w:id="28"/>
      <w:r>
        <w:br w:type="page"/>
      </w:r>
    </w:p>
    <w:p w14:paraId="297B940B" w14:textId="169B0719" w:rsidR="00AB056B" w:rsidRPr="00515900" w:rsidRDefault="008F0BA2">
      <w:pPr>
        <w:pStyle w:val="Heading1"/>
        <w:keepNext w:val="0"/>
        <w:keepLines w:val="0"/>
        <w:rPr>
          <w:rFonts w:ascii="Arial" w:hAnsi="Arial" w:cs="Arial"/>
          <w:sz w:val="32"/>
          <w:szCs w:val="32"/>
        </w:rPr>
      </w:pPr>
      <w:bookmarkStart w:id="29" w:name="_Toc175345312"/>
      <w:r w:rsidRPr="00515900">
        <w:rPr>
          <w:rFonts w:ascii="Arial" w:hAnsi="Arial" w:cs="Arial"/>
          <w:sz w:val="32"/>
          <w:szCs w:val="32"/>
        </w:rPr>
        <w:lastRenderedPageBreak/>
        <w:t>Appendices</w:t>
      </w:r>
      <w:bookmarkEnd w:id="29"/>
    </w:p>
    <w:p w14:paraId="297B940C" w14:textId="77777777" w:rsidR="00AB056B" w:rsidRPr="00515900" w:rsidRDefault="008F0BA2">
      <w:pPr>
        <w:pStyle w:val="Heading2"/>
        <w:rPr>
          <w:rFonts w:ascii="Arial" w:hAnsi="Arial" w:cs="Arial"/>
          <w:sz w:val="28"/>
          <w:szCs w:val="28"/>
        </w:rPr>
      </w:pPr>
      <w:bookmarkStart w:id="30" w:name="_gvtitqj6e9r7" w:colFirst="0" w:colLast="0"/>
      <w:bookmarkStart w:id="31" w:name="_Toc175345313"/>
      <w:bookmarkEnd w:id="30"/>
      <w:r w:rsidRPr="00515900">
        <w:rPr>
          <w:rFonts w:ascii="Arial" w:hAnsi="Arial" w:cs="Arial"/>
          <w:sz w:val="28"/>
          <w:szCs w:val="28"/>
        </w:rPr>
        <w:t>Appendix A: SWOT Analysis</w:t>
      </w:r>
      <w:bookmarkEnd w:id="31"/>
    </w:p>
    <w:p w14:paraId="297B940D" w14:textId="77777777" w:rsidR="00AB056B" w:rsidRDefault="00AB056B">
      <w:pPr>
        <w:spacing w:before="240" w:after="240"/>
      </w:pPr>
    </w:p>
    <w:tbl>
      <w:tblPr>
        <w:tblStyle w:val="a"/>
        <w:tblW w:w="9025"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669"/>
        <w:gridCol w:w="7356"/>
      </w:tblGrid>
      <w:tr w:rsidR="00AB056B" w14:paraId="297B9410" w14:textId="77777777" w:rsidTr="002A49B0">
        <w:trPr>
          <w:trHeight w:val="770"/>
          <w:jc w:val="center"/>
        </w:trPr>
        <w:tc>
          <w:tcPr>
            <w:tcW w:w="1669" w:type="dxa"/>
            <w:tcMar>
              <w:top w:w="100" w:type="dxa"/>
              <w:left w:w="100" w:type="dxa"/>
              <w:bottom w:w="100" w:type="dxa"/>
              <w:right w:w="100" w:type="dxa"/>
            </w:tcMar>
          </w:tcPr>
          <w:p w14:paraId="297B940E" w14:textId="77777777" w:rsidR="00AB056B" w:rsidRDefault="008F0BA2" w:rsidP="00BD4BDD">
            <w:pPr>
              <w:spacing w:before="240" w:after="240"/>
              <w:jc w:val="center"/>
            </w:pPr>
            <w:r>
              <w:rPr>
                <w:b/>
              </w:rPr>
              <w:t>SWOT Analysis</w:t>
            </w:r>
          </w:p>
        </w:tc>
        <w:tc>
          <w:tcPr>
            <w:tcW w:w="7355" w:type="dxa"/>
            <w:tcMar>
              <w:top w:w="100" w:type="dxa"/>
              <w:left w:w="100" w:type="dxa"/>
              <w:bottom w:w="100" w:type="dxa"/>
              <w:right w:w="100" w:type="dxa"/>
            </w:tcMar>
          </w:tcPr>
          <w:p w14:paraId="297B940F" w14:textId="77777777" w:rsidR="00AB056B" w:rsidRDefault="008F0BA2" w:rsidP="00BD4BDD">
            <w:pPr>
              <w:spacing w:before="240" w:after="240"/>
              <w:jc w:val="center"/>
            </w:pPr>
            <w:r>
              <w:rPr>
                <w:b/>
              </w:rPr>
              <w:t>BP Plc</w:t>
            </w:r>
          </w:p>
        </w:tc>
      </w:tr>
      <w:tr w:rsidR="00AB056B" w14:paraId="297B9416" w14:textId="77777777" w:rsidTr="002A49B0">
        <w:trPr>
          <w:trHeight w:val="1580"/>
          <w:jc w:val="center"/>
        </w:trPr>
        <w:tc>
          <w:tcPr>
            <w:tcW w:w="1669" w:type="dxa"/>
            <w:tcMar>
              <w:top w:w="100" w:type="dxa"/>
              <w:left w:w="100" w:type="dxa"/>
              <w:bottom w:w="100" w:type="dxa"/>
              <w:right w:w="100" w:type="dxa"/>
            </w:tcMar>
          </w:tcPr>
          <w:p w14:paraId="297B9411" w14:textId="77777777" w:rsidR="00AB056B" w:rsidRDefault="008F0BA2" w:rsidP="00BD4BDD">
            <w:pPr>
              <w:spacing w:before="240" w:after="240"/>
              <w:jc w:val="center"/>
            </w:pPr>
            <w:r>
              <w:rPr>
                <w:b/>
              </w:rPr>
              <w:t>Strengths</w:t>
            </w:r>
          </w:p>
        </w:tc>
        <w:tc>
          <w:tcPr>
            <w:tcW w:w="7355" w:type="dxa"/>
            <w:tcMar>
              <w:top w:w="100" w:type="dxa"/>
              <w:left w:w="100" w:type="dxa"/>
              <w:bottom w:w="100" w:type="dxa"/>
              <w:right w:w="100" w:type="dxa"/>
            </w:tcMar>
          </w:tcPr>
          <w:p w14:paraId="1FF5DFE3" w14:textId="77777777" w:rsidR="00D25220" w:rsidRPr="00D25220" w:rsidRDefault="00D25220" w:rsidP="00BD4BDD">
            <w:pPr>
              <w:spacing w:before="240" w:after="240"/>
              <w:jc w:val="center"/>
              <w:rPr>
                <w:bCs/>
                <w:color w:val="000000" w:themeColor="text1"/>
                <w:lang w:val="en-IN"/>
              </w:rPr>
            </w:pPr>
            <w:r w:rsidRPr="00D25220">
              <w:rPr>
                <w:b/>
                <w:color w:val="000000" w:themeColor="text1"/>
                <w:lang w:val="en-IN"/>
              </w:rPr>
              <w:t>Global Presence:</w:t>
            </w:r>
            <w:r w:rsidRPr="00D25220">
              <w:rPr>
                <w:bCs/>
                <w:color w:val="000000" w:themeColor="text1"/>
                <w:lang w:val="en-IN"/>
              </w:rPr>
              <w:t xml:space="preserve"> Market presence in over 70 countries elevates market reach.</w:t>
            </w:r>
          </w:p>
          <w:p w14:paraId="369ABEB0" w14:textId="77777777" w:rsidR="00D25220" w:rsidRPr="00D25220" w:rsidRDefault="00D25220" w:rsidP="00BD4BDD">
            <w:pPr>
              <w:spacing w:before="240" w:after="240"/>
              <w:jc w:val="center"/>
              <w:rPr>
                <w:bCs/>
                <w:color w:val="000000" w:themeColor="text1"/>
                <w:lang w:val="en-IN"/>
              </w:rPr>
            </w:pPr>
            <w:r w:rsidRPr="00D25220">
              <w:rPr>
                <w:b/>
                <w:color w:val="000000" w:themeColor="text1"/>
                <w:lang w:val="en-IN"/>
              </w:rPr>
              <w:t>Technological Capabilities:</w:t>
            </w:r>
            <w:r w:rsidRPr="00D25220">
              <w:rPr>
                <w:bCs/>
                <w:color w:val="000000" w:themeColor="text1"/>
                <w:lang w:val="en-IN"/>
              </w:rPr>
              <w:t xml:space="preserve"> Advanced technologies for the exploration and production of energy.</w:t>
            </w:r>
          </w:p>
          <w:p w14:paraId="69923AC1" w14:textId="77777777" w:rsidR="00D25220" w:rsidRPr="00D25220" w:rsidRDefault="00D25220" w:rsidP="00BD4BDD">
            <w:pPr>
              <w:spacing w:before="240" w:after="240"/>
              <w:jc w:val="center"/>
              <w:rPr>
                <w:bCs/>
                <w:color w:val="000000" w:themeColor="text1"/>
                <w:lang w:val="en-IN"/>
              </w:rPr>
            </w:pPr>
            <w:r w:rsidRPr="00D25220">
              <w:rPr>
                <w:b/>
                <w:color w:val="000000" w:themeColor="text1"/>
                <w:lang w:val="en-IN"/>
              </w:rPr>
              <w:t>Financial Means:</w:t>
            </w:r>
            <w:r w:rsidRPr="00D25220">
              <w:rPr>
                <w:bCs/>
                <w:color w:val="000000" w:themeColor="text1"/>
                <w:lang w:val="en-IN"/>
              </w:rPr>
              <w:t xml:space="preserve"> Strong in revenues and investment capacity.</w:t>
            </w:r>
          </w:p>
          <w:p w14:paraId="297B9415" w14:textId="2E5B1487" w:rsidR="00AB056B" w:rsidRPr="00D25220" w:rsidRDefault="00D25220" w:rsidP="00BD4BDD">
            <w:pPr>
              <w:spacing w:before="240" w:after="240"/>
              <w:jc w:val="center"/>
              <w:rPr>
                <w:bCs/>
                <w:color w:val="000000" w:themeColor="text1"/>
                <w:lang w:val="en-IN"/>
              </w:rPr>
            </w:pPr>
            <w:r w:rsidRPr="00D25220">
              <w:rPr>
                <w:b/>
                <w:color w:val="000000" w:themeColor="text1"/>
                <w:lang w:val="en-IN"/>
              </w:rPr>
              <w:t>Established Brand:</w:t>
            </w:r>
            <w:r w:rsidRPr="00D25220">
              <w:rPr>
                <w:bCs/>
                <w:color w:val="000000" w:themeColor="text1"/>
                <w:lang w:val="en-IN"/>
              </w:rPr>
              <w:t xml:space="preserve"> Decades of expertise and a reputation in energy.</w:t>
            </w:r>
          </w:p>
        </w:tc>
      </w:tr>
      <w:tr w:rsidR="00AB056B" w14:paraId="297B941C" w14:textId="77777777" w:rsidTr="002A49B0">
        <w:trPr>
          <w:trHeight w:val="1580"/>
          <w:jc w:val="center"/>
        </w:trPr>
        <w:tc>
          <w:tcPr>
            <w:tcW w:w="1669" w:type="dxa"/>
            <w:tcMar>
              <w:top w:w="100" w:type="dxa"/>
              <w:left w:w="100" w:type="dxa"/>
              <w:bottom w:w="100" w:type="dxa"/>
              <w:right w:w="100" w:type="dxa"/>
            </w:tcMar>
          </w:tcPr>
          <w:p w14:paraId="297B9417" w14:textId="77777777" w:rsidR="00AB056B" w:rsidRDefault="008F0BA2" w:rsidP="00BD4BDD">
            <w:pPr>
              <w:spacing w:before="240" w:after="240"/>
              <w:jc w:val="center"/>
            </w:pPr>
            <w:r>
              <w:rPr>
                <w:b/>
              </w:rPr>
              <w:t>Weaknesses</w:t>
            </w:r>
          </w:p>
        </w:tc>
        <w:tc>
          <w:tcPr>
            <w:tcW w:w="7355" w:type="dxa"/>
            <w:tcMar>
              <w:top w:w="100" w:type="dxa"/>
              <w:left w:w="100" w:type="dxa"/>
              <w:bottom w:w="100" w:type="dxa"/>
              <w:right w:w="100" w:type="dxa"/>
            </w:tcMar>
          </w:tcPr>
          <w:p w14:paraId="5C5D7B56" w14:textId="77777777" w:rsidR="00437748" w:rsidRPr="00437748" w:rsidRDefault="00437748" w:rsidP="00BD4BDD">
            <w:pPr>
              <w:spacing w:before="240" w:after="240"/>
              <w:jc w:val="center"/>
              <w:rPr>
                <w:bCs/>
                <w:color w:val="000000" w:themeColor="text1"/>
                <w:lang w:val="en-IN"/>
              </w:rPr>
            </w:pPr>
            <w:r w:rsidRPr="00437748">
              <w:rPr>
                <w:b/>
                <w:color w:val="000000" w:themeColor="text1"/>
                <w:lang w:val="en-IN"/>
              </w:rPr>
              <w:t>Fossil Fuel Dependence:</w:t>
            </w:r>
            <w:r w:rsidRPr="00437748">
              <w:rPr>
                <w:bCs/>
                <w:color w:val="000000" w:themeColor="text1"/>
                <w:lang w:val="en-IN"/>
              </w:rPr>
              <w:t xml:space="preserve"> High use of oil and gas.</w:t>
            </w:r>
          </w:p>
          <w:p w14:paraId="09518616" w14:textId="77777777" w:rsidR="00437748" w:rsidRPr="00437748" w:rsidRDefault="00437748" w:rsidP="00BD4BDD">
            <w:pPr>
              <w:spacing w:before="240" w:after="240"/>
              <w:jc w:val="center"/>
              <w:rPr>
                <w:bCs/>
                <w:color w:val="000000" w:themeColor="text1"/>
                <w:lang w:val="en-IN"/>
              </w:rPr>
            </w:pPr>
            <w:r w:rsidRPr="00437748">
              <w:rPr>
                <w:b/>
                <w:color w:val="000000" w:themeColor="text1"/>
                <w:lang w:val="en-IN"/>
              </w:rPr>
              <w:t>Transition Costs:</w:t>
            </w:r>
            <w:r w:rsidRPr="00437748">
              <w:rPr>
                <w:bCs/>
                <w:color w:val="000000" w:themeColor="text1"/>
                <w:lang w:val="en-IN"/>
              </w:rPr>
              <w:t xml:space="preserve"> Expensive transition to renewable energy.</w:t>
            </w:r>
          </w:p>
          <w:p w14:paraId="1791A66D" w14:textId="77777777" w:rsidR="00437748" w:rsidRPr="00437748" w:rsidRDefault="00437748" w:rsidP="00BD4BDD">
            <w:pPr>
              <w:spacing w:before="240" w:after="240"/>
              <w:jc w:val="center"/>
              <w:rPr>
                <w:bCs/>
                <w:color w:val="000000" w:themeColor="text1"/>
                <w:lang w:val="en-IN"/>
              </w:rPr>
            </w:pPr>
            <w:r w:rsidRPr="00437748">
              <w:rPr>
                <w:b/>
                <w:color w:val="000000" w:themeColor="text1"/>
                <w:lang w:val="en-IN"/>
              </w:rPr>
              <w:t>Reputational Risks:</w:t>
            </w:r>
            <w:r w:rsidRPr="00437748">
              <w:rPr>
                <w:bCs/>
                <w:color w:val="000000" w:themeColor="text1"/>
                <w:lang w:val="en-IN"/>
              </w:rPr>
              <w:t xml:space="preserve"> Legacy environmental issues and associated regulatory burdens.</w:t>
            </w:r>
          </w:p>
          <w:p w14:paraId="297B941B" w14:textId="2857D583" w:rsidR="00AB056B" w:rsidRPr="00437748" w:rsidRDefault="00437748" w:rsidP="00BD4BDD">
            <w:pPr>
              <w:spacing w:before="240" w:after="240"/>
              <w:jc w:val="center"/>
              <w:rPr>
                <w:bCs/>
                <w:color w:val="000000" w:themeColor="text1"/>
                <w:lang w:val="en-IN"/>
              </w:rPr>
            </w:pPr>
            <w:r w:rsidRPr="00437748">
              <w:rPr>
                <w:b/>
                <w:color w:val="000000" w:themeColor="text1"/>
                <w:lang w:val="en-IN"/>
              </w:rPr>
              <w:t>Regulatory Pressures:</w:t>
            </w:r>
            <w:r w:rsidRPr="00437748">
              <w:rPr>
                <w:bCs/>
                <w:color w:val="000000" w:themeColor="text1"/>
                <w:lang w:val="en-IN"/>
              </w:rPr>
              <w:t xml:space="preserve"> Stringent environmental regulations.</w:t>
            </w:r>
          </w:p>
        </w:tc>
      </w:tr>
      <w:tr w:rsidR="00AB056B" w14:paraId="297B9422" w14:textId="77777777" w:rsidTr="002A49B0">
        <w:trPr>
          <w:trHeight w:val="1310"/>
          <w:jc w:val="center"/>
        </w:trPr>
        <w:tc>
          <w:tcPr>
            <w:tcW w:w="1669" w:type="dxa"/>
            <w:tcMar>
              <w:top w:w="100" w:type="dxa"/>
              <w:left w:w="100" w:type="dxa"/>
              <w:bottom w:w="100" w:type="dxa"/>
              <w:right w:w="100" w:type="dxa"/>
            </w:tcMar>
          </w:tcPr>
          <w:p w14:paraId="297B941D" w14:textId="77777777" w:rsidR="00AB056B" w:rsidRDefault="008F0BA2" w:rsidP="00BD4BDD">
            <w:pPr>
              <w:spacing w:before="240" w:after="240"/>
              <w:jc w:val="center"/>
            </w:pPr>
            <w:r>
              <w:rPr>
                <w:b/>
              </w:rPr>
              <w:t>Opportunities</w:t>
            </w:r>
          </w:p>
        </w:tc>
        <w:tc>
          <w:tcPr>
            <w:tcW w:w="7355" w:type="dxa"/>
            <w:tcMar>
              <w:top w:w="100" w:type="dxa"/>
              <w:left w:w="100" w:type="dxa"/>
              <w:bottom w:w="100" w:type="dxa"/>
              <w:right w:w="100" w:type="dxa"/>
            </w:tcMar>
          </w:tcPr>
          <w:p w14:paraId="297B941E" w14:textId="77777777" w:rsidR="00AB056B" w:rsidRDefault="008F0BA2" w:rsidP="00BD4BDD">
            <w:pPr>
              <w:spacing w:before="240" w:after="240"/>
              <w:jc w:val="center"/>
            </w:pPr>
            <w:r>
              <w:rPr>
                <w:b/>
              </w:rPr>
              <w:t>Renewable Energy Demand:</w:t>
            </w:r>
            <w:r>
              <w:t xml:space="preserve"> Rising global demand for clean energy.</w:t>
            </w:r>
          </w:p>
          <w:p w14:paraId="297B941F" w14:textId="77777777" w:rsidR="00AB056B" w:rsidRDefault="008F0BA2" w:rsidP="00BD4BDD">
            <w:pPr>
              <w:spacing w:before="240" w:after="240"/>
              <w:jc w:val="center"/>
            </w:pPr>
            <w:r>
              <w:rPr>
                <w:b/>
              </w:rPr>
              <w:t>Technological Advances:</w:t>
            </w:r>
            <w:r>
              <w:t xml:space="preserve"> Innovations in renewable technologies.</w:t>
            </w:r>
          </w:p>
          <w:p w14:paraId="297B9420" w14:textId="77777777" w:rsidR="00AB056B" w:rsidRDefault="008F0BA2" w:rsidP="00BD4BDD">
            <w:pPr>
              <w:spacing w:before="240" w:after="240"/>
              <w:jc w:val="center"/>
            </w:pPr>
            <w:r>
              <w:rPr>
                <w:b/>
              </w:rPr>
              <w:lastRenderedPageBreak/>
              <w:t>Government Incentives:</w:t>
            </w:r>
            <w:r>
              <w:t xml:space="preserve"> Support for clean energy investments.</w:t>
            </w:r>
          </w:p>
          <w:p w14:paraId="297B9421" w14:textId="77777777" w:rsidR="00AB056B" w:rsidRDefault="008F0BA2" w:rsidP="00BD4BDD">
            <w:pPr>
              <w:spacing w:before="240" w:after="240"/>
              <w:jc w:val="center"/>
            </w:pPr>
            <w:r>
              <w:rPr>
                <w:b/>
              </w:rPr>
              <w:t>Strategic Partnerships:</w:t>
            </w:r>
            <w:r>
              <w:t xml:space="preserve"> Potential collaborations for innovation.</w:t>
            </w:r>
          </w:p>
        </w:tc>
      </w:tr>
      <w:tr w:rsidR="00AB056B" w14:paraId="297B9428" w14:textId="77777777" w:rsidTr="002A49B0">
        <w:trPr>
          <w:trHeight w:val="1310"/>
          <w:jc w:val="center"/>
        </w:trPr>
        <w:tc>
          <w:tcPr>
            <w:tcW w:w="1669" w:type="dxa"/>
            <w:tcMar>
              <w:top w:w="100" w:type="dxa"/>
              <w:left w:w="100" w:type="dxa"/>
              <w:bottom w:w="100" w:type="dxa"/>
              <w:right w:w="100" w:type="dxa"/>
            </w:tcMar>
          </w:tcPr>
          <w:p w14:paraId="297B9423" w14:textId="77777777" w:rsidR="00AB056B" w:rsidRDefault="008F0BA2" w:rsidP="00BD4BDD">
            <w:pPr>
              <w:spacing w:before="240" w:after="240"/>
              <w:jc w:val="center"/>
            </w:pPr>
            <w:r>
              <w:rPr>
                <w:b/>
              </w:rPr>
              <w:lastRenderedPageBreak/>
              <w:t>Threats</w:t>
            </w:r>
          </w:p>
        </w:tc>
        <w:tc>
          <w:tcPr>
            <w:tcW w:w="7355" w:type="dxa"/>
            <w:tcMar>
              <w:top w:w="100" w:type="dxa"/>
              <w:left w:w="100" w:type="dxa"/>
              <w:bottom w:w="100" w:type="dxa"/>
              <w:right w:w="100" w:type="dxa"/>
            </w:tcMar>
          </w:tcPr>
          <w:p w14:paraId="297B9424" w14:textId="77777777" w:rsidR="00AB056B" w:rsidRDefault="008F0BA2" w:rsidP="00BD4BDD">
            <w:pPr>
              <w:spacing w:before="240" w:after="240"/>
              <w:jc w:val="center"/>
            </w:pPr>
            <w:r>
              <w:rPr>
                <w:b/>
              </w:rPr>
              <w:t>Volatile Oil Prices:</w:t>
            </w:r>
            <w:r>
              <w:t xml:space="preserve"> Impact on revenue and profitability.</w:t>
            </w:r>
          </w:p>
          <w:p w14:paraId="297B9425" w14:textId="77777777" w:rsidR="00AB056B" w:rsidRDefault="008F0BA2" w:rsidP="00BD4BDD">
            <w:pPr>
              <w:spacing w:before="240" w:after="240"/>
              <w:jc w:val="center"/>
            </w:pPr>
            <w:r>
              <w:rPr>
                <w:b/>
              </w:rPr>
              <w:t>Intense Competition:</w:t>
            </w:r>
            <w:r>
              <w:t xml:space="preserve"> Pressure from other energy companies.</w:t>
            </w:r>
          </w:p>
          <w:p w14:paraId="297B9426" w14:textId="77777777" w:rsidR="00AB056B" w:rsidRDefault="008F0BA2" w:rsidP="00BD4BDD">
            <w:pPr>
              <w:spacing w:before="240" w:after="240"/>
              <w:jc w:val="center"/>
            </w:pPr>
            <w:r>
              <w:rPr>
                <w:b/>
              </w:rPr>
              <w:t>Environmental Regulations:</w:t>
            </w:r>
            <w:r>
              <w:t xml:space="preserve"> Increasing compliance costs.</w:t>
            </w:r>
          </w:p>
          <w:p w14:paraId="297B9427" w14:textId="77777777" w:rsidR="00AB056B" w:rsidRDefault="008F0BA2" w:rsidP="00BD4BDD">
            <w:pPr>
              <w:spacing w:before="240" w:after="240"/>
              <w:jc w:val="center"/>
            </w:pPr>
            <w:r>
              <w:rPr>
                <w:b/>
              </w:rPr>
              <w:t>Geopolitical Risks:</w:t>
            </w:r>
            <w:r>
              <w:t xml:space="preserve"> Potential disruptions from political instability.</w:t>
            </w:r>
          </w:p>
        </w:tc>
      </w:tr>
    </w:tbl>
    <w:p w14:paraId="7A071A88" w14:textId="77777777" w:rsidR="002A49B0" w:rsidRPr="002A49B0" w:rsidRDefault="002A49B0" w:rsidP="002A49B0">
      <w:pPr>
        <w:spacing w:before="240" w:after="240"/>
        <w:jc w:val="center"/>
        <w:rPr>
          <w:b/>
          <w:bCs/>
        </w:rPr>
      </w:pPr>
      <w:r w:rsidRPr="002A49B0">
        <w:rPr>
          <w:b/>
          <w:bCs/>
        </w:rPr>
        <w:t>Table 1: SWOT Analysis</w:t>
      </w:r>
    </w:p>
    <w:p w14:paraId="297B9429" w14:textId="2E859F83" w:rsidR="00AB056B" w:rsidRDefault="002A49B0" w:rsidP="002A49B0">
      <w:pPr>
        <w:spacing w:before="240" w:after="240"/>
        <w:jc w:val="center"/>
      </w:pPr>
      <w:r>
        <w:t>(Source: Self-Developed)</w:t>
      </w:r>
    </w:p>
    <w:p w14:paraId="297B942B" w14:textId="20E35B97" w:rsidR="00AB056B" w:rsidRPr="00515900" w:rsidRDefault="008F0BA2" w:rsidP="002A49B0">
      <w:pPr>
        <w:pStyle w:val="Heading2"/>
        <w:rPr>
          <w:rFonts w:ascii="Arial" w:hAnsi="Arial" w:cs="Arial"/>
          <w:sz w:val="28"/>
          <w:szCs w:val="28"/>
        </w:rPr>
      </w:pPr>
      <w:bookmarkStart w:id="32" w:name="_i0fbl61qmo36" w:colFirst="0" w:colLast="0"/>
      <w:bookmarkStart w:id="33" w:name="_Toc175345314"/>
      <w:bookmarkEnd w:id="32"/>
      <w:r w:rsidRPr="00515900">
        <w:rPr>
          <w:rFonts w:ascii="Arial" w:hAnsi="Arial" w:cs="Arial"/>
          <w:sz w:val="28"/>
          <w:szCs w:val="28"/>
        </w:rPr>
        <w:t>Appendix B: PESTEL Analysis</w:t>
      </w:r>
      <w:bookmarkEnd w:id="33"/>
    </w:p>
    <w:tbl>
      <w:tblPr>
        <w:tblStyle w:val="a0"/>
        <w:tblW w:w="902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787"/>
        <w:gridCol w:w="7238"/>
      </w:tblGrid>
      <w:tr w:rsidR="00AB056B" w14:paraId="297B942E" w14:textId="77777777" w:rsidTr="002A49B0">
        <w:trPr>
          <w:trHeight w:val="770"/>
        </w:trPr>
        <w:tc>
          <w:tcPr>
            <w:tcW w:w="1787" w:type="dxa"/>
            <w:tcMar>
              <w:top w:w="100" w:type="dxa"/>
              <w:left w:w="100" w:type="dxa"/>
              <w:bottom w:w="100" w:type="dxa"/>
              <w:right w:w="100" w:type="dxa"/>
            </w:tcMar>
          </w:tcPr>
          <w:p w14:paraId="297B942C" w14:textId="77777777" w:rsidR="00AB056B" w:rsidRDefault="008F0BA2" w:rsidP="00BD4BDD">
            <w:pPr>
              <w:spacing w:before="240" w:after="240"/>
              <w:jc w:val="center"/>
            </w:pPr>
            <w:r>
              <w:rPr>
                <w:b/>
              </w:rPr>
              <w:t>PESTLE Analysis</w:t>
            </w:r>
          </w:p>
        </w:tc>
        <w:tc>
          <w:tcPr>
            <w:tcW w:w="7238" w:type="dxa"/>
            <w:tcMar>
              <w:top w:w="100" w:type="dxa"/>
              <w:left w:w="100" w:type="dxa"/>
              <w:bottom w:w="100" w:type="dxa"/>
              <w:right w:w="100" w:type="dxa"/>
            </w:tcMar>
          </w:tcPr>
          <w:p w14:paraId="297B942D" w14:textId="77777777" w:rsidR="00AB056B" w:rsidRDefault="008F0BA2" w:rsidP="00BD4BDD">
            <w:pPr>
              <w:spacing w:before="240" w:after="240"/>
              <w:jc w:val="center"/>
            </w:pPr>
            <w:r>
              <w:rPr>
                <w:b/>
              </w:rPr>
              <w:t>BP Plc</w:t>
            </w:r>
          </w:p>
        </w:tc>
      </w:tr>
      <w:tr w:rsidR="00AB056B" w14:paraId="297B9433" w14:textId="77777777" w:rsidTr="002A49B0">
        <w:trPr>
          <w:trHeight w:val="1580"/>
        </w:trPr>
        <w:tc>
          <w:tcPr>
            <w:tcW w:w="1787" w:type="dxa"/>
            <w:tcMar>
              <w:top w:w="100" w:type="dxa"/>
              <w:left w:w="100" w:type="dxa"/>
              <w:bottom w:w="100" w:type="dxa"/>
              <w:right w:w="100" w:type="dxa"/>
            </w:tcMar>
          </w:tcPr>
          <w:p w14:paraId="297B942F" w14:textId="77777777" w:rsidR="00AB056B" w:rsidRDefault="008F0BA2" w:rsidP="00BD4BDD">
            <w:pPr>
              <w:spacing w:before="240" w:after="240"/>
              <w:jc w:val="center"/>
            </w:pPr>
            <w:r>
              <w:rPr>
                <w:b/>
              </w:rPr>
              <w:t>Political</w:t>
            </w:r>
          </w:p>
        </w:tc>
        <w:tc>
          <w:tcPr>
            <w:tcW w:w="7238" w:type="dxa"/>
            <w:tcMar>
              <w:top w:w="100" w:type="dxa"/>
              <w:left w:w="100" w:type="dxa"/>
              <w:bottom w:w="100" w:type="dxa"/>
              <w:right w:w="100" w:type="dxa"/>
            </w:tcMar>
          </w:tcPr>
          <w:p w14:paraId="297B9430" w14:textId="77777777" w:rsidR="00AB056B" w:rsidRDefault="008F0BA2" w:rsidP="00BD4BDD">
            <w:pPr>
              <w:spacing w:before="240" w:after="240"/>
              <w:jc w:val="center"/>
            </w:pPr>
            <w:r>
              <w:rPr>
                <w:b/>
              </w:rPr>
              <w:t>Government Policies:</w:t>
            </w:r>
            <w:r>
              <w:t xml:space="preserve"> Policies on climate change and energy transition influence BP’s strategy.</w:t>
            </w:r>
          </w:p>
          <w:p w14:paraId="297B9431" w14:textId="77777777" w:rsidR="00AB056B" w:rsidRDefault="008F0BA2" w:rsidP="00BD4BDD">
            <w:pPr>
              <w:spacing w:before="240" w:after="240"/>
              <w:jc w:val="center"/>
            </w:pPr>
            <w:r>
              <w:rPr>
                <w:b/>
              </w:rPr>
              <w:t>Regulations:</w:t>
            </w:r>
            <w:r>
              <w:t xml:space="preserve"> Supportive regulations can accelerate investments in renewable energy.</w:t>
            </w:r>
          </w:p>
          <w:p w14:paraId="297B9432" w14:textId="77777777" w:rsidR="00AB056B" w:rsidRDefault="008F0BA2" w:rsidP="00BD4BDD">
            <w:pPr>
              <w:spacing w:before="240" w:after="240"/>
              <w:jc w:val="center"/>
            </w:pPr>
            <w:r>
              <w:rPr>
                <w:b/>
              </w:rPr>
              <w:t>International Relations:</w:t>
            </w:r>
            <w:r>
              <w:t xml:space="preserve"> Geopolitical tensions can affect global operations and market stability.</w:t>
            </w:r>
          </w:p>
        </w:tc>
      </w:tr>
      <w:tr w:rsidR="00AB056B" w14:paraId="297B9438" w14:textId="77777777" w:rsidTr="002A49B0">
        <w:trPr>
          <w:trHeight w:val="1580"/>
        </w:trPr>
        <w:tc>
          <w:tcPr>
            <w:tcW w:w="1787" w:type="dxa"/>
            <w:tcMar>
              <w:top w:w="100" w:type="dxa"/>
              <w:left w:w="100" w:type="dxa"/>
              <w:bottom w:w="100" w:type="dxa"/>
              <w:right w:w="100" w:type="dxa"/>
            </w:tcMar>
          </w:tcPr>
          <w:p w14:paraId="297B9434" w14:textId="77777777" w:rsidR="00AB056B" w:rsidRDefault="008F0BA2" w:rsidP="00BD4BDD">
            <w:pPr>
              <w:spacing w:before="240" w:after="240"/>
              <w:jc w:val="center"/>
            </w:pPr>
            <w:r>
              <w:rPr>
                <w:b/>
              </w:rPr>
              <w:lastRenderedPageBreak/>
              <w:t>Economic</w:t>
            </w:r>
          </w:p>
        </w:tc>
        <w:tc>
          <w:tcPr>
            <w:tcW w:w="7238" w:type="dxa"/>
            <w:tcMar>
              <w:top w:w="100" w:type="dxa"/>
              <w:left w:w="100" w:type="dxa"/>
              <w:bottom w:w="100" w:type="dxa"/>
              <w:right w:w="100" w:type="dxa"/>
            </w:tcMar>
          </w:tcPr>
          <w:p w14:paraId="5958FED6" w14:textId="77777777" w:rsidR="00800DD4" w:rsidRPr="00800DD4" w:rsidRDefault="00800DD4" w:rsidP="00BD4BDD">
            <w:pPr>
              <w:spacing w:before="240" w:after="240"/>
              <w:jc w:val="center"/>
              <w:rPr>
                <w:bCs/>
                <w:color w:val="000000" w:themeColor="text1"/>
                <w:lang w:val="en-IN"/>
              </w:rPr>
            </w:pPr>
            <w:r w:rsidRPr="00800DD4">
              <w:rPr>
                <w:b/>
                <w:color w:val="000000" w:themeColor="text1"/>
                <w:lang w:val="en-IN"/>
              </w:rPr>
              <w:t>Economic Fluctuations:</w:t>
            </w:r>
            <w:r w:rsidRPr="00800DD4">
              <w:rPr>
                <w:bCs/>
                <w:color w:val="000000" w:themeColor="text1"/>
                <w:lang w:val="en-IN"/>
              </w:rPr>
              <w:t xml:space="preserve"> Revenues and profitability fluctuate due to changes in oil prices and variations in energy demand.</w:t>
            </w:r>
          </w:p>
          <w:p w14:paraId="46352D3C" w14:textId="77777777" w:rsidR="00800DD4" w:rsidRPr="00800DD4" w:rsidRDefault="00800DD4" w:rsidP="00BD4BDD">
            <w:pPr>
              <w:spacing w:before="240" w:after="240"/>
              <w:jc w:val="center"/>
              <w:rPr>
                <w:bCs/>
                <w:color w:val="000000" w:themeColor="text1"/>
                <w:lang w:val="en-IN"/>
              </w:rPr>
            </w:pPr>
            <w:r w:rsidRPr="00800DD4">
              <w:rPr>
                <w:b/>
                <w:color w:val="000000" w:themeColor="text1"/>
                <w:lang w:val="en-IN"/>
              </w:rPr>
              <w:t>Diversification:</w:t>
            </w:r>
            <w:r w:rsidRPr="00800DD4">
              <w:rPr>
                <w:bCs/>
                <w:color w:val="000000" w:themeColor="text1"/>
                <w:lang w:val="en-IN"/>
              </w:rPr>
              <w:t xml:space="preserve"> Lowering the economic risk with expansion in renewables and other sectors.</w:t>
            </w:r>
          </w:p>
          <w:p w14:paraId="297B9437" w14:textId="26FB65A9" w:rsidR="00AB056B" w:rsidRPr="00800DD4" w:rsidRDefault="00800DD4" w:rsidP="00BD4BDD">
            <w:pPr>
              <w:spacing w:before="240" w:after="240"/>
              <w:jc w:val="center"/>
              <w:rPr>
                <w:bCs/>
                <w:color w:val="000000" w:themeColor="text1"/>
                <w:lang w:val="en-IN"/>
              </w:rPr>
            </w:pPr>
            <w:r w:rsidRPr="00800DD4">
              <w:rPr>
                <w:b/>
                <w:color w:val="000000" w:themeColor="text1"/>
                <w:lang w:val="en-IN"/>
              </w:rPr>
              <w:t>Investment Climate:</w:t>
            </w:r>
            <w:r w:rsidRPr="00800DD4">
              <w:rPr>
                <w:bCs/>
                <w:color w:val="000000" w:themeColor="text1"/>
                <w:lang w:val="en-IN"/>
              </w:rPr>
              <w:t xml:space="preserve"> Economic conditions can go to the extent of influencing the attractiveness of investments in energy projects.</w:t>
            </w:r>
          </w:p>
        </w:tc>
      </w:tr>
      <w:tr w:rsidR="00AB056B" w14:paraId="297B943D" w14:textId="77777777" w:rsidTr="002A49B0">
        <w:trPr>
          <w:trHeight w:val="1850"/>
        </w:trPr>
        <w:tc>
          <w:tcPr>
            <w:tcW w:w="1787" w:type="dxa"/>
            <w:tcMar>
              <w:top w:w="100" w:type="dxa"/>
              <w:left w:w="100" w:type="dxa"/>
              <w:bottom w:w="100" w:type="dxa"/>
              <w:right w:w="100" w:type="dxa"/>
            </w:tcMar>
          </w:tcPr>
          <w:p w14:paraId="297B9439" w14:textId="77777777" w:rsidR="00AB056B" w:rsidRDefault="008F0BA2" w:rsidP="00BD4BDD">
            <w:pPr>
              <w:spacing w:before="240" w:after="240"/>
              <w:jc w:val="center"/>
            </w:pPr>
            <w:r>
              <w:rPr>
                <w:b/>
              </w:rPr>
              <w:t>Social</w:t>
            </w:r>
          </w:p>
        </w:tc>
        <w:tc>
          <w:tcPr>
            <w:tcW w:w="7238" w:type="dxa"/>
            <w:tcMar>
              <w:top w:w="100" w:type="dxa"/>
              <w:left w:w="100" w:type="dxa"/>
              <w:bottom w:w="100" w:type="dxa"/>
              <w:right w:w="100" w:type="dxa"/>
            </w:tcMar>
          </w:tcPr>
          <w:p w14:paraId="7DEAF56E" w14:textId="77777777" w:rsidR="00800DD4" w:rsidRPr="00800DD4" w:rsidRDefault="00800DD4" w:rsidP="00BD4BDD">
            <w:pPr>
              <w:spacing w:before="240" w:after="240"/>
              <w:jc w:val="center"/>
              <w:rPr>
                <w:bCs/>
                <w:color w:val="000000" w:themeColor="text1"/>
                <w:lang w:val="en-IN"/>
              </w:rPr>
            </w:pPr>
            <w:r w:rsidRPr="00800DD4">
              <w:rPr>
                <w:b/>
                <w:color w:val="000000" w:themeColor="text1"/>
                <w:lang w:val="en-IN"/>
              </w:rPr>
              <w:t>Public Awareness:</w:t>
            </w:r>
            <w:r w:rsidRPr="00800DD4">
              <w:rPr>
                <w:bCs/>
                <w:color w:val="000000" w:themeColor="text1"/>
                <w:lang w:val="en-IN"/>
              </w:rPr>
              <w:t xml:space="preserve"> Growing public concern for the environment proves to be a potential source of demand for sustainability practices.</w:t>
            </w:r>
          </w:p>
          <w:p w14:paraId="39D675AC" w14:textId="77777777" w:rsidR="00800DD4" w:rsidRPr="00800DD4" w:rsidRDefault="00800DD4" w:rsidP="00BD4BDD">
            <w:pPr>
              <w:spacing w:before="240" w:after="240"/>
              <w:jc w:val="center"/>
              <w:rPr>
                <w:bCs/>
                <w:color w:val="000000" w:themeColor="text1"/>
                <w:lang w:val="en-IN"/>
              </w:rPr>
            </w:pPr>
            <w:r w:rsidRPr="00800DD4">
              <w:rPr>
                <w:b/>
                <w:color w:val="000000" w:themeColor="text1"/>
                <w:lang w:val="en-IN"/>
              </w:rPr>
              <w:t>CSR (Corporate Social Responsibility):</w:t>
            </w:r>
            <w:r w:rsidRPr="00800DD4">
              <w:rPr>
                <w:bCs/>
                <w:color w:val="000000" w:themeColor="text1"/>
                <w:lang w:val="en-IN"/>
              </w:rPr>
              <w:t xml:space="preserve"> Greater prominence given to CSR shapes BP's interests in renewable energy and ethics.</w:t>
            </w:r>
          </w:p>
          <w:p w14:paraId="297B943C" w14:textId="1A205693" w:rsidR="00AB056B" w:rsidRPr="00800DD4" w:rsidRDefault="00800DD4" w:rsidP="00BD4BDD">
            <w:pPr>
              <w:spacing w:before="240" w:after="240"/>
              <w:jc w:val="center"/>
              <w:rPr>
                <w:bCs/>
                <w:color w:val="000000" w:themeColor="text1"/>
                <w:lang w:val="en-IN"/>
              </w:rPr>
            </w:pPr>
            <w:r w:rsidRPr="00800DD4">
              <w:rPr>
                <w:b/>
                <w:color w:val="000000" w:themeColor="text1"/>
                <w:lang w:val="en-IN"/>
              </w:rPr>
              <w:t xml:space="preserve">Consumer </w:t>
            </w:r>
            <w:r>
              <w:rPr>
                <w:b/>
                <w:color w:val="000000" w:themeColor="text1"/>
                <w:lang w:val="en-IN"/>
              </w:rPr>
              <w:t>P</w:t>
            </w:r>
            <w:r w:rsidRPr="00800DD4">
              <w:rPr>
                <w:b/>
                <w:color w:val="000000" w:themeColor="text1"/>
                <w:lang w:val="en-IN"/>
              </w:rPr>
              <w:t>references:</w:t>
            </w:r>
            <w:r w:rsidRPr="00800DD4">
              <w:rPr>
                <w:bCs/>
                <w:color w:val="000000" w:themeColor="text1"/>
                <w:lang w:val="en-IN"/>
              </w:rPr>
              <w:t xml:space="preserve"> Changing toward greener energy solutions, these are affecting the market strategies for BP.</w:t>
            </w:r>
          </w:p>
        </w:tc>
      </w:tr>
      <w:tr w:rsidR="00AB056B" w14:paraId="297B9442" w14:textId="77777777" w:rsidTr="002A49B0">
        <w:trPr>
          <w:trHeight w:val="1850"/>
        </w:trPr>
        <w:tc>
          <w:tcPr>
            <w:tcW w:w="1787" w:type="dxa"/>
            <w:tcMar>
              <w:top w:w="100" w:type="dxa"/>
              <w:left w:w="100" w:type="dxa"/>
              <w:bottom w:w="100" w:type="dxa"/>
              <w:right w:w="100" w:type="dxa"/>
            </w:tcMar>
          </w:tcPr>
          <w:p w14:paraId="297B943E" w14:textId="77777777" w:rsidR="00AB056B" w:rsidRDefault="008F0BA2" w:rsidP="00BD4BDD">
            <w:pPr>
              <w:spacing w:before="240" w:after="240"/>
              <w:jc w:val="center"/>
            </w:pPr>
            <w:r>
              <w:rPr>
                <w:b/>
              </w:rPr>
              <w:t>Technological</w:t>
            </w:r>
          </w:p>
        </w:tc>
        <w:tc>
          <w:tcPr>
            <w:tcW w:w="7238" w:type="dxa"/>
            <w:tcMar>
              <w:top w:w="100" w:type="dxa"/>
              <w:left w:w="100" w:type="dxa"/>
              <w:bottom w:w="100" w:type="dxa"/>
              <w:right w:w="100" w:type="dxa"/>
            </w:tcMar>
          </w:tcPr>
          <w:p w14:paraId="16995ED4" w14:textId="77777777" w:rsidR="00800DD4" w:rsidRPr="00800DD4" w:rsidRDefault="00800DD4" w:rsidP="00BD4BDD">
            <w:pPr>
              <w:spacing w:before="240" w:after="240"/>
              <w:jc w:val="center"/>
              <w:rPr>
                <w:bCs/>
                <w:color w:val="000000" w:themeColor="text1"/>
                <w:lang w:val="en-IN"/>
              </w:rPr>
            </w:pPr>
            <w:r w:rsidRPr="00800DD4">
              <w:rPr>
                <w:b/>
                <w:color w:val="000000" w:themeColor="text1"/>
                <w:lang w:val="en-IN"/>
              </w:rPr>
              <w:t>Advancements:</w:t>
            </w:r>
            <w:r w:rsidRPr="00800DD4">
              <w:rPr>
                <w:bCs/>
                <w:color w:val="000000" w:themeColor="text1"/>
                <w:lang w:val="en-IN"/>
              </w:rPr>
              <w:t xml:space="preserve"> New technologies are more operationally efficient and allow innovative energy solutions to be formed.</w:t>
            </w:r>
          </w:p>
          <w:p w14:paraId="14D7BB7E" w14:textId="77777777" w:rsidR="00800DD4" w:rsidRPr="00800DD4" w:rsidRDefault="00800DD4" w:rsidP="00BD4BDD">
            <w:pPr>
              <w:spacing w:before="240" w:after="240"/>
              <w:jc w:val="center"/>
              <w:rPr>
                <w:bCs/>
                <w:color w:val="000000" w:themeColor="text1"/>
                <w:lang w:val="en-IN"/>
              </w:rPr>
            </w:pPr>
            <w:r w:rsidRPr="00800DD4">
              <w:rPr>
                <w:b/>
                <w:color w:val="000000" w:themeColor="text1"/>
                <w:lang w:val="en-IN"/>
              </w:rPr>
              <w:t>Digital Transformation:</w:t>
            </w:r>
            <w:r w:rsidRPr="00800DD4">
              <w:rPr>
                <w:bCs/>
                <w:color w:val="000000" w:themeColor="text1"/>
                <w:lang w:val="en-IN"/>
              </w:rPr>
              <w:t xml:space="preserve"> AI and blockchain serve as technological stepping stones toward enhanced operational capabilities and decision-making at BP.</w:t>
            </w:r>
          </w:p>
          <w:p w14:paraId="297B9441" w14:textId="7C52AC07" w:rsidR="00AB056B" w:rsidRPr="00800DD4" w:rsidRDefault="00800DD4" w:rsidP="00BD4BDD">
            <w:pPr>
              <w:spacing w:before="240" w:after="240"/>
              <w:jc w:val="center"/>
              <w:rPr>
                <w:bCs/>
                <w:color w:val="000000" w:themeColor="text1"/>
                <w:lang w:val="en-IN"/>
              </w:rPr>
            </w:pPr>
            <w:r w:rsidRPr="00800DD4">
              <w:rPr>
                <w:b/>
                <w:color w:val="000000" w:themeColor="text1"/>
                <w:lang w:val="en-IN"/>
              </w:rPr>
              <w:t>R&amp;D Investments:</w:t>
            </w:r>
            <w:r w:rsidRPr="00800DD4">
              <w:rPr>
                <w:bCs/>
                <w:color w:val="000000" w:themeColor="text1"/>
                <w:lang w:val="en-IN"/>
              </w:rPr>
              <w:t xml:space="preserve"> Continual research and development are essential if a company is to remain at the forefront of technology.</w:t>
            </w:r>
          </w:p>
        </w:tc>
      </w:tr>
      <w:tr w:rsidR="00AB056B" w14:paraId="297B9447" w14:textId="77777777" w:rsidTr="002A49B0">
        <w:trPr>
          <w:trHeight w:val="1580"/>
        </w:trPr>
        <w:tc>
          <w:tcPr>
            <w:tcW w:w="1787" w:type="dxa"/>
            <w:tcMar>
              <w:top w:w="100" w:type="dxa"/>
              <w:left w:w="100" w:type="dxa"/>
              <w:bottom w:w="100" w:type="dxa"/>
              <w:right w:w="100" w:type="dxa"/>
            </w:tcMar>
          </w:tcPr>
          <w:p w14:paraId="297B9443" w14:textId="77777777" w:rsidR="00AB056B" w:rsidRDefault="008F0BA2" w:rsidP="00BD4BDD">
            <w:pPr>
              <w:spacing w:before="240" w:after="240"/>
              <w:jc w:val="center"/>
            </w:pPr>
            <w:r>
              <w:rPr>
                <w:b/>
              </w:rPr>
              <w:t>Environmental</w:t>
            </w:r>
          </w:p>
        </w:tc>
        <w:tc>
          <w:tcPr>
            <w:tcW w:w="7238" w:type="dxa"/>
            <w:tcMar>
              <w:top w:w="100" w:type="dxa"/>
              <w:left w:w="100" w:type="dxa"/>
              <w:bottom w:w="100" w:type="dxa"/>
              <w:right w:w="100" w:type="dxa"/>
            </w:tcMar>
          </w:tcPr>
          <w:p w14:paraId="297B9444" w14:textId="77777777" w:rsidR="00AB056B" w:rsidRDefault="008F0BA2" w:rsidP="00BD4BDD">
            <w:pPr>
              <w:spacing w:before="240" w:after="240"/>
              <w:jc w:val="center"/>
            </w:pPr>
            <w:r>
              <w:rPr>
                <w:b/>
              </w:rPr>
              <w:t>Environmental Concerns:</w:t>
            </w:r>
            <w:r>
              <w:t xml:space="preserve"> Rising environmental awareness necessitates a shift towards greener energy sources.</w:t>
            </w:r>
          </w:p>
          <w:p w14:paraId="297B9445" w14:textId="77777777" w:rsidR="00AB056B" w:rsidRDefault="008F0BA2" w:rsidP="00BD4BDD">
            <w:pPr>
              <w:spacing w:before="240" w:after="240"/>
              <w:jc w:val="center"/>
            </w:pPr>
            <w:r>
              <w:rPr>
                <w:b/>
              </w:rPr>
              <w:lastRenderedPageBreak/>
              <w:t>Regulations:</w:t>
            </w:r>
            <w:r>
              <w:t xml:space="preserve"> Compliance with environmental laws and standards impacts strategic decisions.</w:t>
            </w:r>
          </w:p>
          <w:p w14:paraId="297B9446" w14:textId="77777777" w:rsidR="00AB056B" w:rsidRDefault="008F0BA2" w:rsidP="00BD4BDD">
            <w:pPr>
              <w:spacing w:before="240" w:after="240"/>
              <w:jc w:val="center"/>
            </w:pPr>
            <w:r>
              <w:rPr>
                <w:b/>
              </w:rPr>
              <w:t>Sustainability Practices:</w:t>
            </w:r>
            <w:r>
              <w:t xml:space="preserve"> Implementation of sustainability measures is crucial for reducing environmental impact.</w:t>
            </w:r>
          </w:p>
        </w:tc>
      </w:tr>
      <w:tr w:rsidR="00AB056B" w14:paraId="297B944C" w14:textId="77777777" w:rsidTr="002A49B0">
        <w:trPr>
          <w:trHeight w:val="1850"/>
        </w:trPr>
        <w:tc>
          <w:tcPr>
            <w:tcW w:w="1787" w:type="dxa"/>
            <w:tcMar>
              <w:top w:w="100" w:type="dxa"/>
              <w:left w:w="100" w:type="dxa"/>
              <w:bottom w:w="100" w:type="dxa"/>
              <w:right w:w="100" w:type="dxa"/>
            </w:tcMar>
          </w:tcPr>
          <w:p w14:paraId="297B9448" w14:textId="77777777" w:rsidR="00AB056B" w:rsidRDefault="008F0BA2" w:rsidP="00BD4BDD">
            <w:pPr>
              <w:spacing w:before="240" w:after="240"/>
              <w:jc w:val="center"/>
            </w:pPr>
            <w:r>
              <w:rPr>
                <w:b/>
              </w:rPr>
              <w:lastRenderedPageBreak/>
              <w:t>Legal</w:t>
            </w:r>
          </w:p>
        </w:tc>
        <w:tc>
          <w:tcPr>
            <w:tcW w:w="7238" w:type="dxa"/>
            <w:tcMar>
              <w:top w:w="100" w:type="dxa"/>
              <w:left w:w="100" w:type="dxa"/>
              <w:bottom w:w="100" w:type="dxa"/>
              <w:right w:w="100" w:type="dxa"/>
            </w:tcMar>
          </w:tcPr>
          <w:p w14:paraId="297B9449" w14:textId="77777777" w:rsidR="00AB056B" w:rsidRDefault="008F0BA2" w:rsidP="00BD4BDD">
            <w:pPr>
              <w:spacing w:before="240" w:after="240"/>
              <w:jc w:val="center"/>
            </w:pPr>
            <w:r>
              <w:rPr>
                <w:b/>
              </w:rPr>
              <w:t>Compliance:</w:t>
            </w:r>
            <w:r>
              <w:t xml:space="preserve"> Adherence to environmental laws and regulations affects operational practices.</w:t>
            </w:r>
          </w:p>
          <w:p w14:paraId="297B944A" w14:textId="77777777" w:rsidR="00AB056B" w:rsidRDefault="008F0BA2" w:rsidP="00BD4BDD">
            <w:pPr>
              <w:spacing w:before="240" w:after="240"/>
              <w:jc w:val="center"/>
            </w:pPr>
            <w:r>
              <w:rPr>
                <w:b/>
              </w:rPr>
              <w:t>Litigation Risks:</w:t>
            </w:r>
            <w:r>
              <w:t xml:space="preserve"> Legal challenges related to environmental issues and regulatory compliance can impact financial performance.</w:t>
            </w:r>
          </w:p>
          <w:p w14:paraId="297B944B" w14:textId="77777777" w:rsidR="00AB056B" w:rsidRDefault="008F0BA2" w:rsidP="00BD4BDD">
            <w:pPr>
              <w:spacing w:before="240" w:after="240"/>
              <w:jc w:val="center"/>
            </w:pPr>
            <w:r>
              <w:rPr>
                <w:b/>
              </w:rPr>
              <w:t>Intellectual Property:</w:t>
            </w:r>
            <w:r>
              <w:t xml:space="preserve"> Protecting technological innovations and maintaining competitive advantage through legal means is essential.</w:t>
            </w:r>
          </w:p>
        </w:tc>
      </w:tr>
    </w:tbl>
    <w:p w14:paraId="46B6C9F3" w14:textId="351350CA" w:rsidR="002A49B0" w:rsidRPr="002A49B0" w:rsidRDefault="002A49B0" w:rsidP="002A49B0">
      <w:pPr>
        <w:jc w:val="center"/>
        <w:rPr>
          <w:b/>
          <w:bCs/>
        </w:rPr>
      </w:pPr>
      <w:bookmarkStart w:id="34" w:name="_vymy5v2cdcw" w:colFirst="0" w:colLast="0"/>
      <w:bookmarkEnd w:id="34"/>
      <w:r w:rsidRPr="002A49B0">
        <w:rPr>
          <w:b/>
          <w:bCs/>
        </w:rPr>
        <w:t>Table 2: PESTLE Analysis</w:t>
      </w:r>
    </w:p>
    <w:p w14:paraId="7CCD43CF" w14:textId="746ED251" w:rsidR="002A49B0" w:rsidRDefault="002A49B0" w:rsidP="002A49B0">
      <w:pPr>
        <w:jc w:val="center"/>
      </w:pPr>
      <w:r>
        <w:t>(Source: Self-Developed)</w:t>
      </w:r>
    </w:p>
    <w:p w14:paraId="297B944D" w14:textId="4D3D60C8" w:rsidR="00AB056B" w:rsidRPr="00515900" w:rsidRDefault="008F0BA2">
      <w:pPr>
        <w:pStyle w:val="Heading2"/>
        <w:rPr>
          <w:rFonts w:ascii="Arial" w:hAnsi="Arial" w:cs="Arial"/>
          <w:sz w:val="28"/>
          <w:szCs w:val="28"/>
        </w:rPr>
      </w:pPr>
      <w:bookmarkStart w:id="35" w:name="_Toc175345315"/>
      <w:r w:rsidRPr="00515900">
        <w:rPr>
          <w:rFonts w:ascii="Arial" w:hAnsi="Arial" w:cs="Arial"/>
          <w:sz w:val="28"/>
          <w:szCs w:val="28"/>
        </w:rPr>
        <w:t>Appendix C: Industry Five Forces Analysis</w:t>
      </w:r>
      <w:bookmarkEnd w:id="35"/>
    </w:p>
    <w:tbl>
      <w:tblPr>
        <w:tblStyle w:val="a1"/>
        <w:tblW w:w="9025"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2376"/>
        <w:gridCol w:w="6649"/>
      </w:tblGrid>
      <w:tr w:rsidR="00AB056B" w14:paraId="297B9450" w14:textId="77777777" w:rsidTr="002A49B0">
        <w:trPr>
          <w:trHeight w:val="500"/>
          <w:jc w:val="center"/>
        </w:trPr>
        <w:tc>
          <w:tcPr>
            <w:tcW w:w="2376" w:type="dxa"/>
            <w:tcMar>
              <w:top w:w="100" w:type="dxa"/>
              <w:left w:w="100" w:type="dxa"/>
              <w:bottom w:w="100" w:type="dxa"/>
              <w:right w:w="100" w:type="dxa"/>
            </w:tcMar>
          </w:tcPr>
          <w:p w14:paraId="297B944E" w14:textId="77777777" w:rsidR="00AB056B" w:rsidRDefault="008F0BA2" w:rsidP="00BD4BDD">
            <w:pPr>
              <w:spacing w:before="240" w:after="240"/>
              <w:jc w:val="center"/>
            </w:pPr>
            <w:r>
              <w:rPr>
                <w:b/>
              </w:rPr>
              <w:t>Industry Five Forces</w:t>
            </w:r>
          </w:p>
        </w:tc>
        <w:tc>
          <w:tcPr>
            <w:tcW w:w="6648" w:type="dxa"/>
            <w:tcMar>
              <w:top w:w="100" w:type="dxa"/>
              <w:left w:w="100" w:type="dxa"/>
              <w:bottom w:w="100" w:type="dxa"/>
              <w:right w:w="100" w:type="dxa"/>
            </w:tcMar>
          </w:tcPr>
          <w:p w14:paraId="297B944F" w14:textId="77777777" w:rsidR="00AB056B" w:rsidRDefault="008F0BA2" w:rsidP="00BD4BDD">
            <w:pPr>
              <w:spacing w:before="240" w:after="240"/>
              <w:jc w:val="center"/>
            </w:pPr>
            <w:r>
              <w:rPr>
                <w:b/>
              </w:rPr>
              <w:t>BP Plc</w:t>
            </w:r>
          </w:p>
        </w:tc>
      </w:tr>
      <w:tr w:rsidR="00AB056B" w14:paraId="297B9453" w14:textId="77777777" w:rsidTr="002A49B0">
        <w:trPr>
          <w:trHeight w:val="770"/>
          <w:jc w:val="center"/>
        </w:trPr>
        <w:tc>
          <w:tcPr>
            <w:tcW w:w="2376" w:type="dxa"/>
            <w:tcMar>
              <w:top w:w="100" w:type="dxa"/>
              <w:left w:w="100" w:type="dxa"/>
              <w:bottom w:w="100" w:type="dxa"/>
              <w:right w:w="100" w:type="dxa"/>
            </w:tcMar>
          </w:tcPr>
          <w:p w14:paraId="297B9451" w14:textId="77777777" w:rsidR="00AB056B" w:rsidRDefault="008F0BA2" w:rsidP="00BD4BDD">
            <w:pPr>
              <w:spacing w:before="240" w:after="240"/>
              <w:jc w:val="center"/>
            </w:pPr>
            <w:r>
              <w:rPr>
                <w:b/>
              </w:rPr>
              <w:t>Threat of New Entrants</w:t>
            </w:r>
          </w:p>
        </w:tc>
        <w:tc>
          <w:tcPr>
            <w:tcW w:w="6648" w:type="dxa"/>
            <w:tcMar>
              <w:top w:w="100" w:type="dxa"/>
              <w:left w:w="100" w:type="dxa"/>
              <w:bottom w:w="100" w:type="dxa"/>
              <w:right w:w="100" w:type="dxa"/>
            </w:tcMar>
          </w:tcPr>
          <w:p w14:paraId="297B9452" w14:textId="77777777" w:rsidR="00AB056B" w:rsidRDefault="008F0BA2" w:rsidP="00BD4BDD">
            <w:pPr>
              <w:spacing w:before="240" w:after="240"/>
              <w:jc w:val="center"/>
            </w:pPr>
            <w:r>
              <w:t>High entry barriers due to capital and regulatory requirements; BP’s established position provides a competitive edge.</w:t>
            </w:r>
          </w:p>
        </w:tc>
      </w:tr>
      <w:tr w:rsidR="00AB056B" w14:paraId="297B9456" w14:textId="77777777" w:rsidTr="002A49B0">
        <w:trPr>
          <w:trHeight w:val="770"/>
          <w:jc w:val="center"/>
        </w:trPr>
        <w:tc>
          <w:tcPr>
            <w:tcW w:w="2376" w:type="dxa"/>
            <w:tcMar>
              <w:top w:w="100" w:type="dxa"/>
              <w:left w:w="100" w:type="dxa"/>
              <w:bottom w:w="100" w:type="dxa"/>
              <w:right w:w="100" w:type="dxa"/>
            </w:tcMar>
          </w:tcPr>
          <w:p w14:paraId="297B9454" w14:textId="77777777" w:rsidR="00AB056B" w:rsidRDefault="008F0BA2" w:rsidP="00BD4BDD">
            <w:pPr>
              <w:spacing w:before="240" w:after="240"/>
              <w:jc w:val="center"/>
            </w:pPr>
            <w:r>
              <w:rPr>
                <w:b/>
              </w:rPr>
              <w:t>Bargaining Power of Suppliers</w:t>
            </w:r>
          </w:p>
        </w:tc>
        <w:tc>
          <w:tcPr>
            <w:tcW w:w="6648" w:type="dxa"/>
            <w:tcMar>
              <w:top w:w="100" w:type="dxa"/>
              <w:left w:w="100" w:type="dxa"/>
              <w:bottom w:w="100" w:type="dxa"/>
              <w:right w:w="100" w:type="dxa"/>
            </w:tcMar>
          </w:tcPr>
          <w:p w14:paraId="297B9455" w14:textId="2DAB4CAF" w:rsidR="00AB056B" w:rsidRDefault="008F0BA2" w:rsidP="00BD4BDD">
            <w:pPr>
              <w:spacing w:before="240" w:after="240"/>
              <w:jc w:val="center"/>
            </w:pPr>
            <w:r>
              <w:t xml:space="preserve">BP’s global scale reduces supplier power, allowing </w:t>
            </w:r>
            <w:r w:rsidR="00BD4BDD">
              <w:t>favourable</w:t>
            </w:r>
            <w:r>
              <w:t xml:space="preserve"> terms.</w:t>
            </w:r>
          </w:p>
        </w:tc>
      </w:tr>
      <w:tr w:rsidR="00AB056B" w14:paraId="297B9459" w14:textId="77777777" w:rsidTr="002A49B0">
        <w:trPr>
          <w:trHeight w:val="770"/>
          <w:jc w:val="center"/>
        </w:trPr>
        <w:tc>
          <w:tcPr>
            <w:tcW w:w="2376" w:type="dxa"/>
            <w:tcMar>
              <w:top w:w="100" w:type="dxa"/>
              <w:left w:w="100" w:type="dxa"/>
              <w:bottom w:w="100" w:type="dxa"/>
              <w:right w:w="100" w:type="dxa"/>
            </w:tcMar>
          </w:tcPr>
          <w:p w14:paraId="297B9457" w14:textId="77777777" w:rsidR="00AB056B" w:rsidRDefault="008F0BA2" w:rsidP="00BD4BDD">
            <w:pPr>
              <w:spacing w:before="240" w:after="240"/>
              <w:jc w:val="center"/>
            </w:pPr>
            <w:r>
              <w:rPr>
                <w:b/>
              </w:rPr>
              <w:lastRenderedPageBreak/>
              <w:t>Bargaining Power of Buyers</w:t>
            </w:r>
          </w:p>
        </w:tc>
        <w:tc>
          <w:tcPr>
            <w:tcW w:w="6648" w:type="dxa"/>
            <w:tcMar>
              <w:top w:w="100" w:type="dxa"/>
              <w:left w:w="100" w:type="dxa"/>
              <w:bottom w:w="100" w:type="dxa"/>
              <w:right w:w="100" w:type="dxa"/>
            </w:tcMar>
          </w:tcPr>
          <w:p w14:paraId="297B9458" w14:textId="77777777" w:rsidR="00AB056B" w:rsidRDefault="008F0BA2" w:rsidP="00BD4BDD">
            <w:pPr>
              <w:spacing w:before="240" w:after="240"/>
              <w:jc w:val="center"/>
            </w:pPr>
            <w:r>
              <w:t>Growing demand for sustainable energy forces BP to adapt its offerings.</w:t>
            </w:r>
          </w:p>
        </w:tc>
      </w:tr>
      <w:tr w:rsidR="00AB056B" w14:paraId="297B945C" w14:textId="77777777" w:rsidTr="002A49B0">
        <w:trPr>
          <w:trHeight w:val="770"/>
          <w:jc w:val="center"/>
        </w:trPr>
        <w:tc>
          <w:tcPr>
            <w:tcW w:w="2376" w:type="dxa"/>
            <w:tcMar>
              <w:top w:w="100" w:type="dxa"/>
              <w:left w:w="100" w:type="dxa"/>
              <w:bottom w:w="100" w:type="dxa"/>
              <w:right w:w="100" w:type="dxa"/>
            </w:tcMar>
          </w:tcPr>
          <w:p w14:paraId="297B945A" w14:textId="77777777" w:rsidR="00AB056B" w:rsidRDefault="008F0BA2" w:rsidP="00BD4BDD">
            <w:pPr>
              <w:spacing w:before="240" w:after="240"/>
              <w:jc w:val="center"/>
            </w:pPr>
            <w:r>
              <w:rPr>
                <w:b/>
              </w:rPr>
              <w:t>Threat of Substitutes</w:t>
            </w:r>
          </w:p>
        </w:tc>
        <w:tc>
          <w:tcPr>
            <w:tcW w:w="6648" w:type="dxa"/>
            <w:tcMar>
              <w:top w:w="100" w:type="dxa"/>
              <w:left w:w="100" w:type="dxa"/>
              <w:bottom w:w="100" w:type="dxa"/>
              <w:right w:w="100" w:type="dxa"/>
            </w:tcMar>
          </w:tcPr>
          <w:p w14:paraId="297B945B" w14:textId="77777777" w:rsidR="00AB056B" w:rsidRDefault="008F0BA2" w:rsidP="00BD4BDD">
            <w:pPr>
              <w:spacing w:before="240" w:after="240"/>
              <w:jc w:val="center"/>
            </w:pPr>
            <w:r>
              <w:t>Rising alternative energy sources; BP’s investment in renewables helps counteract this threat.</w:t>
            </w:r>
          </w:p>
        </w:tc>
      </w:tr>
      <w:tr w:rsidR="00AB056B" w14:paraId="297B945F" w14:textId="77777777" w:rsidTr="002A49B0">
        <w:trPr>
          <w:trHeight w:val="500"/>
          <w:jc w:val="center"/>
        </w:trPr>
        <w:tc>
          <w:tcPr>
            <w:tcW w:w="2376" w:type="dxa"/>
            <w:tcMar>
              <w:top w:w="100" w:type="dxa"/>
              <w:left w:w="100" w:type="dxa"/>
              <w:bottom w:w="100" w:type="dxa"/>
              <w:right w:w="100" w:type="dxa"/>
            </w:tcMar>
          </w:tcPr>
          <w:p w14:paraId="297B945D" w14:textId="77777777" w:rsidR="00AB056B" w:rsidRDefault="008F0BA2" w:rsidP="00BD4BDD">
            <w:pPr>
              <w:spacing w:before="240" w:after="240"/>
              <w:jc w:val="center"/>
            </w:pPr>
            <w:r>
              <w:rPr>
                <w:b/>
              </w:rPr>
              <w:t>Industry Rivalry</w:t>
            </w:r>
          </w:p>
        </w:tc>
        <w:tc>
          <w:tcPr>
            <w:tcW w:w="6648" w:type="dxa"/>
            <w:tcMar>
              <w:top w:w="100" w:type="dxa"/>
              <w:left w:w="100" w:type="dxa"/>
              <w:bottom w:w="100" w:type="dxa"/>
              <w:right w:w="100" w:type="dxa"/>
            </w:tcMar>
          </w:tcPr>
          <w:p w14:paraId="297B945E" w14:textId="77777777" w:rsidR="00AB056B" w:rsidRDefault="008F0BA2" w:rsidP="00BD4BDD">
            <w:pPr>
              <w:spacing w:before="240" w:after="240"/>
              <w:jc w:val="center"/>
            </w:pPr>
            <w:r>
              <w:t>Intense competition drives BP to innovate and optimize operations.</w:t>
            </w:r>
          </w:p>
        </w:tc>
      </w:tr>
    </w:tbl>
    <w:p w14:paraId="297B9460" w14:textId="49FFCCBF" w:rsidR="00AB056B" w:rsidRPr="002A49B0" w:rsidRDefault="002A49B0" w:rsidP="002A49B0">
      <w:pPr>
        <w:spacing w:before="240" w:after="240"/>
        <w:jc w:val="center"/>
        <w:rPr>
          <w:b/>
          <w:bCs/>
        </w:rPr>
      </w:pPr>
      <w:r w:rsidRPr="002A49B0">
        <w:rPr>
          <w:b/>
          <w:bCs/>
        </w:rPr>
        <w:t>Table 3: Porters Five Forces</w:t>
      </w:r>
    </w:p>
    <w:p w14:paraId="39DABFDF" w14:textId="0340615A" w:rsidR="002A49B0" w:rsidRDefault="002A49B0" w:rsidP="002A49B0">
      <w:pPr>
        <w:spacing w:before="240" w:after="240"/>
        <w:jc w:val="center"/>
      </w:pPr>
      <w:r>
        <w:t>(Source: Self-Developed)</w:t>
      </w:r>
    </w:p>
    <w:p w14:paraId="297B9462" w14:textId="76DC8158" w:rsidR="00AB056B" w:rsidRPr="00515900" w:rsidRDefault="008F0BA2" w:rsidP="002A49B0">
      <w:pPr>
        <w:pStyle w:val="Heading2"/>
        <w:rPr>
          <w:rFonts w:ascii="Arial" w:hAnsi="Arial" w:cs="Arial"/>
          <w:sz w:val="28"/>
          <w:szCs w:val="28"/>
        </w:rPr>
      </w:pPr>
      <w:bookmarkStart w:id="36" w:name="_o8xpvusucdwg" w:colFirst="0" w:colLast="0"/>
      <w:bookmarkStart w:id="37" w:name="_Toc175345316"/>
      <w:bookmarkEnd w:id="36"/>
      <w:r w:rsidRPr="00515900">
        <w:rPr>
          <w:rFonts w:ascii="Arial" w:hAnsi="Arial" w:cs="Arial"/>
          <w:sz w:val="28"/>
          <w:szCs w:val="28"/>
        </w:rPr>
        <w:t>Appendix D: VRIO</w:t>
      </w:r>
      <w:bookmarkEnd w:id="37"/>
    </w:p>
    <w:tbl>
      <w:tblPr>
        <w:tblStyle w:val="a2"/>
        <w:tblW w:w="900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800"/>
        <w:gridCol w:w="1770"/>
        <w:gridCol w:w="1830"/>
        <w:gridCol w:w="1800"/>
        <w:gridCol w:w="1800"/>
      </w:tblGrid>
      <w:tr w:rsidR="00AB056B" w14:paraId="297B9468" w14:textId="77777777" w:rsidTr="002A49B0">
        <w:trPr>
          <w:trHeight w:val="555"/>
          <w:jc w:val="center"/>
        </w:trPr>
        <w:tc>
          <w:tcPr>
            <w:tcW w:w="1800" w:type="dxa"/>
            <w:tcMar>
              <w:top w:w="120" w:type="dxa"/>
              <w:left w:w="60" w:type="dxa"/>
              <w:bottom w:w="120" w:type="dxa"/>
              <w:right w:w="60" w:type="dxa"/>
            </w:tcMar>
            <w:vAlign w:val="center"/>
          </w:tcPr>
          <w:p w14:paraId="297B9463" w14:textId="77777777" w:rsidR="00AB056B" w:rsidRDefault="008F0BA2" w:rsidP="00BD4BDD">
            <w:pPr>
              <w:spacing w:before="360" w:after="240"/>
              <w:jc w:val="center"/>
            </w:pPr>
            <w:r>
              <w:t>Criteria</w:t>
            </w:r>
          </w:p>
        </w:tc>
        <w:tc>
          <w:tcPr>
            <w:tcW w:w="1770" w:type="dxa"/>
            <w:tcMar>
              <w:top w:w="120" w:type="dxa"/>
              <w:left w:w="60" w:type="dxa"/>
              <w:bottom w:w="120" w:type="dxa"/>
              <w:right w:w="60" w:type="dxa"/>
            </w:tcMar>
            <w:vAlign w:val="center"/>
          </w:tcPr>
          <w:p w14:paraId="297B9464" w14:textId="77777777" w:rsidR="00AB056B" w:rsidRDefault="008F0BA2" w:rsidP="00BD4BDD">
            <w:pPr>
              <w:spacing w:before="360" w:after="240"/>
              <w:jc w:val="center"/>
            </w:pPr>
            <w:r>
              <w:t>Valuable?</w:t>
            </w:r>
          </w:p>
        </w:tc>
        <w:tc>
          <w:tcPr>
            <w:tcW w:w="1830" w:type="dxa"/>
            <w:tcMar>
              <w:top w:w="120" w:type="dxa"/>
              <w:left w:w="60" w:type="dxa"/>
              <w:bottom w:w="120" w:type="dxa"/>
              <w:right w:w="60" w:type="dxa"/>
            </w:tcMar>
            <w:vAlign w:val="center"/>
          </w:tcPr>
          <w:p w14:paraId="297B9465" w14:textId="77777777" w:rsidR="00AB056B" w:rsidRDefault="008F0BA2" w:rsidP="00BD4BDD">
            <w:pPr>
              <w:spacing w:before="360" w:after="240"/>
              <w:jc w:val="center"/>
            </w:pPr>
            <w:r>
              <w:t>Rare?</w:t>
            </w:r>
          </w:p>
        </w:tc>
        <w:tc>
          <w:tcPr>
            <w:tcW w:w="1800" w:type="dxa"/>
            <w:tcMar>
              <w:top w:w="120" w:type="dxa"/>
              <w:left w:w="60" w:type="dxa"/>
              <w:bottom w:w="120" w:type="dxa"/>
              <w:right w:w="60" w:type="dxa"/>
            </w:tcMar>
            <w:vAlign w:val="center"/>
          </w:tcPr>
          <w:p w14:paraId="297B9466" w14:textId="77777777" w:rsidR="00AB056B" w:rsidRDefault="008F0BA2" w:rsidP="00BD4BDD">
            <w:pPr>
              <w:spacing w:before="360" w:after="240"/>
              <w:jc w:val="center"/>
            </w:pPr>
            <w:r>
              <w:t>Hard to Imitate?</w:t>
            </w:r>
          </w:p>
        </w:tc>
        <w:tc>
          <w:tcPr>
            <w:tcW w:w="1800" w:type="dxa"/>
            <w:tcMar>
              <w:top w:w="120" w:type="dxa"/>
              <w:left w:w="60" w:type="dxa"/>
              <w:bottom w:w="120" w:type="dxa"/>
              <w:right w:w="60" w:type="dxa"/>
            </w:tcMar>
            <w:vAlign w:val="center"/>
          </w:tcPr>
          <w:p w14:paraId="297B9467" w14:textId="77777777" w:rsidR="00AB056B" w:rsidRDefault="008F0BA2" w:rsidP="00BD4BDD">
            <w:pPr>
              <w:spacing w:before="360" w:after="240"/>
              <w:jc w:val="center"/>
            </w:pPr>
            <w:r>
              <w:t>Organized?</w:t>
            </w:r>
          </w:p>
        </w:tc>
      </w:tr>
      <w:tr w:rsidR="00AB056B" w14:paraId="297B946E" w14:textId="77777777" w:rsidTr="002A49B0">
        <w:trPr>
          <w:trHeight w:val="1500"/>
          <w:jc w:val="center"/>
        </w:trPr>
        <w:tc>
          <w:tcPr>
            <w:tcW w:w="1800" w:type="dxa"/>
            <w:tcMar>
              <w:top w:w="120" w:type="dxa"/>
              <w:left w:w="60" w:type="dxa"/>
              <w:bottom w:w="120" w:type="dxa"/>
              <w:right w:w="60" w:type="dxa"/>
            </w:tcMar>
            <w:vAlign w:val="center"/>
          </w:tcPr>
          <w:p w14:paraId="297B9469" w14:textId="77777777" w:rsidR="00AB056B" w:rsidRDefault="008F0BA2" w:rsidP="00BD4BDD">
            <w:pPr>
              <w:spacing w:before="360" w:after="240"/>
              <w:jc w:val="center"/>
            </w:pPr>
            <w:r>
              <w:t>Financial resources, technological advancements, and human capital</w:t>
            </w:r>
          </w:p>
        </w:tc>
        <w:tc>
          <w:tcPr>
            <w:tcW w:w="1770" w:type="dxa"/>
            <w:tcMar>
              <w:top w:w="120" w:type="dxa"/>
              <w:left w:w="60" w:type="dxa"/>
              <w:bottom w:w="120" w:type="dxa"/>
              <w:right w:w="60" w:type="dxa"/>
            </w:tcMar>
            <w:vAlign w:val="center"/>
          </w:tcPr>
          <w:p w14:paraId="297B946A" w14:textId="77777777" w:rsidR="00AB056B" w:rsidRDefault="008F0BA2" w:rsidP="00BD4BDD">
            <w:pPr>
              <w:spacing w:before="360" w:after="240"/>
              <w:jc w:val="center"/>
            </w:pPr>
            <w:r>
              <w:t>Yes</w:t>
            </w:r>
          </w:p>
        </w:tc>
        <w:tc>
          <w:tcPr>
            <w:tcW w:w="1830" w:type="dxa"/>
            <w:tcMar>
              <w:top w:w="120" w:type="dxa"/>
              <w:left w:w="60" w:type="dxa"/>
              <w:bottom w:w="120" w:type="dxa"/>
              <w:right w:w="60" w:type="dxa"/>
            </w:tcMar>
            <w:vAlign w:val="center"/>
          </w:tcPr>
          <w:p w14:paraId="297B946B" w14:textId="77777777" w:rsidR="00AB056B" w:rsidRDefault="008F0BA2" w:rsidP="00BD4BDD">
            <w:pPr>
              <w:spacing w:before="360" w:after="240"/>
              <w:jc w:val="center"/>
            </w:pPr>
            <w:r>
              <w:t>Yes</w:t>
            </w:r>
          </w:p>
        </w:tc>
        <w:tc>
          <w:tcPr>
            <w:tcW w:w="1800" w:type="dxa"/>
            <w:tcMar>
              <w:top w:w="120" w:type="dxa"/>
              <w:left w:w="60" w:type="dxa"/>
              <w:bottom w:w="120" w:type="dxa"/>
              <w:right w:w="60" w:type="dxa"/>
            </w:tcMar>
            <w:vAlign w:val="center"/>
          </w:tcPr>
          <w:p w14:paraId="297B946C" w14:textId="77777777" w:rsidR="00AB056B" w:rsidRDefault="008F0BA2" w:rsidP="00BD4BDD">
            <w:pPr>
              <w:spacing w:before="360" w:after="240"/>
              <w:jc w:val="center"/>
            </w:pPr>
            <w:r>
              <w:t>Yes</w:t>
            </w:r>
          </w:p>
        </w:tc>
        <w:tc>
          <w:tcPr>
            <w:tcW w:w="1800" w:type="dxa"/>
            <w:tcMar>
              <w:top w:w="120" w:type="dxa"/>
              <w:left w:w="60" w:type="dxa"/>
              <w:bottom w:w="120" w:type="dxa"/>
              <w:right w:w="60" w:type="dxa"/>
            </w:tcMar>
            <w:vAlign w:val="center"/>
          </w:tcPr>
          <w:p w14:paraId="297B946D" w14:textId="77777777" w:rsidR="00AB056B" w:rsidRDefault="008F0BA2" w:rsidP="00BD4BDD">
            <w:pPr>
              <w:spacing w:before="360" w:after="240"/>
              <w:jc w:val="center"/>
            </w:pPr>
            <w:r>
              <w:t>Yes</w:t>
            </w:r>
          </w:p>
        </w:tc>
      </w:tr>
      <w:tr w:rsidR="00AB056B" w14:paraId="297B9474" w14:textId="77777777" w:rsidTr="002A49B0">
        <w:trPr>
          <w:trHeight w:val="1500"/>
          <w:jc w:val="center"/>
        </w:trPr>
        <w:tc>
          <w:tcPr>
            <w:tcW w:w="1800" w:type="dxa"/>
            <w:tcMar>
              <w:top w:w="120" w:type="dxa"/>
              <w:left w:w="60" w:type="dxa"/>
              <w:bottom w:w="120" w:type="dxa"/>
              <w:right w:w="60" w:type="dxa"/>
            </w:tcMar>
            <w:vAlign w:val="center"/>
          </w:tcPr>
          <w:p w14:paraId="297B946F" w14:textId="77777777" w:rsidR="00AB056B" w:rsidRDefault="008F0BA2" w:rsidP="00BD4BDD">
            <w:pPr>
              <w:spacing w:before="360" w:after="240"/>
              <w:jc w:val="center"/>
            </w:pPr>
            <w:r>
              <w:t xml:space="preserve">Integration of cutting-edge technology and </w:t>
            </w:r>
            <w:r>
              <w:lastRenderedPageBreak/>
              <w:t>extensive financial assets</w:t>
            </w:r>
          </w:p>
        </w:tc>
        <w:tc>
          <w:tcPr>
            <w:tcW w:w="1770" w:type="dxa"/>
            <w:tcMar>
              <w:top w:w="120" w:type="dxa"/>
              <w:left w:w="60" w:type="dxa"/>
              <w:bottom w:w="120" w:type="dxa"/>
              <w:right w:w="60" w:type="dxa"/>
            </w:tcMar>
            <w:vAlign w:val="center"/>
          </w:tcPr>
          <w:p w14:paraId="297B9470" w14:textId="77777777" w:rsidR="00AB056B" w:rsidRDefault="008F0BA2" w:rsidP="00BD4BDD">
            <w:pPr>
              <w:spacing w:before="360" w:after="240"/>
              <w:jc w:val="center"/>
            </w:pPr>
            <w:r>
              <w:lastRenderedPageBreak/>
              <w:t>Yes</w:t>
            </w:r>
          </w:p>
        </w:tc>
        <w:tc>
          <w:tcPr>
            <w:tcW w:w="1830" w:type="dxa"/>
            <w:tcMar>
              <w:top w:w="120" w:type="dxa"/>
              <w:left w:w="60" w:type="dxa"/>
              <w:bottom w:w="120" w:type="dxa"/>
              <w:right w:w="60" w:type="dxa"/>
            </w:tcMar>
            <w:vAlign w:val="center"/>
          </w:tcPr>
          <w:p w14:paraId="297B9471" w14:textId="77777777" w:rsidR="00AB056B" w:rsidRDefault="008F0BA2" w:rsidP="00BD4BDD">
            <w:pPr>
              <w:spacing w:before="360" w:after="240"/>
              <w:jc w:val="center"/>
            </w:pPr>
            <w:r>
              <w:t>No</w:t>
            </w:r>
          </w:p>
        </w:tc>
        <w:tc>
          <w:tcPr>
            <w:tcW w:w="1800" w:type="dxa"/>
            <w:tcMar>
              <w:top w:w="120" w:type="dxa"/>
              <w:left w:w="60" w:type="dxa"/>
              <w:bottom w:w="120" w:type="dxa"/>
              <w:right w:w="60" w:type="dxa"/>
            </w:tcMar>
            <w:vAlign w:val="center"/>
          </w:tcPr>
          <w:p w14:paraId="297B9472" w14:textId="77777777" w:rsidR="00AB056B" w:rsidRDefault="008F0BA2" w:rsidP="00BD4BDD">
            <w:pPr>
              <w:spacing w:before="360" w:after="240"/>
              <w:jc w:val="center"/>
            </w:pPr>
            <w:r>
              <w:t>Yes</w:t>
            </w:r>
          </w:p>
        </w:tc>
        <w:tc>
          <w:tcPr>
            <w:tcW w:w="1800" w:type="dxa"/>
            <w:tcMar>
              <w:top w:w="120" w:type="dxa"/>
              <w:left w:w="60" w:type="dxa"/>
              <w:bottom w:w="120" w:type="dxa"/>
              <w:right w:w="60" w:type="dxa"/>
            </w:tcMar>
            <w:vAlign w:val="center"/>
          </w:tcPr>
          <w:p w14:paraId="297B9473" w14:textId="77777777" w:rsidR="00AB056B" w:rsidRDefault="008F0BA2" w:rsidP="00BD4BDD">
            <w:pPr>
              <w:spacing w:before="360" w:after="240"/>
              <w:jc w:val="center"/>
            </w:pPr>
            <w:r>
              <w:t>Yes</w:t>
            </w:r>
          </w:p>
        </w:tc>
      </w:tr>
      <w:tr w:rsidR="00AB056B" w14:paraId="297B947A" w14:textId="77777777" w:rsidTr="002A49B0">
        <w:trPr>
          <w:trHeight w:val="1185"/>
          <w:jc w:val="center"/>
        </w:trPr>
        <w:tc>
          <w:tcPr>
            <w:tcW w:w="1800" w:type="dxa"/>
            <w:tcMar>
              <w:top w:w="120" w:type="dxa"/>
              <w:left w:w="60" w:type="dxa"/>
              <w:bottom w:w="120" w:type="dxa"/>
              <w:right w:w="60" w:type="dxa"/>
            </w:tcMar>
            <w:vAlign w:val="center"/>
          </w:tcPr>
          <w:p w14:paraId="297B9475" w14:textId="77777777" w:rsidR="00AB056B" w:rsidRDefault="008F0BA2" w:rsidP="00BD4BDD">
            <w:pPr>
              <w:spacing w:before="360" w:after="240"/>
              <w:jc w:val="center"/>
            </w:pPr>
            <w:r>
              <w:t>Strong brand reputation and customer loyalty</w:t>
            </w:r>
          </w:p>
        </w:tc>
        <w:tc>
          <w:tcPr>
            <w:tcW w:w="1770" w:type="dxa"/>
            <w:tcMar>
              <w:top w:w="120" w:type="dxa"/>
              <w:left w:w="60" w:type="dxa"/>
              <w:bottom w:w="120" w:type="dxa"/>
              <w:right w:w="60" w:type="dxa"/>
            </w:tcMar>
            <w:vAlign w:val="center"/>
          </w:tcPr>
          <w:p w14:paraId="297B9476" w14:textId="77777777" w:rsidR="00AB056B" w:rsidRDefault="008F0BA2" w:rsidP="00BD4BDD">
            <w:pPr>
              <w:spacing w:before="360" w:after="240"/>
              <w:jc w:val="center"/>
            </w:pPr>
            <w:r>
              <w:t>Yes</w:t>
            </w:r>
          </w:p>
        </w:tc>
        <w:tc>
          <w:tcPr>
            <w:tcW w:w="1830" w:type="dxa"/>
            <w:tcMar>
              <w:top w:w="120" w:type="dxa"/>
              <w:left w:w="60" w:type="dxa"/>
              <w:bottom w:w="120" w:type="dxa"/>
              <w:right w:w="60" w:type="dxa"/>
            </w:tcMar>
            <w:vAlign w:val="center"/>
          </w:tcPr>
          <w:p w14:paraId="297B9477" w14:textId="77777777" w:rsidR="00AB056B" w:rsidRDefault="008F0BA2" w:rsidP="00BD4BDD">
            <w:pPr>
              <w:spacing w:before="360" w:after="240"/>
              <w:jc w:val="center"/>
            </w:pPr>
            <w:r>
              <w:t>Yes</w:t>
            </w:r>
          </w:p>
        </w:tc>
        <w:tc>
          <w:tcPr>
            <w:tcW w:w="1800" w:type="dxa"/>
            <w:tcMar>
              <w:top w:w="120" w:type="dxa"/>
              <w:left w:w="60" w:type="dxa"/>
              <w:bottom w:w="120" w:type="dxa"/>
              <w:right w:w="60" w:type="dxa"/>
            </w:tcMar>
            <w:vAlign w:val="center"/>
          </w:tcPr>
          <w:p w14:paraId="297B9478" w14:textId="77777777" w:rsidR="00AB056B" w:rsidRDefault="008F0BA2" w:rsidP="00BD4BDD">
            <w:pPr>
              <w:spacing w:before="360" w:after="240"/>
              <w:jc w:val="center"/>
            </w:pPr>
            <w:r>
              <w:t>No</w:t>
            </w:r>
          </w:p>
        </w:tc>
        <w:tc>
          <w:tcPr>
            <w:tcW w:w="1800" w:type="dxa"/>
            <w:tcMar>
              <w:top w:w="120" w:type="dxa"/>
              <w:left w:w="60" w:type="dxa"/>
              <w:bottom w:w="120" w:type="dxa"/>
              <w:right w:w="60" w:type="dxa"/>
            </w:tcMar>
            <w:vAlign w:val="center"/>
          </w:tcPr>
          <w:p w14:paraId="297B9479" w14:textId="77777777" w:rsidR="00AB056B" w:rsidRDefault="008F0BA2" w:rsidP="00BD4BDD">
            <w:pPr>
              <w:spacing w:before="360" w:after="240"/>
              <w:jc w:val="center"/>
            </w:pPr>
            <w:r>
              <w:t>Yes</w:t>
            </w:r>
          </w:p>
        </w:tc>
      </w:tr>
      <w:tr w:rsidR="00AB056B" w14:paraId="297B9480" w14:textId="77777777" w:rsidTr="002A49B0">
        <w:trPr>
          <w:trHeight w:val="1185"/>
          <w:jc w:val="center"/>
        </w:trPr>
        <w:tc>
          <w:tcPr>
            <w:tcW w:w="1800" w:type="dxa"/>
            <w:tcMar>
              <w:top w:w="120" w:type="dxa"/>
              <w:left w:w="60" w:type="dxa"/>
              <w:bottom w:w="120" w:type="dxa"/>
              <w:right w:w="60" w:type="dxa"/>
            </w:tcMar>
            <w:vAlign w:val="center"/>
          </w:tcPr>
          <w:p w14:paraId="297B947B" w14:textId="77777777" w:rsidR="00AB056B" w:rsidRDefault="008F0BA2" w:rsidP="00BD4BDD">
            <w:pPr>
              <w:spacing w:before="360" w:after="240"/>
              <w:jc w:val="center"/>
            </w:pPr>
            <w:r>
              <w:t>Exclusive access to key distribution channels</w:t>
            </w:r>
          </w:p>
        </w:tc>
        <w:tc>
          <w:tcPr>
            <w:tcW w:w="1770" w:type="dxa"/>
            <w:tcMar>
              <w:top w:w="120" w:type="dxa"/>
              <w:left w:w="60" w:type="dxa"/>
              <w:bottom w:w="120" w:type="dxa"/>
              <w:right w:w="60" w:type="dxa"/>
            </w:tcMar>
            <w:vAlign w:val="center"/>
          </w:tcPr>
          <w:p w14:paraId="297B947C" w14:textId="77777777" w:rsidR="00AB056B" w:rsidRDefault="008F0BA2" w:rsidP="00BD4BDD">
            <w:pPr>
              <w:spacing w:before="360" w:after="240"/>
              <w:jc w:val="center"/>
            </w:pPr>
            <w:r>
              <w:t>Yes</w:t>
            </w:r>
          </w:p>
        </w:tc>
        <w:tc>
          <w:tcPr>
            <w:tcW w:w="1830" w:type="dxa"/>
            <w:tcMar>
              <w:top w:w="120" w:type="dxa"/>
              <w:left w:w="60" w:type="dxa"/>
              <w:bottom w:w="120" w:type="dxa"/>
              <w:right w:w="60" w:type="dxa"/>
            </w:tcMar>
            <w:vAlign w:val="center"/>
          </w:tcPr>
          <w:p w14:paraId="297B947D" w14:textId="77777777" w:rsidR="00AB056B" w:rsidRDefault="008F0BA2" w:rsidP="00BD4BDD">
            <w:pPr>
              <w:spacing w:before="360" w:after="240"/>
              <w:jc w:val="center"/>
            </w:pPr>
            <w:r>
              <w:t>Yes</w:t>
            </w:r>
          </w:p>
        </w:tc>
        <w:tc>
          <w:tcPr>
            <w:tcW w:w="1800" w:type="dxa"/>
            <w:tcMar>
              <w:top w:w="120" w:type="dxa"/>
              <w:left w:w="60" w:type="dxa"/>
              <w:bottom w:w="120" w:type="dxa"/>
              <w:right w:w="60" w:type="dxa"/>
            </w:tcMar>
            <w:vAlign w:val="center"/>
          </w:tcPr>
          <w:p w14:paraId="297B947E" w14:textId="77777777" w:rsidR="00AB056B" w:rsidRDefault="008F0BA2" w:rsidP="00BD4BDD">
            <w:pPr>
              <w:spacing w:before="360" w:after="240"/>
              <w:jc w:val="center"/>
            </w:pPr>
            <w:r>
              <w:t>Yes</w:t>
            </w:r>
          </w:p>
        </w:tc>
        <w:tc>
          <w:tcPr>
            <w:tcW w:w="1800" w:type="dxa"/>
            <w:tcMar>
              <w:top w:w="120" w:type="dxa"/>
              <w:left w:w="60" w:type="dxa"/>
              <w:bottom w:w="120" w:type="dxa"/>
              <w:right w:w="60" w:type="dxa"/>
            </w:tcMar>
            <w:vAlign w:val="center"/>
          </w:tcPr>
          <w:p w14:paraId="297B947F" w14:textId="77777777" w:rsidR="00AB056B" w:rsidRDefault="008F0BA2" w:rsidP="00BD4BDD">
            <w:pPr>
              <w:spacing w:before="360" w:after="240"/>
              <w:jc w:val="center"/>
            </w:pPr>
            <w:r>
              <w:t>Yes</w:t>
            </w:r>
          </w:p>
        </w:tc>
      </w:tr>
      <w:tr w:rsidR="00AB056B" w14:paraId="297B9486" w14:textId="77777777" w:rsidTr="002A49B0">
        <w:trPr>
          <w:trHeight w:val="870"/>
          <w:jc w:val="center"/>
        </w:trPr>
        <w:tc>
          <w:tcPr>
            <w:tcW w:w="1800" w:type="dxa"/>
            <w:tcMar>
              <w:top w:w="120" w:type="dxa"/>
              <w:left w:w="60" w:type="dxa"/>
              <w:bottom w:w="120" w:type="dxa"/>
              <w:right w:w="60" w:type="dxa"/>
            </w:tcMar>
            <w:vAlign w:val="center"/>
          </w:tcPr>
          <w:p w14:paraId="297B9481" w14:textId="77777777" w:rsidR="00AB056B" w:rsidRDefault="008F0BA2" w:rsidP="00BD4BDD">
            <w:pPr>
              <w:spacing w:before="360" w:after="240"/>
              <w:jc w:val="center"/>
            </w:pPr>
            <w:r>
              <w:t>Patents and intellectual property</w:t>
            </w:r>
          </w:p>
        </w:tc>
        <w:tc>
          <w:tcPr>
            <w:tcW w:w="1770" w:type="dxa"/>
            <w:tcMar>
              <w:top w:w="120" w:type="dxa"/>
              <w:left w:w="60" w:type="dxa"/>
              <w:bottom w:w="120" w:type="dxa"/>
              <w:right w:w="60" w:type="dxa"/>
            </w:tcMar>
            <w:vAlign w:val="center"/>
          </w:tcPr>
          <w:p w14:paraId="297B9482" w14:textId="77777777" w:rsidR="00AB056B" w:rsidRDefault="008F0BA2" w:rsidP="00BD4BDD">
            <w:pPr>
              <w:spacing w:before="360" w:after="240"/>
              <w:jc w:val="center"/>
            </w:pPr>
            <w:r>
              <w:t>Yes</w:t>
            </w:r>
          </w:p>
        </w:tc>
        <w:tc>
          <w:tcPr>
            <w:tcW w:w="1830" w:type="dxa"/>
            <w:tcMar>
              <w:top w:w="120" w:type="dxa"/>
              <w:left w:w="60" w:type="dxa"/>
              <w:bottom w:w="120" w:type="dxa"/>
              <w:right w:w="60" w:type="dxa"/>
            </w:tcMar>
            <w:vAlign w:val="center"/>
          </w:tcPr>
          <w:p w14:paraId="297B9483" w14:textId="77777777" w:rsidR="00AB056B" w:rsidRDefault="008F0BA2" w:rsidP="00BD4BDD">
            <w:pPr>
              <w:spacing w:before="360" w:after="240"/>
              <w:jc w:val="center"/>
            </w:pPr>
            <w:r>
              <w:t>No</w:t>
            </w:r>
          </w:p>
        </w:tc>
        <w:tc>
          <w:tcPr>
            <w:tcW w:w="1800" w:type="dxa"/>
            <w:tcMar>
              <w:top w:w="120" w:type="dxa"/>
              <w:left w:w="60" w:type="dxa"/>
              <w:bottom w:w="120" w:type="dxa"/>
              <w:right w:w="60" w:type="dxa"/>
            </w:tcMar>
            <w:vAlign w:val="center"/>
          </w:tcPr>
          <w:p w14:paraId="297B9484" w14:textId="77777777" w:rsidR="00AB056B" w:rsidRDefault="008F0BA2" w:rsidP="00BD4BDD">
            <w:pPr>
              <w:spacing w:before="360" w:after="240"/>
              <w:jc w:val="center"/>
            </w:pPr>
            <w:r>
              <w:t>Yes</w:t>
            </w:r>
          </w:p>
        </w:tc>
        <w:tc>
          <w:tcPr>
            <w:tcW w:w="1800" w:type="dxa"/>
            <w:tcMar>
              <w:top w:w="120" w:type="dxa"/>
              <w:left w:w="60" w:type="dxa"/>
              <w:bottom w:w="120" w:type="dxa"/>
              <w:right w:w="60" w:type="dxa"/>
            </w:tcMar>
            <w:vAlign w:val="center"/>
          </w:tcPr>
          <w:p w14:paraId="297B9485" w14:textId="77777777" w:rsidR="00AB056B" w:rsidRDefault="008F0BA2" w:rsidP="00BD4BDD">
            <w:pPr>
              <w:spacing w:before="360" w:after="240"/>
              <w:jc w:val="center"/>
            </w:pPr>
            <w:r>
              <w:t>Yes</w:t>
            </w:r>
          </w:p>
        </w:tc>
      </w:tr>
      <w:tr w:rsidR="00AB056B" w14:paraId="297B948C" w14:textId="77777777" w:rsidTr="002A49B0">
        <w:trPr>
          <w:trHeight w:val="870"/>
          <w:jc w:val="center"/>
        </w:trPr>
        <w:tc>
          <w:tcPr>
            <w:tcW w:w="1800" w:type="dxa"/>
            <w:tcMar>
              <w:top w:w="120" w:type="dxa"/>
              <w:left w:w="60" w:type="dxa"/>
              <w:bottom w:w="120" w:type="dxa"/>
              <w:right w:w="60" w:type="dxa"/>
            </w:tcMar>
            <w:vAlign w:val="center"/>
          </w:tcPr>
          <w:p w14:paraId="297B9487" w14:textId="77777777" w:rsidR="00AB056B" w:rsidRDefault="008F0BA2" w:rsidP="00BD4BDD">
            <w:pPr>
              <w:spacing w:before="360" w:after="240"/>
              <w:jc w:val="center"/>
            </w:pPr>
            <w:r>
              <w:t>Strategic alliances and partnerships</w:t>
            </w:r>
          </w:p>
        </w:tc>
        <w:tc>
          <w:tcPr>
            <w:tcW w:w="1770" w:type="dxa"/>
            <w:tcMar>
              <w:top w:w="120" w:type="dxa"/>
              <w:left w:w="60" w:type="dxa"/>
              <w:bottom w:w="120" w:type="dxa"/>
              <w:right w:w="60" w:type="dxa"/>
            </w:tcMar>
            <w:vAlign w:val="center"/>
          </w:tcPr>
          <w:p w14:paraId="297B9488" w14:textId="77777777" w:rsidR="00AB056B" w:rsidRDefault="008F0BA2" w:rsidP="00BD4BDD">
            <w:pPr>
              <w:spacing w:before="360" w:after="240"/>
              <w:jc w:val="center"/>
            </w:pPr>
            <w:r>
              <w:t>Yes</w:t>
            </w:r>
          </w:p>
        </w:tc>
        <w:tc>
          <w:tcPr>
            <w:tcW w:w="1830" w:type="dxa"/>
            <w:tcMar>
              <w:top w:w="120" w:type="dxa"/>
              <w:left w:w="60" w:type="dxa"/>
              <w:bottom w:w="120" w:type="dxa"/>
              <w:right w:w="60" w:type="dxa"/>
            </w:tcMar>
            <w:vAlign w:val="center"/>
          </w:tcPr>
          <w:p w14:paraId="297B9489" w14:textId="77777777" w:rsidR="00AB056B" w:rsidRDefault="008F0BA2" w:rsidP="00BD4BDD">
            <w:pPr>
              <w:spacing w:before="360" w:after="240"/>
              <w:jc w:val="center"/>
            </w:pPr>
            <w:r>
              <w:t>Yes</w:t>
            </w:r>
          </w:p>
        </w:tc>
        <w:tc>
          <w:tcPr>
            <w:tcW w:w="1800" w:type="dxa"/>
            <w:tcMar>
              <w:top w:w="120" w:type="dxa"/>
              <w:left w:w="60" w:type="dxa"/>
              <w:bottom w:w="120" w:type="dxa"/>
              <w:right w:w="60" w:type="dxa"/>
            </w:tcMar>
            <w:vAlign w:val="center"/>
          </w:tcPr>
          <w:p w14:paraId="297B948A" w14:textId="77777777" w:rsidR="00AB056B" w:rsidRDefault="008F0BA2" w:rsidP="00BD4BDD">
            <w:pPr>
              <w:spacing w:before="360" w:after="240"/>
              <w:jc w:val="center"/>
            </w:pPr>
            <w:r>
              <w:t>No</w:t>
            </w:r>
          </w:p>
        </w:tc>
        <w:tc>
          <w:tcPr>
            <w:tcW w:w="1800" w:type="dxa"/>
            <w:tcMar>
              <w:top w:w="120" w:type="dxa"/>
              <w:left w:w="60" w:type="dxa"/>
              <w:bottom w:w="120" w:type="dxa"/>
              <w:right w:w="60" w:type="dxa"/>
            </w:tcMar>
            <w:vAlign w:val="center"/>
          </w:tcPr>
          <w:p w14:paraId="297B948B" w14:textId="77777777" w:rsidR="00AB056B" w:rsidRDefault="008F0BA2" w:rsidP="00BD4BDD">
            <w:pPr>
              <w:spacing w:before="360" w:after="240"/>
              <w:jc w:val="center"/>
            </w:pPr>
            <w:r>
              <w:t>Yes</w:t>
            </w:r>
          </w:p>
        </w:tc>
      </w:tr>
    </w:tbl>
    <w:p w14:paraId="297B948D" w14:textId="4F9E0D78" w:rsidR="00AB056B" w:rsidRPr="002A49B0" w:rsidRDefault="002A49B0" w:rsidP="002A49B0">
      <w:pPr>
        <w:jc w:val="center"/>
        <w:rPr>
          <w:b/>
          <w:bCs/>
        </w:rPr>
      </w:pPr>
      <w:r w:rsidRPr="002A49B0">
        <w:rPr>
          <w:b/>
          <w:bCs/>
        </w:rPr>
        <w:t>Table 4: VRIO Framework</w:t>
      </w:r>
    </w:p>
    <w:p w14:paraId="6F04A578" w14:textId="2767A9E6" w:rsidR="002A49B0" w:rsidRDefault="002A49B0" w:rsidP="002A49B0">
      <w:pPr>
        <w:jc w:val="center"/>
      </w:pPr>
      <w:r>
        <w:t>(Source: Self-Developed)</w:t>
      </w:r>
    </w:p>
    <w:p w14:paraId="764211E9" w14:textId="1480EEE4" w:rsidR="002A49B0" w:rsidRPr="00F45479" w:rsidRDefault="002A49B0" w:rsidP="00F45479"/>
    <w:sectPr w:rsidR="002A49B0" w:rsidRPr="00F45479" w:rsidSect="00E138ED">
      <w:footerReference w:type="default" r:id="rId14"/>
      <w:pgSz w:w="12240" w:h="15840"/>
      <w:pgMar w:top="1134" w:right="1440" w:bottom="1134"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5F39846" w14:textId="77777777" w:rsidR="009C4339" w:rsidRDefault="009C4339" w:rsidP="002A49B0">
      <w:pPr>
        <w:spacing w:before="0" w:after="0" w:line="240" w:lineRule="auto"/>
      </w:pPr>
      <w:r>
        <w:separator/>
      </w:r>
    </w:p>
  </w:endnote>
  <w:endnote w:type="continuationSeparator" w:id="0">
    <w:p w14:paraId="6263D95A" w14:textId="77777777" w:rsidR="009C4339" w:rsidRDefault="009C4339" w:rsidP="002A49B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7872551"/>
      <w:docPartObj>
        <w:docPartGallery w:val="Page Numbers (Bottom of Page)"/>
        <w:docPartUnique/>
      </w:docPartObj>
    </w:sdtPr>
    <w:sdtEndPr>
      <w:rPr>
        <w:noProof/>
      </w:rPr>
    </w:sdtEndPr>
    <w:sdtContent>
      <w:p w14:paraId="5A5E78CA" w14:textId="0D8D64FF" w:rsidR="002A49B0" w:rsidRDefault="002A49B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45B25FE" w14:textId="77777777" w:rsidR="002A49B0" w:rsidRDefault="002A49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3674F29" w14:textId="77777777" w:rsidR="009C4339" w:rsidRDefault="009C4339" w:rsidP="002A49B0">
      <w:pPr>
        <w:spacing w:before="0" w:after="0" w:line="240" w:lineRule="auto"/>
      </w:pPr>
      <w:r>
        <w:separator/>
      </w:r>
    </w:p>
  </w:footnote>
  <w:footnote w:type="continuationSeparator" w:id="0">
    <w:p w14:paraId="52C38708" w14:textId="77777777" w:rsidR="009C4339" w:rsidRDefault="009C4339" w:rsidP="002A49B0">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D76096"/>
    <w:multiLevelType w:val="multilevel"/>
    <w:tmpl w:val="62DAB9C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 w15:restartNumberingAfterBreak="0">
    <w:nsid w:val="05357FB2"/>
    <w:multiLevelType w:val="multilevel"/>
    <w:tmpl w:val="5952F9F2"/>
    <w:lvl w:ilvl="0">
      <w:start w:val="1"/>
      <w:numFmt w:val="decimal"/>
      <w:lvlText w:val="%1."/>
      <w:lvlJc w:val="left"/>
      <w:pPr>
        <w:ind w:left="720" w:hanging="360"/>
      </w:pPr>
      <w:rPr>
        <w:u w:val="none"/>
      </w:rPr>
    </w:lvl>
    <w:lvl w:ilvl="1">
      <w:start w:val="1"/>
      <w:numFmt w:val="bullet"/>
      <w:lvlText w:val="○"/>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2" w15:restartNumberingAfterBreak="0">
    <w:nsid w:val="26A554DC"/>
    <w:multiLevelType w:val="multilevel"/>
    <w:tmpl w:val="73D66D8A"/>
    <w:lvl w:ilvl="0">
      <w:start w:val="1"/>
      <w:numFmt w:val="decimal"/>
      <w:lvlText w:val="%1."/>
      <w:lvlJc w:val="left"/>
      <w:pPr>
        <w:ind w:left="720" w:hanging="360"/>
      </w:pPr>
      <w:rPr>
        <w:u w:val="none"/>
      </w:rPr>
    </w:lvl>
    <w:lvl w:ilvl="1">
      <w:start w:val="1"/>
      <w:numFmt w:val="bullet"/>
      <w:lvlText w:val="○"/>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3" w15:restartNumberingAfterBreak="0">
    <w:nsid w:val="32006B10"/>
    <w:multiLevelType w:val="multilevel"/>
    <w:tmpl w:val="3C888B62"/>
    <w:lvl w:ilvl="0">
      <w:start w:val="1"/>
      <w:numFmt w:val="decimal"/>
      <w:lvlText w:val="%1."/>
      <w:lvlJc w:val="left"/>
      <w:pPr>
        <w:ind w:left="720" w:hanging="360"/>
      </w:pPr>
      <w:rPr>
        <w:u w:val="none"/>
      </w:rPr>
    </w:lvl>
    <w:lvl w:ilvl="1">
      <w:start w:val="1"/>
      <w:numFmt w:val="bullet"/>
      <w:lvlText w:val="○"/>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4" w15:restartNumberingAfterBreak="0">
    <w:nsid w:val="663431E1"/>
    <w:multiLevelType w:val="multilevel"/>
    <w:tmpl w:val="65D4EEE6"/>
    <w:lvl w:ilvl="0">
      <w:start w:val="1"/>
      <w:numFmt w:val="decimal"/>
      <w:lvlText w:val="%1."/>
      <w:lvlJc w:val="left"/>
      <w:pPr>
        <w:ind w:left="720" w:hanging="360"/>
      </w:pPr>
      <w:rPr>
        <w:u w:val="none"/>
      </w:rPr>
    </w:lvl>
    <w:lvl w:ilvl="1">
      <w:start w:val="1"/>
      <w:numFmt w:val="bullet"/>
      <w:lvlText w:val="○"/>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5" w15:restartNumberingAfterBreak="0">
    <w:nsid w:val="6B8A5350"/>
    <w:multiLevelType w:val="multilevel"/>
    <w:tmpl w:val="EF78891C"/>
    <w:lvl w:ilvl="0">
      <w:start w:val="1"/>
      <w:numFmt w:val="decimal"/>
      <w:lvlText w:val="%1."/>
      <w:lvlJc w:val="left"/>
      <w:pPr>
        <w:ind w:left="720" w:hanging="360"/>
      </w:pPr>
      <w:rPr>
        <w:u w:val="none"/>
      </w:rPr>
    </w:lvl>
    <w:lvl w:ilvl="1">
      <w:start w:val="1"/>
      <w:numFmt w:val="bullet"/>
      <w:lvlText w:val="○"/>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6" w15:restartNumberingAfterBreak="0">
    <w:nsid w:val="789F3087"/>
    <w:multiLevelType w:val="multilevel"/>
    <w:tmpl w:val="CF0C7EBA"/>
    <w:lvl w:ilvl="0">
      <w:start w:val="1"/>
      <w:numFmt w:val="decimal"/>
      <w:lvlText w:val="%1."/>
      <w:lvlJc w:val="left"/>
      <w:pPr>
        <w:ind w:left="720" w:hanging="360"/>
      </w:pPr>
      <w:rPr>
        <w:u w:val="none"/>
      </w:rPr>
    </w:lvl>
    <w:lvl w:ilvl="1">
      <w:start w:val="1"/>
      <w:numFmt w:val="bullet"/>
      <w:lvlText w:val="○"/>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num w:numId="1" w16cid:durableId="2081832460">
    <w:abstractNumId w:val="0"/>
  </w:num>
  <w:num w:numId="2" w16cid:durableId="1664772201">
    <w:abstractNumId w:val="5"/>
  </w:num>
  <w:num w:numId="3" w16cid:durableId="505945078">
    <w:abstractNumId w:val="3"/>
  </w:num>
  <w:num w:numId="4" w16cid:durableId="1727604105">
    <w:abstractNumId w:val="1"/>
  </w:num>
  <w:num w:numId="5" w16cid:durableId="475342233">
    <w:abstractNumId w:val="2"/>
  </w:num>
  <w:num w:numId="6" w16cid:durableId="595673705">
    <w:abstractNumId w:val="4"/>
  </w:num>
  <w:num w:numId="7" w16cid:durableId="139958947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B056B"/>
    <w:rsid w:val="00082208"/>
    <w:rsid w:val="001C40A7"/>
    <w:rsid w:val="00230CFF"/>
    <w:rsid w:val="0029239B"/>
    <w:rsid w:val="002A49B0"/>
    <w:rsid w:val="002A51BE"/>
    <w:rsid w:val="00437748"/>
    <w:rsid w:val="00515900"/>
    <w:rsid w:val="005E1E7B"/>
    <w:rsid w:val="0069610D"/>
    <w:rsid w:val="00733951"/>
    <w:rsid w:val="00800DD4"/>
    <w:rsid w:val="008F0BA2"/>
    <w:rsid w:val="009C4339"/>
    <w:rsid w:val="009D3CA0"/>
    <w:rsid w:val="00AB056B"/>
    <w:rsid w:val="00B72771"/>
    <w:rsid w:val="00BD4BDD"/>
    <w:rsid w:val="00C52CB1"/>
    <w:rsid w:val="00C81964"/>
    <w:rsid w:val="00D25220"/>
    <w:rsid w:val="00E138ED"/>
    <w:rsid w:val="00F21DDA"/>
    <w:rsid w:val="00F378E5"/>
    <w:rsid w:val="00F4547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7B9389"/>
  <w15:docId w15:val="{E27A379E-BBAA-43EC-AF1A-6B9D0B2AFD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IN"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pBdr>
        <w:top w:val="none" w:sz="0" w:space="0" w:color="E3E3E3"/>
        <w:left w:val="none" w:sz="0" w:space="0" w:color="E3E3E3"/>
        <w:bottom w:val="none" w:sz="0" w:space="0" w:color="E3E3E3"/>
        <w:right w:val="none" w:sz="0" w:space="0" w:color="E3E3E3"/>
        <w:between w:val="none" w:sz="0" w:space="0" w:color="E3E3E3"/>
      </w:pBdr>
      <w:shd w:val="clear" w:color="auto" w:fill="FFFFFF"/>
      <w:spacing w:before="280" w:after="80" w:line="384" w:lineRule="auto"/>
      <w:outlineLvl w:val="0"/>
    </w:pPr>
    <w:rPr>
      <w:b/>
    </w:rPr>
  </w:style>
  <w:style w:type="paragraph" w:styleId="Heading2">
    <w:name w:val="heading 2"/>
    <w:basedOn w:val="Normal"/>
    <w:next w:val="Normal"/>
    <w:uiPriority w:val="9"/>
    <w:unhideWhenUsed/>
    <w:qFormat/>
    <w:pPr>
      <w:keepNext/>
      <w:keepLines/>
      <w:pBdr>
        <w:top w:val="none" w:sz="0" w:space="0" w:color="E3E3E3"/>
        <w:left w:val="none" w:sz="0" w:space="0" w:color="E3E3E3"/>
        <w:bottom w:val="none" w:sz="0" w:space="0" w:color="E3E3E3"/>
        <w:right w:val="none" w:sz="0" w:space="0" w:color="E3E3E3"/>
        <w:between w:val="none" w:sz="0" w:space="0" w:color="E3E3E3"/>
      </w:pBdr>
      <w:shd w:val="clear" w:color="auto" w:fill="FFFFFF"/>
      <w:spacing w:before="240" w:after="240" w:line="384" w:lineRule="auto"/>
      <w:jc w:val="left"/>
      <w:outlineLvl w:val="1"/>
    </w:pPr>
    <w:rPr>
      <w:b/>
    </w:rPr>
  </w:style>
  <w:style w:type="paragraph" w:styleId="Heading3">
    <w:name w:val="heading 3"/>
    <w:basedOn w:val="Normal"/>
    <w:next w:val="Normal"/>
    <w:uiPriority w:val="9"/>
    <w:semiHidden/>
    <w:unhideWhenUsed/>
    <w:qFormat/>
    <w:pPr>
      <w:keepNext/>
      <w:keepLines/>
      <w:spacing w:before="240" w:after="40"/>
      <w:jc w:val="left"/>
      <w:outlineLvl w:val="2"/>
    </w:pPr>
    <w:rPr>
      <w:b/>
      <w:i/>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640" w:after="0"/>
      <w:jc w:val="center"/>
    </w:pPr>
    <w:rPr>
      <w:b/>
      <w:sz w:val="32"/>
      <w:szCs w:val="3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2A49B0"/>
    <w:pPr>
      <w:pBdr>
        <w:top w:val="none" w:sz="0" w:space="0" w:color="auto"/>
        <w:left w:val="none" w:sz="0" w:space="0" w:color="auto"/>
        <w:bottom w:val="none" w:sz="0" w:space="0" w:color="auto"/>
        <w:right w:val="none" w:sz="0" w:space="0" w:color="auto"/>
        <w:between w:val="none" w:sz="0" w:space="0" w:color="auto"/>
      </w:pBdr>
      <w:shd w:val="clear" w:color="auto" w:fill="auto"/>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2A49B0"/>
    <w:pPr>
      <w:spacing w:after="100"/>
    </w:pPr>
  </w:style>
  <w:style w:type="paragraph" w:styleId="TOC2">
    <w:name w:val="toc 2"/>
    <w:basedOn w:val="Normal"/>
    <w:next w:val="Normal"/>
    <w:autoRedefine/>
    <w:uiPriority w:val="39"/>
    <w:unhideWhenUsed/>
    <w:rsid w:val="002A49B0"/>
    <w:pPr>
      <w:spacing w:after="100"/>
      <w:ind w:left="240"/>
    </w:pPr>
  </w:style>
  <w:style w:type="character" w:styleId="Hyperlink">
    <w:name w:val="Hyperlink"/>
    <w:basedOn w:val="DefaultParagraphFont"/>
    <w:uiPriority w:val="99"/>
    <w:unhideWhenUsed/>
    <w:rsid w:val="002A49B0"/>
    <w:rPr>
      <w:color w:val="0000FF" w:themeColor="hyperlink"/>
      <w:u w:val="single"/>
    </w:rPr>
  </w:style>
  <w:style w:type="paragraph" w:styleId="Header">
    <w:name w:val="header"/>
    <w:basedOn w:val="Normal"/>
    <w:link w:val="HeaderChar"/>
    <w:uiPriority w:val="99"/>
    <w:unhideWhenUsed/>
    <w:rsid w:val="002A49B0"/>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2A49B0"/>
  </w:style>
  <w:style w:type="paragraph" w:styleId="Footer">
    <w:name w:val="footer"/>
    <w:basedOn w:val="Normal"/>
    <w:link w:val="FooterChar"/>
    <w:uiPriority w:val="99"/>
    <w:unhideWhenUsed/>
    <w:rsid w:val="002A49B0"/>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2A49B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4446010">
      <w:bodyDiv w:val="1"/>
      <w:marLeft w:val="0"/>
      <w:marRight w:val="0"/>
      <w:marTop w:val="0"/>
      <w:marBottom w:val="0"/>
      <w:divBdr>
        <w:top w:val="none" w:sz="0" w:space="0" w:color="auto"/>
        <w:left w:val="none" w:sz="0" w:space="0" w:color="auto"/>
        <w:bottom w:val="none" w:sz="0" w:space="0" w:color="auto"/>
        <w:right w:val="none" w:sz="0" w:space="0" w:color="auto"/>
      </w:divBdr>
      <w:divsChild>
        <w:div w:id="347029699">
          <w:marLeft w:val="0"/>
          <w:marRight w:val="0"/>
          <w:marTop w:val="0"/>
          <w:marBottom w:val="0"/>
          <w:divBdr>
            <w:top w:val="none" w:sz="0" w:space="0" w:color="auto"/>
            <w:left w:val="none" w:sz="0" w:space="0" w:color="auto"/>
            <w:bottom w:val="none" w:sz="0" w:space="0" w:color="auto"/>
            <w:right w:val="none" w:sz="0" w:space="0" w:color="auto"/>
          </w:divBdr>
          <w:divsChild>
            <w:div w:id="1285310586">
              <w:marLeft w:val="0"/>
              <w:marRight w:val="0"/>
              <w:marTop w:val="0"/>
              <w:marBottom w:val="0"/>
              <w:divBdr>
                <w:top w:val="none" w:sz="0" w:space="0" w:color="auto"/>
                <w:left w:val="none" w:sz="0" w:space="0" w:color="auto"/>
                <w:bottom w:val="none" w:sz="0" w:space="0" w:color="auto"/>
                <w:right w:val="none" w:sz="0" w:space="0" w:color="auto"/>
              </w:divBdr>
              <w:divsChild>
                <w:div w:id="1042903874">
                  <w:marLeft w:val="0"/>
                  <w:marRight w:val="0"/>
                  <w:marTop w:val="0"/>
                  <w:marBottom w:val="0"/>
                  <w:divBdr>
                    <w:top w:val="none" w:sz="0" w:space="0" w:color="auto"/>
                    <w:left w:val="none" w:sz="0" w:space="0" w:color="auto"/>
                    <w:bottom w:val="none" w:sz="0" w:space="0" w:color="auto"/>
                    <w:right w:val="none" w:sz="0" w:space="0" w:color="auto"/>
                  </w:divBdr>
                  <w:divsChild>
                    <w:div w:id="901451388">
                      <w:marLeft w:val="0"/>
                      <w:marRight w:val="0"/>
                      <w:marTop w:val="0"/>
                      <w:marBottom w:val="0"/>
                      <w:divBdr>
                        <w:top w:val="none" w:sz="0" w:space="0" w:color="auto"/>
                        <w:left w:val="none" w:sz="0" w:space="0" w:color="auto"/>
                        <w:bottom w:val="none" w:sz="0" w:space="0" w:color="auto"/>
                        <w:right w:val="none" w:sz="0" w:space="0" w:color="auto"/>
                      </w:divBdr>
                      <w:divsChild>
                        <w:div w:id="1713113407">
                          <w:marLeft w:val="0"/>
                          <w:marRight w:val="0"/>
                          <w:marTop w:val="0"/>
                          <w:marBottom w:val="0"/>
                          <w:divBdr>
                            <w:top w:val="none" w:sz="0" w:space="0" w:color="auto"/>
                            <w:left w:val="none" w:sz="0" w:space="0" w:color="auto"/>
                            <w:bottom w:val="none" w:sz="0" w:space="0" w:color="auto"/>
                            <w:right w:val="none" w:sz="0" w:space="0" w:color="auto"/>
                          </w:divBdr>
                          <w:divsChild>
                            <w:div w:id="1032145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4419422">
      <w:bodyDiv w:val="1"/>
      <w:marLeft w:val="0"/>
      <w:marRight w:val="0"/>
      <w:marTop w:val="0"/>
      <w:marBottom w:val="0"/>
      <w:divBdr>
        <w:top w:val="none" w:sz="0" w:space="0" w:color="auto"/>
        <w:left w:val="none" w:sz="0" w:space="0" w:color="auto"/>
        <w:bottom w:val="none" w:sz="0" w:space="0" w:color="auto"/>
        <w:right w:val="none" w:sz="0" w:space="0" w:color="auto"/>
      </w:divBdr>
      <w:divsChild>
        <w:div w:id="500118952">
          <w:marLeft w:val="0"/>
          <w:marRight w:val="0"/>
          <w:marTop w:val="0"/>
          <w:marBottom w:val="0"/>
          <w:divBdr>
            <w:top w:val="none" w:sz="0" w:space="0" w:color="auto"/>
            <w:left w:val="none" w:sz="0" w:space="0" w:color="auto"/>
            <w:bottom w:val="none" w:sz="0" w:space="0" w:color="auto"/>
            <w:right w:val="none" w:sz="0" w:space="0" w:color="auto"/>
          </w:divBdr>
          <w:divsChild>
            <w:div w:id="1632324404">
              <w:marLeft w:val="0"/>
              <w:marRight w:val="0"/>
              <w:marTop w:val="0"/>
              <w:marBottom w:val="0"/>
              <w:divBdr>
                <w:top w:val="none" w:sz="0" w:space="0" w:color="auto"/>
                <w:left w:val="none" w:sz="0" w:space="0" w:color="auto"/>
                <w:bottom w:val="none" w:sz="0" w:space="0" w:color="auto"/>
                <w:right w:val="none" w:sz="0" w:space="0" w:color="auto"/>
              </w:divBdr>
              <w:divsChild>
                <w:div w:id="1857577990">
                  <w:marLeft w:val="0"/>
                  <w:marRight w:val="0"/>
                  <w:marTop w:val="0"/>
                  <w:marBottom w:val="0"/>
                  <w:divBdr>
                    <w:top w:val="none" w:sz="0" w:space="0" w:color="auto"/>
                    <w:left w:val="none" w:sz="0" w:space="0" w:color="auto"/>
                    <w:bottom w:val="none" w:sz="0" w:space="0" w:color="auto"/>
                    <w:right w:val="none" w:sz="0" w:space="0" w:color="auto"/>
                  </w:divBdr>
                  <w:divsChild>
                    <w:div w:id="229928093">
                      <w:marLeft w:val="0"/>
                      <w:marRight w:val="0"/>
                      <w:marTop w:val="0"/>
                      <w:marBottom w:val="0"/>
                      <w:divBdr>
                        <w:top w:val="none" w:sz="0" w:space="0" w:color="auto"/>
                        <w:left w:val="none" w:sz="0" w:space="0" w:color="auto"/>
                        <w:bottom w:val="none" w:sz="0" w:space="0" w:color="auto"/>
                        <w:right w:val="none" w:sz="0" w:space="0" w:color="auto"/>
                      </w:divBdr>
                      <w:divsChild>
                        <w:div w:id="939994436">
                          <w:marLeft w:val="0"/>
                          <w:marRight w:val="0"/>
                          <w:marTop w:val="0"/>
                          <w:marBottom w:val="0"/>
                          <w:divBdr>
                            <w:top w:val="none" w:sz="0" w:space="0" w:color="auto"/>
                            <w:left w:val="none" w:sz="0" w:space="0" w:color="auto"/>
                            <w:bottom w:val="none" w:sz="0" w:space="0" w:color="auto"/>
                            <w:right w:val="none" w:sz="0" w:space="0" w:color="auto"/>
                          </w:divBdr>
                          <w:divsChild>
                            <w:div w:id="806119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22765217">
      <w:bodyDiv w:val="1"/>
      <w:marLeft w:val="0"/>
      <w:marRight w:val="0"/>
      <w:marTop w:val="0"/>
      <w:marBottom w:val="0"/>
      <w:divBdr>
        <w:top w:val="none" w:sz="0" w:space="0" w:color="auto"/>
        <w:left w:val="none" w:sz="0" w:space="0" w:color="auto"/>
        <w:bottom w:val="none" w:sz="0" w:space="0" w:color="auto"/>
        <w:right w:val="none" w:sz="0" w:space="0" w:color="auto"/>
      </w:divBdr>
    </w:div>
    <w:div w:id="408310502">
      <w:bodyDiv w:val="1"/>
      <w:marLeft w:val="0"/>
      <w:marRight w:val="0"/>
      <w:marTop w:val="0"/>
      <w:marBottom w:val="0"/>
      <w:divBdr>
        <w:top w:val="none" w:sz="0" w:space="0" w:color="auto"/>
        <w:left w:val="none" w:sz="0" w:space="0" w:color="auto"/>
        <w:bottom w:val="none" w:sz="0" w:space="0" w:color="auto"/>
        <w:right w:val="none" w:sz="0" w:space="0" w:color="auto"/>
      </w:divBdr>
    </w:div>
    <w:div w:id="453133085">
      <w:bodyDiv w:val="1"/>
      <w:marLeft w:val="0"/>
      <w:marRight w:val="0"/>
      <w:marTop w:val="0"/>
      <w:marBottom w:val="0"/>
      <w:divBdr>
        <w:top w:val="none" w:sz="0" w:space="0" w:color="auto"/>
        <w:left w:val="none" w:sz="0" w:space="0" w:color="auto"/>
        <w:bottom w:val="none" w:sz="0" w:space="0" w:color="auto"/>
        <w:right w:val="none" w:sz="0" w:space="0" w:color="auto"/>
      </w:divBdr>
    </w:div>
    <w:div w:id="545339529">
      <w:bodyDiv w:val="1"/>
      <w:marLeft w:val="0"/>
      <w:marRight w:val="0"/>
      <w:marTop w:val="0"/>
      <w:marBottom w:val="0"/>
      <w:divBdr>
        <w:top w:val="none" w:sz="0" w:space="0" w:color="auto"/>
        <w:left w:val="none" w:sz="0" w:space="0" w:color="auto"/>
        <w:bottom w:val="none" w:sz="0" w:space="0" w:color="auto"/>
        <w:right w:val="none" w:sz="0" w:space="0" w:color="auto"/>
      </w:divBdr>
    </w:div>
    <w:div w:id="717246138">
      <w:bodyDiv w:val="1"/>
      <w:marLeft w:val="0"/>
      <w:marRight w:val="0"/>
      <w:marTop w:val="0"/>
      <w:marBottom w:val="0"/>
      <w:divBdr>
        <w:top w:val="none" w:sz="0" w:space="0" w:color="auto"/>
        <w:left w:val="none" w:sz="0" w:space="0" w:color="auto"/>
        <w:bottom w:val="none" w:sz="0" w:space="0" w:color="auto"/>
        <w:right w:val="none" w:sz="0" w:space="0" w:color="auto"/>
      </w:divBdr>
      <w:divsChild>
        <w:div w:id="1493645370">
          <w:marLeft w:val="0"/>
          <w:marRight w:val="0"/>
          <w:marTop w:val="0"/>
          <w:marBottom w:val="0"/>
          <w:divBdr>
            <w:top w:val="none" w:sz="0" w:space="0" w:color="auto"/>
            <w:left w:val="none" w:sz="0" w:space="0" w:color="auto"/>
            <w:bottom w:val="none" w:sz="0" w:space="0" w:color="auto"/>
            <w:right w:val="none" w:sz="0" w:space="0" w:color="auto"/>
          </w:divBdr>
          <w:divsChild>
            <w:div w:id="1311522833">
              <w:marLeft w:val="0"/>
              <w:marRight w:val="0"/>
              <w:marTop w:val="0"/>
              <w:marBottom w:val="0"/>
              <w:divBdr>
                <w:top w:val="none" w:sz="0" w:space="0" w:color="auto"/>
                <w:left w:val="none" w:sz="0" w:space="0" w:color="auto"/>
                <w:bottom w:val="none" w:sz="0" w:space="0" w:color="auto"/>
                <w:right w:val="none" w:sz="0" w:space="0" w:color="auto"/>
              </w:divBdr>
              <w:divsChild>
                <w:div w:id="2004700538">
                  <w:marLeft w:val="0"/>
                  <w:marRight w:val="0"/>
                  <w:marTop w:val="0"/>
                  <w:marBottom w:val="0"/>
                  <w:divBdr>
                    <w:top w:val="none" w:sz="0" w:space="0" w:color="auto"/>
                    <w:left w:val="none" w:sz="0" w:space="0" w:color="auto"/>
                    <w:bottom w:val="none" w:sz="0" w:space="0" w:color="auto"/>
                    <w:right w:val="none" w:sz="0" w:space="0" w:color="auto"/>
                  </w:divBdr>
                  <w:divsChild>
                    <w:div w:id="1764909226">
                      <w:marLeft w:val="0"/>
                      <w:marRight w:val="0"/>
                      <w:marTop w:val="0"/>
                      <w:marBottom w:val="0"/>
                      <w:divBdr>
                        <w:top w:val="none" w:sz="0" w:space="0" w:color="auto"/>
                        <w:left w:val="none" w:sz="0" w:space="0" w:color="auto"/>
                        <w:bottom w:val="none" w:sz="0" w:space="0" w:color="auto"/>
                        <w:right w:val="none" w:sz="0" w:space="0" w:color="auto"/>
                      </w:divBdr>
                      <w:divsChild>
                        <w:div w:id="450323699">
                          <w:marLeft w:val="0"/>
                          <w:marRight w:val="0"/>
                          <w:marTop w:val="0"/>
                          <w:marBottom w:val="0"/>
                          <w:divBdr>
                            <w:top w:val="none" w:sz="0" w:space="0" w:color="auto"/>
                            <w:left w:val="none" w:sz="0" w:space="0" w:color="auto"/>
                            <w:bottom w:val="none" w:sz="0" w:space="0" w:color="auto"/>
                            <w:right w:val="none" w:sz="0" w:space="0" w:color="auto"/>
                          </w:divBdr>
                          <w:divsChild>
                            <w:div w:id="342899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35861401">
      <w:bodyDiv w:val="1"/>
      <w:marLeft w:val="0"/>
      <w:marRight w:val="0"/>
      <w:marTop w:val="0"/>
      <w:marBottom w:val="0"/>
      <w:divBdr>
        <w:top w:val="none" w:sz="0" w:space="0" w:color="auto"/>
        <w:left w:val="none" w:sz="0" w:space="0" w:color="auto"/>
        <w:bottom w:val="none" w:sz="0" w:space="0" w:color="auto"/>
        <w:right w:val="none" w:sz="0" w:space="0" w:color="auto"/>
      </w:divBdr>
      <w:divsChild>
        <w:div w:id="1123379819">
          <w:marLeft w:val="0"/>
          <w:marRight w:val="0"/>
          <w:marTop w:val="0"/>
          <w:marBottom w:val="0"/>
          <w:divBdr>
            <w:top w:val="none" w:sz="0" w:space="0" w:color="auto"/>
            <w:left w:val="none" w:sz="0" w:space="0" w:color="auto"/>
            <w:bottom w:val="none" w:sz="0" w:space="0" w:color="auto"/>
            <w:right w:val="none" w:sz="0" w:space="0" w:color="auto"/>
          </w:divBdr>
          <w:divsChild>
            <w:div w:id="1361203718">
              <w:marLeft w:val="0"/>
              <w:marRight w:val="0"/>
              <w:marTop w:val="0"/>
              <w:marBottom w:val="0"/>
              <w:divBdr>
                <w:top w:val="none" w:sz="0" w:space="0" w:color="auto"/>
                <w:left w:val="none" w:sz="0" w:space="0" w:color="auto"/>
                <w:bottom w:val="none" w:sz="0" w:space="0" w:color="auto"/>
                <w:right w:val="none" w:sz="0" w:space="0" w:color="auto"/>
              </w:divBdr>
              <w:divsChild>
                <w:div w:id="1807165655">
                  <w:marLeft w:val="0"/>
                  <w:marRight w:val="0"/>
                  <w:marTop w:val="0"/>
                  <w:marBottom w:val="0"/>
                  <w:divBdr>
                    <w:top w:val="none" w:sz="0" w:space="0" w:color="auto"/>
                    <w:left w:val="none" w:sz="0" w:space="0" w:color="auto"/>
                    <w:bottom w:val="none" w:sz="0" w:space="0" w:color="auto"/>
                    <w:right w:val="none" w:sz="0" w:space="0" w:color="auto"/>
                  </w:divBdr>
                  <w:divsChild>
                    <w:div w:id="1031295538">
                      <w:marLeft w:val="0"/>
                      <w:marRight w:val="0"/>
                      <w:marTop w:val="0"/>
                      <w:marBottom w:val="0"/>
                      <w:divBdr>
                        <w:top w:val="none" w:sz="0" w:space="0" w:color="auto"/>
                        <w:left w:val="none" w:sz="0" w:space="0" w:color="auto"/>
                        <w:bottom w:val="none" w:sz="0" w:space="0" w:color="auto"/>
                        <w:right w:val="none" w:sz="0" w:space="0" w:color="auto"/>
                      </w:divBdr>
                      <w:divsChild>
                        <w:div w:id="63063864">
                          <w:marLeft w:val="0"/>
                          <w:marRight w:val="0"/>
                          <w:marTop w:val="0"/>
                          <w:marBottom w:val="0"/>
                          <w:divBdr>
                            <w:top w:val="none" w:sz="0" w:space="0" w:color="auto"/>
                            <w:left w:val="none" w:sz="0" w:space="0" w:color="auto"/>
                            <w:bottom w:val="none" w:sz="0" w:space="0" w:color="auto"/>
                            <w:right w:val="none" w:sz="0" w:space="0" w:color="auto"/>
                          </w:divBdr>
                          <w:divsChild>
                            <w:div w:id="1059281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60957452">
      <w:bodyDiv w:val="1"/>
      <w:marLeft w:val="0"/>
      <w:marRight w:val="0"/>
      <w:marTop w:val="0"/>
      <w:marBottom w:val="0"/>
      <w:divBdr>
        <w:top w:val="none" w:sz="0" w:space="0" w:color="auto"/>
        <w:left w:val="none" w:sz="0" w:space="0" w:color="auto"/>
        <w:bottom w:val="none" w:sz="0" w:space="0" w:color="auto"/>
        <w:right w:val="none" w:sz="0" w:space="0" w:color="auto"/>
      </w:divBdr>
      <w:divsChild>
        <w:div w:id="1712456422">
          <w:marLeft w:val="0"/>
          <w:marRight w:val="0"/>
          <w:marTop w:val="0"/>
          <w:marBottom w:val="0"/>
          <w:divBdr>
            <w:top w:val="none" w:sz="0" w:space="0" w:color="auto"/>
            <w:left w:val="none" w:sz="0" w:space="0" w:color="auto"/>
            <w:bottom w:val="none" w:sz="0" w:space="0" w:color="auto"/>
            <w:right w:val="none" w:sz="0" w:space="0" w:color="auto"/>
          </w:divBdr>
          <w:divsChild>
            <w:div w:id="463157481">
              <w:marLeft w:val="0"/>
              <w:marRight w:val="0"/>
              <w:marTop w:val="0"/>
              <w:marBottom w:val="0"/>
              <w:divBdr>
                <w:top w:val="none" w:sz="0" w:space="0" w:color="auto"/>
                <w:left w:val="none" w:sz="0" w:space="0" w:color="auto"/>
                <w:bottom w:val="none" w:sz="0" w:space="0" w:color="auto"/>
                <w:right w:val="none" w:sz="0" w:space="0" w:color="auto"/>
              </w:divBdr>
              <w:divsChild>
                <w:div w:id="1219169311">
                  <w:marLeft w:val="0"/>
                  <w:marRight w:val="0"/>
                  <w:marTop w:val="0"/>
                  <w:marBottom w:val="0"/>
                  <w:divBdr>
                    <w:top w:val="none" w:sz="0" w:space="0" w:color="auto"/>
                    <w:left w:val="none" w:sz="0" w:space="0" w:color="auto"/>
                    <w:bottom w:val="none" w:sz="0" w:space="0" w:color="auto"/>
                    <w:right w:val="none" w:sz="0" w:space="0" w:color="auto"/>
                  </w:divBdr>
                  <w:divsChild>
                    <w:div w:id="1336881961">
                      <w:marLeft w:val="0"/>
                      <w:marRight w:val="0"/>
                      <w:marTop w:val="0"/>
                      <w:marBottom w:val="0"/>
                      <w:divBdr>
                        <w:top w:val="none" w:sz="0" w:space="0" w:color="auto"/>
                        <w:left w:val="none" w:sz="0" w:space="0" w:color="auto"/>
                        <w:bottom w:val="none" w:sz="0" w:space="0" w:color="auto"/>
                        <w:right w:val="none" w:sz="0" w:space="0" w:color="auto"/>
                      </w:divBdr>
                      <w:divsChild>
                        <w:div w:id="1659992872">
                          <w:marLeft w:val="0"/>
                          <w:marRight w:val="0"/>
                          <w:marTop w:val="0"/>
                          <w:marBottom w:val="0"/>
                          <w:divBdr>
                            <w:top w:val="none" w:sz="0" w:space="0" w:color="auto"/>
                            <w:left w:val="none" w:sz="0" w:space="0" w:color="auto"/>
                            <w:bottom w:val="none" w:sz="0" w:space="0" w:color="auto"/>
                            <w:right w:val="none" w:sz="0" w:space="0" w:color="auto"/>
                          </w:divBdr>
                          <w:divsChild>
                            <w:div w:id="1758595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61756684">
      <w:bodyDiv w:val="1"/>
      <w:marLeft w:val="0"/>
      <w:marRight w:val="0"/>
      <w:marTop w:val="0"/>
      <w:marBottom w:val="0"/>
      <w:divBdr>
        <w:top w:val="none" w:sz="0" w:space="0" w:color="auto"/>
        <w:left w:val="none" w:sz="0" w:space="0" w:color="auto"/>
        <w:bottom w:val="none" w:sz="0" w:space="0" w:color="auto"/>
        <w:right w:val="none" w:sz="0" w:space="0" w:color="auto"/>
      </w:divBdr>
      <w:divsChild>
        <w:div w:id="1306740545">
          <w:marLeft w:val="0"/>
          <w:marRight w:val="0"/>
          <w:marTop w:val="0"/>
          <w:marBottom w:val="0"/>
          <w:divBdr>
            <w:top w:val="none" w:sz="0" w:space="0" w:color="auto"/>
            <w:left w:val="none" w:sz="0" w:space="0" w:color="auto"/>
            <w:bottom w:val="none" w:sz="0" w:space="0" w:color="auto"/>
            <w:right w:val="none" w:sz="0" w:space="0" w:color="auto"/>
          </w:divBdr>
          <w:divsChild>
            <w:div w:id="1376808479">
              <w:marLeft w:val="0"/>
              <w:marRight w:val="0"/>
              <w:marTop w:val="0"/>
              <w:marBottom w:val="0"/>
              <w:divBdr>
                <w:top w:val="none" w:sz="0" w:space="0" w:color="auto"/>
                <w:left w:val="none" w:sz="0" w:space="0" w:color="auto"/>
                <w:bottom w:val="none" w:sz="0" w:space="0" w:color="auto"/>
                <w:right w:val="none" w:sz="0" w:space="0" w:color="auto"/>
              </w:divBdr>
              <w:divsChild>
                <w:div w:id="1959095412">
                  <w:marLeft w:val="0"/>
                  <w:marRight w:val="0"/>
                  <w:marTop w:val="0"/>
                  <w:marBottom w:val="0"/>
                  <w:divBdr>
                    <w:top w:val="none" w:sz="0" w:space="0" w:color="auto"/>
                    <w:left w:val="none" w:sz="0" w:space="0" w:color="auto"/>
                    <w:bottom w:val="none" w:sz="0" w:space="0" w:color="auto"/>
                    <w:right w:val="none" w:sz="0" w:space="0" w:color="auto"/>
                  </w:divBdr>
                  <w:divsChild>
                    <w:div w:id="1906528094">
                      <w:marLeft w:val="0"/>
                      <w:marRight w:val="0"/>
                      <w:marTop w:val="0"/>
                      <w:marBottom w:val="0"/>
                      <w:divBdr>
                        <w:top w:val="none" w:sz="0" w:space="0" w:color="auto"/>
                        <w:left w:val="none" w:sz="0" w:space="0" w:color="auto"/>
                        <w:bottom w:val="none" w:sz="0" w:space="0" w:color="auto"/>
                        <w:right w:val="none" w:sz="0" w:space="0" w:color="auto"/>
                      </w:divBdr>
                      <w:divsChild>
                        <w:div w:id="234752564">
                          <w:marLeft w:val="0"/>
                          <w:marRight w:val="0"/>
                          <w:marTop w:val="0"/>
                          <w:marBottom w:val="0"/>
                          <w:divBdr>
                            <w:top w:val="none" w:sz="0" w:space="0" w:color="auto"/>
                            <w:left w:val="none" w:sz="0" w:space="0" w:color="auto"/>
                            <w:bottom w:val="none" w:sz="0" w:space="0" w:color="auto"/>
                            <w:right w:val="none" w:sz="0" w:space="0" w:color="auto"/>
                          </w:divBdr>
                          <w:divsChild>
                            <w:div w:id="1314871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76215706">
      <w:bodyDiv w:val="1"/>
      <w:marLeft w:val="0"/>
      <w:marRight w:val="0"/>
      <w:marTop w:val="0"/>
      <w:marBottom w:val="0"/>
      <w:divBdr>
        <w:top w:val="none" w:sz="0" w:space="0" w:color="auto"/>
        <w:left w:val="none" w:sz="0" w:space="0" w:color="auto"/>
        <w:bottom w:val="none" w:sz="0" w:space="0" w:color="auto"/>
        <w:right w:val="none" w:sz="0" w:space="0" w:color="auto"/>
      </w:divBdr>
      <w:divsChild>
        <w:div w:id="558634760">
          <w:marLeft w:val="0"/>
          <w:marRight w:val="0"/>
          <w:marTop w:val="0"/>
          <w:marBottom w:val="0"/>
          <w:divBdr>
            <w:top w:val="none" w:sz="0" w:space="0" w:color="auto"/>
            <w:left w:val="none" w:sz="0" w:space="0" w:color="auto"/>
            <w:bottom w:val="none" w:sz="0" w:space="0" w:color="auto"/>
            <w:right w:val="none" w:sz="0" w:space="0" w:color="auto"/>
          </w:divBdr>
          <w:divsChild>
            <w:div w:id="2052608046">
              <w:marLeft w:val="0"/>
              <w:marRight w:val="0"/>
              <w:marTop w:val="0"/>
              <w:marBottom w:val="0"/>
              <w:divBdr>
                <w:top w:val="none" w:sz="0" w:space="0" w:color="auto"/>
                <w:left w:val="none" w:sz="0" w:space="0" w:color="auto"/>
                <w:bottom w:val="none" w:sz="0" w:space="0" w:color="auto"/>
                <w:right w:val="none" w:sz="0" w:space="0" w:color="auto"/>
              </w:divBdr>
              <w:divsChild>
                <w:div w:id="978415520">
                  <w:marLeft w:val="0"/>
                  <w:marRight w:val="0"/>
                  <w:marTop w:val="0"/>
                  <w:marBottom w:val="0"/>
                  <w:divBdr>
                    <w:top w:val="none" w:sz="0" w:space="0" w:color="auto"/>
                    <w:left w:val="none" w:sz="0" w:space="0" w:color="auto"/>
                    <w:bottom w:val="none" w:sz="0" w:space="0" w:color="auto"/>
                    <w:right w:val="none" w:sz="0" w:space="0" w:color="auto"/>
                  </w:divBdr>
                  <w:divsChild>
                    <w:div w:id="1885167461">
                      <w:marLeft w:val="0"/>
                      <w:marRight w:val="0"/>
                      <w:marTop w:val="0"/>
                      <w:marBottom w:val="0"/>
                      <w:divBdr>
                        <w:top w:val="none" w:sz="0" w:space="0" w:color="auto"/>
                        <w:left w:val="none" w:sz="0" w:space="0" w:color="auto"/>
                        <w:bottom w:val="none" w:sz="0" w:space="0" w:color="auto"/>
                        <w:right w:val="none" w:sz="0" w:space="0" w:color="auto"/>
                      </w:divBdr>
                      <w:divsChild>
                        <w:div w:id="1465999229">
                          <w:marLeft w:val="0"/>
                          <w:marRight w:val="0"/>
                          <w:marTop w:val="0"/>
                          <w:marBottom w:val="0"/>
                          <w:divBdr>
                            <w:top w:val="none" w:sz="0" w:space="0" w:color="auto"/>
                            <w:left w:val="none" w:sz="0" w:space="0" w:color="auto"/>
                            <w:bottom w:val="none" w:sz="0" w:space="0" w:color="auto"/>
                            <w:right w:val="none" w:sz="0" w:space="0" w:color="auto"/>
                          </w:divBdr>
                          <w:divsChild>
                            <w:div w:id="934481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54293190">
      <w:bodyDiv w:val="1"/>
      <w:marLeft w:val="0"/>
      <w:marRight w:val="0"/>
      <w:marTop w:val="0"/>
      <w:marBottom w:val="0"/>
      <w:divBdr>
        <w:top w:val="none" w:sz="0" w:space="0" w:color="auto"/>
        <w:left w:val="none" w:sz="0" w:space="0" w:color="auto"/>
        <w:bottom w:val="none" w:sz="0" w:space="0" w:color="auto"/>
        <w:right w:val="none" w:sz="0" w:space="0" w:color="auto"/>
      </w:divBdr>
    </w:div>
    <w:div w:id="1025251781">
      <w:bodyDiv w:val="1"/>
      <w:marLeft w:val="0"/>
      <w:marRight w:val="0"/>
      <w:marTop w:val="0"/>
      <w:marBottom w:val="0"/>
      <w:divBdr>
        <w:top w:val="none" w:sz="0" w:space="0" w:color="auto"/>
        <w:left w:val="none" w:sz="0" w:space="0" w:color="auto"/>
        <w:bottom w:val="none" w:sz="0" w:space="0" w:color="auto"/>
        <w:right w:val="none" w:sz="0" w:space="0" w:color="auto"/>
      </w:divBdr>
      <w:divsChild>
        <w:div w:id="708917110">
          <w:marLeft w:val="0"/>
          <w:marRight w:val="0"/>
          <w:marTop w:val="0"/>
          <w:marBottom w:val="0"/>
          <w:divBdr>
            <w:top w:val="none" w:sz="0" w:space="0" w:color="auto"/>
            <w:left w:val="none" w:sz="0" w:space="0" w:color="auto"/>
            <w:bottom w:val="none" w:sz="0" w:space="0" w:color="auto"/>
            <w:right w:val="none" w:sz="0" w:space="0" w:color="auto"/>
          </w:divBdr>
          <w:divsChild>
            <w:div w:id="268853816">
              <w:marLeft w:val="0"/>
              <w:marRight w:val="0"/>
              <w:marTop w:val="0"/>
              <w:marBottom w:val="0"/>
              <w:divBdr>
                <w:top w:val="none" w:sz="0" w:space="0" w:color="auto"/>
                <w:left w:val="none" w:sz="0" w:space="0" w:color="auto"/>
                <w:bottom w:val="none" w:sz="0" w:space="0" w:color="auto"/>
                <w:right w:val="none" w:sz="0" w:space="0" w:color="auto"/>
              </w:divBdr>
              <w:divsChild>
                <w:div w:id="1391535314">
                  <w:marLeft w:val="0"/>
                  <w:marRight w:val="0"/>
                  <w:marTop w:val="0"/>
                  <w:marBottom w:val="0"/>
                  <w:divBdr>
                    <w:top w:val="none" w:sz="0" w:space="0" w:color="auto"/>
                    <w:left w:val="none" w:sz="0" w:space="0" w:color="auto"/>
                    <w:bottom w:val="none" w:sz="0" w:space="0" w:color="auto"/>
                    <w:right w:val="none" w:sz="0" w:space="0" w:color="auto"/>
                  </w:divBdr>
                  <w:divsChild>
                    <w:div w:id="1207646744">
                      <w:marLeft w:val="0"/>
                      <w:marRight w:val="0"/>
                      <w:marTop w:val="0"/>
                      <w:marBottom w:val="0"/>
                      <w:divBdr>
                        <w:top w:val="none" w:sz="0" w:space="0" w:color="auto"/>
                        <w:left w:val="none" w:sz="0" w:space="0" w:color="auto"/>
                        <w:bottom w:val="none" w:sz="0" w:space="0" w:color="auto"/>
                        <w:right w:val="none" w:sz="0" w:space="0" w:color="auto"/>
                      </w:divBdr>
                      <w:divsChild>
                        <w:div w:id="1041903331">
                          <w:marLeft w:val="0"/>
                          <w:marRight w:val="0"/>
                          <w:marTop w:val="0"/>
                          <w:marBottom w:val="0"/>
                          <w:divBdr>
                            <w:top w:val="none" w:sz="0" w:space="0" w:color="auto"/>
                            <w:left w:val="none" w:sz="0" w:space="0" w:color="auto"/>
                            <w:bottom w:val="none" w:sz="0" w:space="0" w:color="auto"/>
                            <w:right w:val="none" w:sz="0" w:space="0" w:color="auto"/>
                          </w:divBdr>
                          <w:divsChild>
                            <w:div w:id="1572349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62087818">
      <w:bodyDiv w:val="1"/>
      <w:marLeft w:val="0"/>
      <w:marRight w:val="0"/>
      <w:marTop w:val="0"/>
      <w:marBottom w:val="0"/>
      <w:divBdr>
        <w:top w:val="none" w:sz="0" w:space="0" w:color="auto"/>
        <w:left w:val="none" w:sz="0" w:space="0" w:color="auto"/>
        <w:bottom w:val="none" w:sz="0" w:space="0" w:color="auto"/>
        <w:right w:val="none" w:sz="0" w:space="0" w:color="auto"/>
      </w:divBdr>
      <w:divsChild>
        <w:div w:id="188883568">
          <w:marLeft w:val="0"/>
          <w:marRight w:val="0"/>
          <w:marTop w:val="0"/>
          <w:marBottom w:val="0"/>
          <w:divBdr>
            <w:top w:val="none" w:sz="0" w:space="0" w:color="auto"/>
            <w:left w:val="none" w:sz="0" w:space="0" w:color="auto"/>
            <w:bottom w:val="none" w:sz="0" w:space="0" w:color="auto"/>
            <w:right w:val="none" w:sz="0" w:space="0" w:color="auto"/>
          </w:divBdr>
          <w:divsChild>
            <w:div w:id="883564223">
              <w:marLeft w:val="0"/>
              <w:marRight w:val="0"/>
              <w:marTop w:val="0"/>
              <w:marBottom w:val="0"/>
              <w:divBdr>
                <w:top w:val="none" w:sz="0" w:space="0" w:color="auto"/>
                <w:left w:val="none" w:sz="0" w:space="0" w:color="auto"/>
                <w:bottom w:val="none" w:sz="0" w:space="0" w:color="auto"/>
                <w:right w:val="none" w:sz="0" w:space="0" w:color="auto"/>
              </w:divBdr>
              <w:divsChild>
                <w:div w:id="505484507">
                  <w:marLeft w:val="0"/>
                  <w:marRight w:val="0"/>
                  <w:marTop w:val="0"/>
                  <w:marBottom w:val="0"/>
                  <w:divBdr>
                    <w:top w:val="none" w:sz="0" w:space="0" w:color="auto"/>
                    <w:left w:val="none" w:sz="0" w:space="0" w:color="auto"/>
                    <w:bottom w:val="none" w:sz="0" w:space="0" w:color="auto"/>
                    <w:right w:val="none" w:sz="0" w:space="0" w:color="auto"/>
                  </w:divBdr>
                  <w:divsChild>
                    <w:div w:id="2019849462">
                      <w:marLeft w:val="0"/>
                      <w:marRight w:val="0"/>
                      <w:marTop w:val="0"/>
                      <w:marBottom w:val="0"/>
                      <w:divBdr>
                        <w:top w:val="none" w:sz="0" w:space="0" w:color="auto"/>
                        <w:left w:val="none" w:sz="0" w:space="0" w:color="auto"/>
                        <w:bottom w:val="none" w:sz="0" w:space="0" w:color="auto"/>
                        <w:right w:val="none" w:sz="0" w:space="0" w:color="auto"/>
                      </w:divBdr>
                      <w:divsChild>
                        <w:div w:id="611523302">
                          <w:marLeft w:val="0"/>
                          <w:marRight w:val="0"/>
                          <w:marTop w:val="0"/>
                          <w:marBottom w:val="0"/>
                          <w:divBdr>
                            <w:top w:val="none" w:sz="0" w:space="0" w:color="auto"/>
                            <w:left w:val="none" w:sz="0" w:space="0" w:color="auto"/>
                            <w:bottom w:val="none" w:sz="0" w:space="0" w:color="auto"/>
                            <w:right w:val="none" w:sz="0" w:space="0" w:color="auto"/>
                          </w:divBdr>
                          <w:divsChild>
                            <w:div w:id="1926986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19125083">
      <w:bodyDiv w:val="1"/>
      <w:marLeft w:val="0"/>
      <w:marRight w:val="0"/>
      <w:marTop w:val="0"/>
      <w:marBottom w:val="0"/>
      <w:divBdr>
        <w:top w:val="none" w:sz="0" w:space="0" w:color="auto"/>
        <w:left w:val="none" w:sz="0" w:space="0" w:color="auto"/>
        <w:bottom w:val="none" w:sz="0" w:space="0" w:color="auto"/>
        <w:right w:val="none" w:sz="0" w:space="0" w:color="auto"/>
      </w:divBdr>
    </w:div>
    <w:div w:id="1250962471">
      <w:bodyDiv w:val="1"/>
      <w:marLeft w:val="0"/>
      <w:marRight w:val="0"/>
      <w:marTop w:val="0"/>
      <w:marBottom w:val="0"/>
      <w:divBdr>
        <w:top w:val="none" w:sz="0" w:space="0" w:color="auto"/>
        <w:left w:val="none" w:sz="0" w:space="0" w:color="auto"/>
        <w:bottom w:val="none" w:sz="0" w:space="0" w:color="auto"/>
        <w:right w:val="none" w:sz="0" w:space="0" w:color="auto"/>
      </w:divBdr>
      <w:divsChild>
        <w:div w:id="352998334">
          <w:marLeft w:val="0"/>
          <w:marRight w:val="0"/>
          <w:marTop w:val="0"/>
          <w:marBottom w:val="0"/>
          <w:divBdr>
            <w:top w:val="none" w:sz="0" w:space="0" w:color="auto"/>
            <w:left w:val="none" w:sz="0" w:space="0" w:color="auto"/>
            <w:bottom w:val="none" w:sz="0" w:space="0" w:color="auto"/>
            <w:right w:val="none" w:sz="0" w:space="0" w:color="auto"/>
          </w:divBdr>
          <w:divsChild>
            <w:div w:id="37433421">
              <w:marLeft w:val="0"/>
              <w:marRight w:val="0"/>
              <w:marTop w:val="0"/>
              <w:marBottom w:val="0"/>
              <w:divBdr>
                <w:top w:val="none" w:sz="0" w:space="0" w:color="auto"/>
                <w:left w:val="none" w:sz="0" w:space="0" w:color="auto"/>
                <w:bottom w:val="none" w:sz="0" w:space="0" w:color="auto"/>
                <w:right w:val="none" w:sz="0" w:space="0" w:color="auto"/>
              </w:divBdr>
              <w:divsChild>
                <w:div w:id="241109116">
                  <w:marLeft w:val="0"/>
                  <w:marRight w:val="0"/>
                  <w:marTop w:val="0"/>
                  <w:marBottom w:val="0"/>
                  <w:divBdr>
                    <w:top w:val="none" w:sz="0" w:space="0" w:color="auto"/>
                    <w:left w:val="none" w:sz="0" w:space="0" w:color="auto"/>
                    <w:bottom w:val="none" w:sz="0" w:space="0" w:color="auto"/>
                    <w:right w:val="none" w:sz="0" w:space="0" w:color="auto"/>
                  </w:divBdr>
                  <w:divsChild>
                    <w:div w:id="791553537">
                      <w:marLeft w:val="0"/>
                      <w:marRight w:val="0"/>
                      <w:marTop w:val="0"/>
                      <w:marBottom w:val="0"/>
                      <w:divBdr>
                        <w:top w:val="none" w:sz="0" w:space="0" w:color="auto"/>
                        <w:left w:val="none" w:sz="0" w:space="0" w:color="auto"/>
                        <w:bottom w:val="none" w:sz="0" w:space="0" w:color="auto"/>
                        <w:right w:val="none" w:sz="0" w:space="0" w:color="auto"/>
                      </w:divBdr>
                      <w:divsChild>
                        <w:div w:id="1629094129">
                          <w:marLeft w:val="0"/>
                          <w:marRight w:val="0"/>
                          <w:marTop w:val="0"/>
                          <w:marBottom w:val="0"/>
                          <w:divBdr>
                            <w:top w:val="none" w:sz="0" w:space="0" w:color="auto"/>
                            <w:left w:val="none" w:sz="0" w:space="0" w:color="auto"/>
                            <w:bottom w:val="none" w:sz="0" w:space="0" w:color="auto"/>
                            <w:right w:val="none" w:sz="0" w:space="0" w:color="auto"/>
                          </w:divBdr>
                          <w:divsChild>
                            <w:div w:id="1257402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83146128">
      <w:bodyDiv w:val="1"/>
      <w:marLeft w:val="0"/>
      <w:marRight w:val="0"/>
      <w:marTop w:val="0"/>
      <w:marBottom w:val="0"/>
      <w:divBdr>
        <w:top w:val="none" w:sz="0" w:space="0" w:color="auto"/>
        <w:left w:val="none" w:sz="0" w:space="0" w:color="auto"/>
        <w:bottom w:val="none" w:sz="0" w:space="0" w:color="auto"/>
        <w:right w:val="none" w:sz="0" w:space="0" w:color="auto"/>
      </w:divBdr>
      <w:divsChild>
        <w:div w:id="397437528">
          <w:marLeft w:val="0"/>
          <w:marRight w:val="0"/>
          <w:marTop w:val="0"/>
          <w:marBottom w:val="0"/>
          <w:divBdr>
            <w:top w:val="none" w:sz="0" w:space="0" w:color="auto"/>
            <w:left w:val="none" w:sz="0" w:space="0" w:color="auto"/>
            <w:bottom w:val="none" w:sz="0" w:space="0" w:color="auto"/>
            <w:right w:val="none" w:sz="0" w:space="0" w:color="auto"/>
          </w:divBdr>
          <w:divsChild>
            <w:div w:id="1441488796">
              <w:marLeft w:val="0"/>
              <w:marRight w:val="0"/>
              <w:marTop w:val="0"/>
              <w:marBottom w:val="0"/>
              <w:divBdr>
                <w:top w:val="none" w:sz="0" w:space="0" w:color="auto"/>
                <w:left w:val="none" w:sz="0" w:space="0" w:color="auto"/>
                <w:bottom w:val="none" w:sz="0" w:space="0" w:color="auto"/>
                <w:right w:val="none" w:sz="0" w:space="0" w:color="auto"/>
              </w:divBdr>
              <w:divsChild>
                <w:div w:id="476150488">
                  <w:marLeft w:val="0"/>
                  <w:marRight w:val="0"/>
                  <w:marTop w:val="0"/>
                  <w:marBottom w:val="0"/>
                  <w:divBdr>
                    <w:top w:val="none" w:sz="0" w:space="0" w:color="auto"/>
                    <w:left w:val="none" w:sz="0" w:space="0" w:color="auto"/>
                    <w:bottom w:val="none" w:sz="0" w:space="0" w:color="auto"/>
                    <w:right w:val="none" w:sz="0" w:space="0" w:color="auto"/>
                  </w:divBdr>
                  <w:divsChild>
                    <w:div w:id="1606225378">
                      <w:marLeft w:val="0"/>
                      <w:marRight w:val="0"/>
                      <w:marTop w:val="0"/>
                      <w:marBottom w:val="0"/>
                      <w:divBdr>
                        <w:top w:val="none" w:sz="0" w:space="0" w:color="auto"/>
                        <w:left w:val="none" w:sz="0" w:space="0" w:color="auto"/>
                        <w:bottom w:val="none" w:sz="0" w:space="0" w:color="auto"/>
                        <w:right w:val="none" w:sz="0" w:space="0" w:color="auto"/>
                      </w:divBdr>
                      <w:divsChild>
                        <w:div w:id="1363743794">
                          <w:marLeft w:val="0"/>
                          <w:marRight w:val="0"/>
                          <w:marTop w:val="0"/>
                          <w:marBottom w:val="0"/>
                          <w:divBdr>
                            <w:top w:val="none" w:sz="0" w:space="0" w:color="auto"/>
                            <w:left w:val="none" w:sz="0" w:space="0" w:color="auto"/>
                            <w:bottom w:val="none" w:sz="0" w:space="0" w:color="auto"/>
                            <w:right w:val="none" w:sz="0" w:space="0" w:color="auto"/>
                          </w:divBdr>
                          <w:divsChild>
                            <w:div w:id="280915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35887284">
      <w:bodyDiv w:val="1"/>
      <w:marLeft w:val="0"/>
      <w:marRight w:val="0"/>
      <w:marTop w:val="0"/>
      <w:marBottom w:val="0"/>
      <w:divBdr>
        <w:top w:val="none" w:sz="0" w:space="0" w:color="auto"/>
        <w:left w:val="none" w:sz="0" w:space="0" w:color="auto"/>
        <w:bottom w:val="none" w:sz="0" w:space="0" w:color="auto"/>
        <w:right w:val="none" w:sz="0" w:space="0" w:color="auto"/>
      </w:divBdr>
      <w:divsChild>
        <w:div w:id="1450587715">
          <w:marLeft w:val="0"/>
          <w:marRight w:val="0"/>
          <w:marTop w:val="0"/>
          <w:marBottom w:val="0"/>
          <w:divBdr>
            <w:top w:val="none" w:sz="0" w:space="0" w:color="auto"/>
            <w:left w:val="none" w:sz="0" w:space="0" w:color="auto"/>
            <w:bottom w:val="none" w:sz="0" w:space="0" w:color="auto"/>
            <w:right w:val="none" w:sz="0" w:space="0" w:color="auto"/>
          </w:divBdr>
          <w:divsChild>
            <w:div w:id="711924687">
              <w:marLeft w:val="0"/>
              <w:marRight w:val="0"/>
              <w:marTop w:val="0"/>
              <w:marBottom w:val="0"/>
              <w:divBdr>
                <w:top w:val="none" w:sz="0" w:space="0" w:color="auto"/>
                <w:left w:val="none" w:sz="0" w:space="0" w:color="auto"/>
                <w:bottom w:val="none" w:sz="0" w:space="0" w:color="auto"/>
                <w:right w:val="none" w:sz="0" w:space="0" w:color="auto"/>
              </w:divBdr>
              <w:divsChild>
                <w:div w:id="1448815540">
                  <w:marLeft w:val="0"/>
                  <w:marRight w:val="0"/>
                  <w:marTop w:val="0"/>
                  <w:marBottom w:val="0"/>
                  <w:divBdr>
                    <w:top w:val="none" w:sz="0" w:space="0" w:color="auto"/>
                    <w:left w:val="none" w:sz="0" w:space="0" w:color="auto"/>
                    <w:bottom w:val="none" w:sz="0" w:space="0" w:color="auto"/>
                    <w:right w:val="none" w:sz="0" w:space="0" w:color="auto"/>
                  </w:divBdr>
                  <w:divsChild>
                    <w:div w:id="1176387877">
                      <w:marLeft w:val="0"/>
                      <w:marRight w:val="0"/>
                      <w:marTop w:val="0"/>
                      <w:marBottom w:val="0"/>
                      <w:divBdr>
                        <w:top w:val="none" w:sz="0" w:space="0" w:color="auto"/>
                        <w:left w:val="none" w:sz="0" w:space="0" w:color="auto"/>
                        <w:bottom w:val="none" w:sz="0" w:space="0" w:color="auto"/>
                        <w:right w:val="none" w:sz="0" w:space="0" w:color="auto"/>
                      </w:divBdr>
                      <w:divsChild>
                        <w:div w:id="2012179992">
                          <w:marLeft w:val="0"/>
                          <w:marRight w:val="0"/>
                          <w:marTop w:val="0"/>
                          <w:marBottom w:val="0"/>
                          <w:divBdr>
                            <w:top w:val="none" w:sz="0" w:space="0" w:color="auto"/>
                            <w:left w:val="none" w:sz="0" w:space="0" w:color="auto"/>
                            <w:bottom w:val="none" w:sz="0" w:space="0" w:color="auto"/>
                            <w:right w:val="none" w:sz="0" w:space="0" w:color="auto"/>
                          </w:divBdr>
                          <w:divsChild>
                            <w:div w:id="120466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62853157">
      <w:bodyDiv w:val="1"/>
      <w:marLeft w:val="0"/>
      <w:marRight w:val="0"/>
      <w:marTop w:val="0"/>
      <w:marBottom w:val="0"/>
      <w:divBdr>
        <w:top w:val="none" w:sz="0" w:space="0" w:color="auto"/>
        <w:left w:val="none" w:sz="0" w:space="0" w:color="auto"/>
        <w:bottom w:val="none" w:sz="0" w:space="0" w:color="auto"/>
        <w:right w:val="none" w:sz="0" w:space="0" w:color="auto"/>
      </w:divBdr>
      <w:divsChild>
        <w:div w:id="1898860758">
          <w:marLeft w:val="0"/>
          <w:marRight w:val="0"/>
          <w:marTop w:val="0"/>
          <w:marBottom w:val="0"/>
          <w:divBdr>
            <w:top w:val="none" w:sz="0" w:space="0" w:color="auto"/>
            <w:left w:val="none" w:sz="0" w:space="0" w:color="auto"/>
            <w:bottom w:val="none" w:sz="0" w:space="0" w:color="auto"/>
            <w:right w:val="none" w:sz="0" w:space="0" w:color="auto"/>
          </w:divBdr>
          <w:divsChild>
            <w:div w:id="1176071102">
              <w:marLeft w:val="0"/>
              <w:marRight w:val="0"/>
              <w:marTop w:val="0"/>
              <w:marBottom w:val="0"/>
              <w:divBdr>
                <w:top w:val="none" w:sz="0" w:space="0" w:color="auto"/>
                <w:left w:val="none" w:sz="0" w:space="0" w:color="auto"/>
                <w:bottom w:val="none" w:sz="0" w:space="0" w:color="auto"/>
                <w:right w:val="none" w:sz="0" w:space="0" w:color="auto"/>
              </w:divBdr>
              <w:divsChild>
                <w:div w:id="255022388">
                  <w:marLeft w:val="0"/>
                  <w:marRight w:val="0"/>
                  <w:marTop w:val="0"/>
                  <w:marBottom w:val="0"/>
                  <w:divBdr>
                    <w:top w:val="none" w:sz="0" w:space="0" w:color="auto"/>
                    <w:left w:val="none" w:sz="0" w:space="0" w:color="auto"/>
                    <w:bottom w:val="none" w:sz="0" w:space="0" w:color="auto"/>
                    <w:right w:val="none" w:sz="0" w:space="0" w:color="auto"/>
                  </w:divBdr>
                  <w:divsChild>
                    <w:div w:id="1743486268">
                      <w:marLeft w:val="0"/>
                      <w:marRight w:val="0"/>
                      <w:marTop w:val="0"/>
                      <w:marBottom w:val="0"/>
                      <w:divBdr>
                        <w:top w:val="none" w:sz="0" w:space="0" w:color="auto"/>
                        <w:left w:val="none" w:sz="0" w:space="0" w:color="auto"/>
                        <w:bottom w:val="none" w:sz="0" w:space="0" w:color="auto"/>
                        <w:right w:val="none" w:sz="0" w:space="0" w:color="auto"/>
                      </w:divBdr>
                      <w:divsChild>
                        <w:div w:id="330262121">
                          <w:marLeft w:val="0"/>
                          <w:marRight w:val="0"/>
                          <w:marTop w:val="0"/>
                          <w:marBottom w:val="0"/>
                          <w:divBdr>
                            <w:top w:val="none" w:sz="0" w:space="0" w:color="auto"/>
                            <w:left w:val="none" w:sz="0" w:space="0" w:color="auto"/>
                            <w:bottom w:val="none" w:sz="0" w:space="0" w:color="auto"/>
                            <w:right w:val="none" w:sz="0" w:space="0" w:color="auto"/>
                          </w:divBdr>
                          <w:divsChild>
                            <w:div w:id="1467966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75218807">
      <w:bodyDiv w:val="1"/>
      <w:marLeft w:val="0"/>
      <w:marRight w:val="0"/>
      <w:marTop w:val="0"/>
      <w:marBottom w:val="0"/>
      <w:divBdr>
        <w:top w:val="none" w:sz="0" w:space="0" w:color="auto"/>
        <w:left w:val="none" w:sz="0" w:space="0" w:color="auto"/>
        <w:bottom w:val="none" w:sz="0" w:space="0" w:color="auto"/>
        <w:right w:val="none" w:sz="0" w:space="0" w:color="auto"/>
      </w:divBdr>
    </w:div>
    <w:div w:id="1550993130">
      <w:bodyDiv w:val="1"/>
      <w:marLeft w:val="0"/>
      <w:marRight w:val="0"/>
      <w:marTop w:val="0"/>
      <w:marBottom w:val="0"/>
      <w:divBdr>
        <w:top w:val="none" w:sz="0" w:space="0" w:color="auto"/>
        <w:left w:val="none" w:sz="0" w:space="0" w:color="auto"/>
        <w:bottom w:val="none" w:sz="0" w:space="0" w:color="auto"/>
        <w:right w:val="none" w:sz="0" w:space="0" w:color="auto"/>
      </w:divBdr>
      <w:divsChild>
        <w:div w:id="57435429">
          <w:marLeft w:val="0"/>
          <w:marRight w:val="0"/>
          <w:marTop w:val="0"/>
          <w:marBottom w:val="0"/>
          <w:divBdr>
            <w:top w:val="none" w:sz="0" w:space="0" w:color="auto"/>
            <w:left w:val="none" w:sz="0" w:space="0" w:color="auto"/>
            <w:bottom w:val="none" w:sz="0" w:space="0" w:color="auto"/>
            <w:right w:val="none" w:sz="0" w:space="0" w:color="auto"/>
          </w:divBdr>
          <w:divsChild>
            <w:div w:id="936864735">
              <w:marLeft w:val="0"/>
              <w:marRight w:val="0"/>
              <w:marTop w:val="0"/>
              <w:marBottom w:val="0"/>
              <w:divBdr>
                <w:top w:val="none" w:sz="0" w:space="0" w:color="auto"/>
                <w:left w:val="none" w:sz="0" w:space="0" w:color="auto"/>
                <w:bottom w:val="none" w:sz="0" w:space="0" w:color="auto"/>
                <w:right w:val="none" w:sz="0" w:space="0" w:color="auto"/>
              </w:divBdr>
              <w:divsChild>
                <w:div w:id="866989825">
                  <w:marLeft w:val="0"/>
                  <w:marRight w:val="0"/>
                  <w:marTop w:val="0"/>
                  <w:marBottom w:val="0"/>
                  <w:divBdr>
                    <w:top w:val="none" w:sz="0" w:space="0" w:color="auto"/>
                    <w:left w:val="none" w:sz="0" w:space="0" w:color="auto"/>
                    <w:bottom w:val="none" w:sz="0" w:space="0" w:color="auto"/>
                    <w:right w:val="none" w:sz="0" w:space="0" w:color="auto"/>
                  </w:divBdr>
                  <w:divsChild>
                    <w:div w:id="1004357004">
                      <w:marLeft w:val="0"/>
                      <w:marRight w:val="0"/>
                      <w:marTop w:val="0"/>
                      <w:marBottom w:val="0"/>
                      <w:divBdr>
                        <w:top w:val="none" w:sz="0" w:space="0" w:color="auto"/>
                        <w:left w:val="none" w:sz="0" w:space="0" w:color="auto"/>
                        <w:bottom w:val="none" w:sz="0" w:space="0" w:color="auto"/>
                        <w:right w:val="none" w:sz="0" w:space="0" w:color="auto"/>
                      </w:divBdr>
                      <w:divsChild>
                        <w:div w:id="1593467462">
                          <w:marLeft w:val="0"/>
                          <w:marRight w:val="0"/>
                          <w:marTop w:val="0"/>
                          <w:marBottom w:val="0"/>
                          <w:divBdr>
                            <w:top w:val="none" w:sz="0" w:space="0" w:color="auto"/>
                            <w:left w:val="none" w:sz="0" w:space="0" w:color="auto"/>
                            <w:bottom w:val="none" w:sz="0" w:space="0" w:color="auto"/>
                            <w:right w:val="none" w:sz="0" w:space="0" w:color="auto"/>
                          </w:divBdr>
                          <w:divsChild>
                            <w:div w:id="1777286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12198993">
      <w:bodyDiv w:val="1"/>
      <w:marLeft w:val="0"/>
      <w:marRight w:val="0"/>
      <w:marTop w:val="0"/>
      <w:marBottom w:val="0"/>
      <w:divBdr>
        <w:top w:val="none" w:sz="0" w:space="0" w:color="auto"/>
        <w:left w:val="none" w:sz="0" w:space="0" w:color="auto"/>
        <w:bottom w:val="none" w:sz="0" w:space="0" w:color="auto"/>
        <w:right w:val="none" w:sz="0" w:space="0" w:color="auto"/>
      </w:divBdr>
    </w:div>
    <w:div w:id="1622762080">
      <w:bodyDiv w:val="1"/>
      <w:marLeft w:val="0"/>
      <w:marRight w:val="0"/>
      <w:marTop w:val="0"/>
      <w:marBottom w:val="0"/>
      <w:divBdr>
        <w:top w:val="none" w:sz="0" w:space="0" w:color="auto"/>
        <w:left w:val="none" w:sz="0" w:space="0" w:color="auto"/>
        <w:bottom w:val="none" w:sz="0" w:space="0" w:color="auto"/>
        <w:right w:val="none" w:sz="0" w:space="0" w:color="auto"/>
      </w:divBdr>
      <w:divsChild>
        <w:div w:id="753162612">
          <w:marLeft w:val="0"/>
          <w:marRight w:val="0"/>
          <w:marTop w:val="0"/>
          <w:marBottom w:val="0"/>
          <w:divBdr>
            <w:top w:val="none" w:sz="0" w:space="0" w:color="auto"/>
            <w:left w:val="none" w:sz="0" w:space="0" w:color="auto"/>
            <w:bottom w:val="none" w:sz="0" w:space="0" w:color="auto"/>
            <w:right w:val="none" w:sz="0" w:space="0" w:color="auto"/>
          </w:divBdr>
          <w:divsChild>
            <w:div w:id="460194747">
              <w:marLeft w:val="0"/>
              <w:marRight w:val="0"/>
              <w:marTop w:val="0"/>
              <w:marBottom w:val="0"/>
              <w:divBdr>
                <w:top w:val="none" w:sz="0" w:space="0" w:color="auto"/>
                <w:left w:val="none" w:sz="0" w:space="0" w:color="auto"/>
                <w:bottom w:val="none" w:sz="0" w:space="0" w:color="auto"/>
                <w:right w:val="none" w:sz="0" w:space="0" w:color="auto"/>
              </w:divBdr>
              <w:divsChild>
                <w:div w:id="1192958838">
                  <w:marLeft w:val="0"/>
                  <w:marRight w:val="0"/>
                  <w:marTop w:val="0"/>
                  <w:marBottom w:val="0"/>
                  <w:divBdr>
                    <w:top w:val="none" w:sz="0" w:space="0" w:color="auto"/>
                    <w:left w:val="none" w:sz="0" w:space="0" w:color="auto"/>
                    <w:bottom w:val="none" w:sz="0" w:space="0" w:color="auto"/>
                    <w:right w:val="none" w:sz="0" w:space="0" w:color="auto"/>
                  </w:divBdr>
                  <w:divsChild>
                    <w:div w:id="79256234">
                      <w:marLeft w:val="0"/>
                      <w:marRight w:val="0"/>
                      <w:marTop w:val="0"/>
                      <w:marBottom w:val="0"/>
                      <w:divBdr>
                        <w:top w:val="none" w:sz="0" w:space="0" w:color="auto"/>
                        <w:left w:val="none" w:sz="0" w:space="0" w:color="auto"/>
                        <w:bottom w:val="none" w:sz="0" w:space="0" w:color="auto"/>
                        <w:right w:val="none" w:sz="0" w:space="0" w:color="auto"/>
                      </w:divBdr>
                      <w:divsChild>
                        <w:div w:id="2054233070">
                          <w:marLeft w:val="0"/>
                          <w:marRight w:val="0"/>
                          <w:marTop w:val="0"/>
                          <w:marBottom w:val="0"/>
                          <w:divBdr>
                            <w:top w:val="none" w:sz="0" w:space="0" w:color="auto"/>
                            <w:left w:val="none" w:sz="0" w:space="0" w:color="auto"/>
                            <w:bottom w:val="none" w:sz="0" w:space="0" w:color="auto"/>
                            <w:right w:val="none" w:sz="0" w:space="0" w:color="auto"/>
                          </w:divBdr>
                          <w:divsChild>
                            <w:div w:id="373817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88432051">
      <w:bodyDiv w:val="1"/>
      <w:marLeft w:val="0"/>
      <w:marRight w:val="0"/>
      <w:marTop w:val="0"/>
      <w:marBottom w:val="0"/>
      <w:divBdr>
        <w:top w:val="none" w:sz="0" w:space="0" w:color="auto"/>
        <w:left w:val="none" w:sz="0" w:space="0" w:color="auto"/>
        <w:bottom w:val="none" w:sz="0" w:space="0" w:color="auto"/>
        <w:right w:val="none" w:sz="0" w:space="0" w:color="auto"/>
      </w:divBdr>
    </w:div>
    <w:div w:id="1885746637">
      <w:bodyDiv w:val="1"/>
      <w:marLeft w:val="0"/>
      <w:marRight w:val="0"/>
      <w:marTop w:val="0"/>
      <w:marBottom w:val="0"/>
      <w:divBdr>
        <w:top w:val="none" w:sz="0" w:space="0" w:color="auto"/>
        <w:left w:val="none" w:sz="0" w:space="0" w:color="auto"/>
        <w:bottom w:val="none" w:sz="0" w:space="0" w:color="auto"/>
        <w:right w:val="none" w:sz="0" w:space="0" w:color="auto"/>
      </w:divBdr>
      <w:divsChild>
        <w:div w:id="1024013979">
          <w:marLeft w:val="0"/>
          <w:marRight w:val="0"/>
          <w:marTop w:val="0"/>
          <w:marBottom w:val="0"/>
          <w:divBdr>
            <w:top w:val="none" w:sz="0" w:space="0" w:color="auto"/>
            <w:left w:val="none" w:sz="0" w:space="0" w:color="auto"/>
            <w:bottom w:val="none" w:sz="0" w:space="0" w:color="auto"/>
            <w:right w:val="none" w:sz="0" w:space="0" w:color="auto"/>
          </w:divBdr>
          <w:divsChild>
            <w:div w:id="1252081313">
              <w:marLeft w:val="0"/>
              <w:marRight w:val="0"/>
              <w:marTop w:val="0"/>
              <w:marBottom w:val="0"/>
              <w:divBdr>
                <w:top w:val="none" w:sz="0" w:space="0" w:color="auto"/>
                <w:left w:val="none" w:sz="0" w:space="0" w:color="auto"/>
                <w:bottom w:val="none" w:sz="0" w:space="0" w:color="auto"/>
                <w:right w:val="none" w:sz="0" w:space="0" w:color="auto"/>
              </w:divBdr>
              <w:divsChild>
                <w:div w:id="1296445986">
                  <w:marLeft w:val="0"/>
                  <w:marRight w:val="0"/>
                  <w:marTop w:val="0"/>
                  <w:marBottom w:val="0"/>
                  <w:divBdr>
                    <w:top w:val="none" w:sz="0" w:space="0" w:color="auto"/>
                    <w:left w:val="none" w:sz="0" w:space="0" w:color="auto"/>
                    <w:bottom w:val="none" w:sz="0" w:space="0" w:color="auto"/>
                    <w:right w:val="none" w:sz="0" w:space="0" w:color="auto"/>
                  </w:divBdr>
                  <w:divsChild>
                    <w:div w:id="60491979">
                      <w:marLeft w:val="0"/>
                      <w:marRight w:val="0"/>
                      <w:marTop w:val="0"/>
                      <w:marBottom w:val="0"/>
                      <w:divBdr>
                        <w:top w:val="none" w:sz="0" w:space="0" w:color="auto"/>
                        <w:left w:val="none" w:sz="0" w:space="0" w:color="auto"/>
                        <w:bottom w:val="none" w:sz="0" w:space="0" w:color="auto"/>
                        <w:right w:val="none" w:sz="0" w:space="0" w:color="auto"/>
                      </w:divBdr>
                      <w:divsChild>
                        <w:div w:id="1429765679">
                          <w:marLeft w:val="0"/>
                          <w:marRight w:val="0"/>
                          <w:marTop w:val="0"/>
                          <w:marBottom w:val="0"/>
                          <w:divBdr>
                            <w:top w:val="none" w:sz="0" w:space="0" w:color="auto"/>
                            <w:left w:val="none" w:sz="0" w:space="0" w:color="auto"/>
                            <w:bottom w:val="none" w:sz="0" w:space="0" w:color="auto"/>
                            <w:right w:val="none" w:sz="0" w:space="0" w:color="auto"/>
                          </w:divBdr>
                          <w:divsChild>
                            <w:div w:id="1968580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11689062">
      <w:bodyDiv w:val="1"/>
      <w:marLeft w:val="0"/>
      <w:marRight w:val="0"/>
      <w:marTop w:val="0"/>
      <w:marBottom w:val="0"/>
      <w:divBdr>
        <w:top w:val="none" w:sz="0" w:space="0" w:color="auto"/>
        <w:left w:val="none" w:sz="0" w:space="0" w:color="auto"/>
        <w:bottom w:val="none" w:sz="0" w:space="0" w:color="auto"/>
        <w:right w:val="none" w:sz="0" w:space="0" w:color="auto"/>
      </w:divBdr>
      <w:divsChild>
        <w:div w:id="193347645">
          <w:marLeft w:val="0"/>
          <w:marRight w:val="0"/>
          <w:marTop w:val="0"/>
          <w:marBottom w:val="0"/>
          <w:divBdr>
            <w:top w:val="none" w:sz="0" w:space="0" w:color="auto"/>
            <w:left w:val="none" w:sz="0" w:space="0" w:color="auto"/>
            <w:bottom w:val="none" w:sz="0" w:space="0" w:color="auto"/>
            <w:right w:val="none" w:sz="0" w:space="0" w:color="auto"/>
          </w:divBdr>
          <w:divsChild>
            <w:div w:id="470365338">
              <w:marLeft w:val="0"/>
              <w:marRight w:val="0"/>
              <w:marTop w:val="0"/>
              <w:marBottom w:val="0"/>
              <w:divBdr>
                <w:top w:val="none" w:sz="0" w:space="0" w:color="auto"/>
                <w:left w:val="none" w:sz="0" w:space="0" w:color="auto"/>
                <w:bottom w:val="none" w:sz="0" w:space="0" w:color="auto"/>
                <w:right w:val="none" w:sz="0" w:space="0" w:color="auto"/>
              </w:divBdr>
              <w:divsChild>
                <w:div w:id="733042264">
                  <w:marLeft w:val="0"/>
                  <w:marRight w:val="0"/>
                  <w:marTop w:val="0"/>
                  <w:marBottom w:val="0"/>
                  <w:divBdr>
                    <w:top w:val="none" w:sz="0" w:space="0" w:color="auto"/>
                    <w:left w:val="none" w:sz="0" w:space="0" w:color="auto"/>
                    <w:bottom w:val="none" w:sz="0" w:space="0" w:color="auto"/>
                    <w:right w:val="none" w:sz="0" w:space="0" w:color="auto"/>
                  </w:divBdr>
                  <w:divsChild>
                    <w:div w:id="252393817">
                      <w:marLeft w:val="0"/>
                      <w:marRight w:val="0"/>
                      <w:marTop w:val="0"/>
                      <w:marBottom w:val="0"/>
                      <w:divBdr>
                        <w:top w:val="none" w:sz="0" w:space="0" w:color="auto"/>
                        <w:left w:val="none" w:sz="0" w:space="0" w:color="auto"/>
                        <w:bottom w:val="none" w:sz="0" w:space="0" w:color="auto"/>
                        <w:right w:val="none" w:sz="0" w:space="0" w:color="auto"/>
                      </w:divBdr>
                      <w:divsChild>
                        <w:div w:id="445123705">
                          <w:marLeft w:val="0"/>
                          <w:marRight w:val="0"/>
                          <w:marTop w:val="0"/>
                          <w:marBottom w:val="0"/>
                          <w:divBdr>
                            <w:top w:val="none" w:sz="0" w:space="0" w:color="auto"/>
                            <w:left w:val="none" w:sz="0" w:space="0" w:color="auto"/>
                            <w:bottom w:val="none" w:sz="0" w:space="0" w:color="auto"/>
                            <w:right w:val="none" w:sz="0" w:space="0" w:color="auto"/>
                          </w:divBdr>
                          <w:divsChild>
                            <w:div w:id="435176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17592473">
      <w:bodyDiv w:val="1"/>
      <w:marLeft w:val="0"/>
      <w:marRight w:val="0"/>
      <w:marTop w:val="0"/>
      <w:marBottom w:val="0"/>
      <w:divBdr>
        <w:top w:val="none" w:sz="0" w:space="0" w:color="auto"/>
        <w:left w:val="none" w:sz="0" w:space="0" w:color="auto"/>
        <w:bottom w:val="none" w:sz="0" w:space="0" w:color="auto"/>
        <w:right w:val="none" w:sz="0" w:space="0" w:color="auto"/>
      </w:divBdr>
    </w:div>
    <w:div w:id="1968777252">
      <w:bodyDiv w:val="1"/>
      <w:marLeft w:val="0"/>
      <w:marRight w:val="0"/>
      <w:marTop w:val="0"/>
      <w:marBottom w:val="0"/>
      <w:divBdr>
        <w:top w:val="none" w:sz="0" w:space="0" w:color="auto"/>
        <w:left w:val="none" w:sz="0" w:space="0" w:color="auto"/>
        <w:bottom w:val="none" w:sz="0" w:space="0" w:color="auto"/>
        <w:right w:val="none" w:sz="0" w:space="0" w:color="auto"/>
      </w:divBdr>
      <w:divsChild>
        <w:div w:id="255404148">
          <w:marLeft w:val="0"/>
          <w:marRight w:val="0"/>
          <w:marTop w:val="0"/>
          <w:marBottom w:val="0"/>
          <w:divBdr>
            <w:top w:val="none" w:sz="0" w:space="0" w:color="auto"/>
            <w:left w:val="none" w:sz="0" w:space="0" w:color="auto"/>
            <w:bottom w:val="none" w:sz="0" w:space="0" w:color="auto"/>
            <w:right w:val="none" w:sz="0" w:space="0" w:color="auto"/>
          </w:divBdr>
          <w:divsChild>
            <w:div w:id="1044520979">
              <w:marLeft w:val="0"/>
              <w:marRight w:val="0"/>
              <w:marTop w:val="0"/>
              <w:marBottom w:val="0"/>
              <w:divBdr>
                <w:top w:val="none" w:sz="0" w:space="0" w:color="auto"/>
                <w:left w:val="none" w:sz="0" w:space="0" w:color="auto"/>
                <w:bottom w:val="none" w:sz="0" w:space="0" w:color="auto"/>
                <w:right w:val="none" w:sz="0" w:space="0" w:color="auto"/>
              </w:divBdr>
              <w:divsChild>
                <w:div w:id="890580947">
                  <w:marLeft w:val="0"/>
                  <w:marRight w:val="0"/>
                  <w:marTop w:val="0"/>
                  <w:marBottom w:val="0"/>
                  <w:divBdr>
                    <w:top w:val="none" w:sz="0" w:space="0" w:color="auto"/>
                    <w:left w:val="none" w:sz="0" w:space="0" w:color="auto"/>
                    <w:bottom w:val="none" w:sz="0" w:space="0" w:color="auto"/>
                    <w:right w:val="none" w:sz="0" w:space="0" w:color="auto"/>
                  </w:divBdr>
                  <w:divsChild>
                    <w:div w:id="2090153822">
                      <w:marLeft w:val="0"/>
                      <w:marRight w:val="0"/>
                      <w:marTop w:val="0"/>
                      <w:marBottom w:val="0"/>
                      <w:divBdr>
                        <w:top w:val="none" w:sz="0" w:space="0" w:color="auto"/>
                        <w:left w:val="none" w:sz="0" w:space="0" w:color="auto"/>
                        <w:bottom w:val="none" w:sz="0" w:space="0" w:color="auto"/>
                        <w:right w:val="none" w:sz="0" w:space="0" w:color="auto"/>
                      </w:divBdr>
                      <w:divsChild>
                        <w:div w:id="2043937902">
                          <w:marLeft w:val="0"/>
                          <w:marRight w:val="0"/>
                          <w:marTop w:val="0"/>
                          <w:marBottom w:val="0"/>
                          <w:divBdr>
                            <w:top w:val="none" w:sz="0" w:space="0" w:color="auto"/>
                            <w:left w:val="none" w:sz="0" w:space="0" w:color="auto"/>
                            <w:bottom w:val="none" w:sz="0" w:space="0" w:color="auto"/>
                            <w:right w:val="none" w:sz="0" w:space="0" w:color="auto"/>
                          </w:divBdr>
                          <w:divsChild>
                            <w:div w:id="1720856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79533632">
      <w:bodyDiv w:val="1"/>
      <w:marLeft w:val="0"/>
      <w:marRight w:val="0"/>
      <w:marTop w:val="0"/>
      <w:marBottom w:val="0"/>
      <w:divBdr>
        <w:top w:val="none" w:sz="0" w:space="0" w:color="auto"/>
        <w:left w:val="none" w:sz="0" w:space="0" w:color="auto"/>
        <w:bottom w:val="none" w:sz="0" w:space="0" w:color="auto"/>
        <w:right w:val="none" w:sz="0" w:space="0" w:color="auto"/>
      </w:divBdr>
      <w:divsChild>
        <w:div w:id="2112704998">
          <w:marLeft w:val="0"/>
          <w:marRight w:val="0"/>
          <w:marTop w:val="0"/>
          <w:marBottom w:val="0"/>
          <w:divBdr>
            <w:top w:val="none" w:sz="0" w:space="0" w:color="auto"/>
            <w:left w:val="none" w:sz="0" w:space="0" w:color="auto"/>
            <w:bottom w:val="none" w:sz="0" w:space="0" w:color="auto"/>
            <w:right w:val="none" w:sz="0" w:space="0" w:color="auto"/>
          </w:divBdr>
          <w:divsChild>
            <w:div w:id="1722052973">
              <w:marLeft w:val="0"/>
              <w:marRight w:val="0"/>
              <w:marTop w:val="0"/>
              <w:marBottom w:val="0"/>
              <w:divBdr>
                <w:top w:val="none" w:sz="0" w:space="0" w:color="auto"/>
                <w:left w:val="none" w:sz="0" w:space="0" w:color="auto"/>
                <w:bottom w:val="none" w:sz="0" w:space="0" w:color="auto"/>
                <w:right w:val="none" w:sz="0" w:space="0" w:color="auto"/>
              </w:divBdr>
              <w:divsChild>
                <w:div w:id="2103404611">
                  <w:marLeft w:val="0"/>
                  <w:marRight w:val="0"/>
                  <w:marTop w:val="0"/>
                  <w:marBottom w:val="0"/>
                  <w:divBdr>
                    <w:top w:val="none" w:sz="0" w:space="0" w:color="auto"/>
                    <w:left w:val="none" w:sz="0" w:space="0" w:color="auto"/>
                    <w:bottom w:val="none" w:sz="0" w:space="0" w:color="auto"/>
                    <w:right w:val="none" w:sz="0" w:space="0" w:color="auto"/>
                  </w:divBdr>
                  <w:divsChild>
                    <w:div w:id="458764578">
                      <w:marLeft w:val="0"/>
                      <w:marRight w:val="0"/>
                      <w:marTop w:val="0"/>
                      <w:marBottom w:val="0"/>
                      <w:divBdr>
                        <w:top w:val="none" w:sz="0" w:space="0" w:color="auto"/>
                        <w:left w:val="none" w:sz="0" w:space="0" w:color="auto"/>
                        <w:bottom w:val="none" w:sz="0" w:space="0" w:color="auto"/>
                        <w:right w:val="none" w:sz="0" w:space="0" w:color="auto"/>
                      </w:divBdr>
                      <w:divsChild>
                        <w:div w:id="1897889218">
                          <w:marLeft w:val="0"/>
                          <w:marRight w:val="0"/>
                          <w:marTop w:val="0"/>
                          <w:marBottom w:val="0"/>
                          <w:divBdr>
                            <w:top w:val="none" w:sz="0" w:space="0" w:color="auto"/>
                            <w:left w:val="none" w:sz="0" w:space="0" w:color="auto"/>
                            <w:bottom w:val="none" w:sz="0" w:space="0" w:color="auto"/>
                            <w:right w:val="none" w:sz="0" w:space="0" w:color="auto"/>
                          </w:divBdr>
                          <w:divsChild>
                            <w:div w:id="380177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43166097">
      <w:bodyDiv w:val="1"/>
      <w:marLeft w:val="0"/>
      <w:marRight w:val="0"/>
      <w:marTop w:val="0"/>
      <w:marBottom w:val="0"/>
      <w:divBdr>
        <w:top w:val="none" w:sz="0" w:space="0" w:color="auto"/>
        <w:left w:val="none" w:sz="0" w:space="0" w:color="auto"/>
        <w:bottom w:val="none" w:sz="0" w:space="0" w:color="auto"/>
        <w:right w:val="none" w:sz="0" w:space="0" w:color="auto"/>
      </w:divBdr>
      <w:divsChild>
        <w:div w:id="924067993">
          <w:marLeft w:val="0"/>
          <w:marRight w:val="0"/>
          <w:marTop w:val="0"/>
          <w:marBottom w:val="0"/>
          <w:divBdr>
            <w:top w:val="none" w:sz="0" w:space="0" w:color="auto"/>
            <w:left w:val="none" w:sz="0" w:space="0" w:color="auto"/>
            <w:bottom w:val="none" w:sz="0" w:space="0" w:color="auto"/>
            <w:right w:val="none" w:sz="0" w:space="0" w:color="auto"/>
          </w:divBdr>
          <w:divsChild>
            <w:div w:id="402677094">
              <w:marLeft w:val="0"/>
              <w:marRight w:val="0"/>
              <w:marTop w:val="0"/>
              <w:marBottom w:val="0"/>
              <w:divBdr>
                <w:top w:val="none" w:sz="0" w:space="0" w:color="auto"/>
                <w:left w:val="none" w:sz="0" w:space="0" w:color="auto"/>
                <w:bottom w:val="none" w:sz="0" w:space="0" w:color="auto"/>
                <w:right w:val="none" w:sz="0" w:space="0" w:color="auto"/>
              </w:divBdr>
              <w:divsChild>
                <w:div w:id="1545368451">
                  <w:marLeft w:val="0"/>
                  <w:marRight w:val="0"/>
                  <w:marTop w:val="0"/>
                  <w:marBottom w:val="0"/>
                  <w:divBdr>
                    <w:top w:val="none" w:sz="0" w:space="0" w:color="auto"/>
                    <w:left w:val="none" w:sz="0" w:space="0" w:color="auto"/>
                    <w:bottom w:val="none" w:sz="0" w:space="0" w:color="auto"/>
                    <w:right w:val="none" w:sz="0" w:space="0" w:color="auto"/>
                  </w:divBdr>
                  <w:divsChild>
                    <w:div w:id="1592859205">
                      <w:marLeft w:val="0"/>
                      <w:marRight w:val="0"/>
                      <w:marTop w:val="0"/>
                      <w:marBottom w:val="0"/>
                      <w:divBdr>
                        <w:top w:val="none" w:sz="0" w:space="0" w:color="auto"/>
                        <w:left w:val="none" w:sz="0" w:space="0" w:color="auto"/>
                        <w:bottom w:val="none" w:sz="0" w:space="0" w:color="auto"/>
                        <w:right w:val="none" w:sz="0" w:space="0" w:color="auto"/>
                      </w:divBdr>
                      <w:divsChild>
                        <w:div w:id="480777530">
                          <w:marLeft w:val="0"/>
                          <w:marRight w:val="0"/>
                          <w:marTop w:val="0"/>
                          <w:marBottom w:val="0"/>
                          <w:divBdr>
                            <w:top w:val="none" w:sz="0" w:space="0" w:color="auto"/>
                            <w:left w:val="none" w:sz="0" w:space="0" w:color="auto"/>
                            <w:bottom w:val="none" w:sz="0" w:space="0" w:color="auto"/>
                            <w:right w:val="none" w:sz="0" w:space="0" w:color="auto"/>
                          </w:divBdr>
                          <w:divsChild>
                            <w:div w:id="1753816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4B1A8F-8A69-4BA8-B63E-009E57683C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47</TotalTime>
  <Pages>28</Pages>
  <Words>5009</Words>
  <Characters>28557</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Rumyana Popova (1909673)</cp:lastModifiedBy>
  <cp:revision>6</cp:revision>
  <dcterms:created xsi:type="dcterms:W3CDTF">2024-07-27T15:55:00Z</dcterms:created>
  <dcterms:modified xsi:type="dcterms:W3CDTF">2024-08-23T21:43:00Z</dcterms:modified>
</cp:coreProperties>
</file>