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8C063" w14:textId="77777777" w:rsidR="002A6A4F" w:rsidRDefault="002A6A4F" w:rsidP="002A6A4F">
      <w:pPr>
        <w:jc w:val="center"/>
        <w:rPr>
          <w:rFonts w:ascii="Arial" w:hAnsi="Arial" w:cs="Arial"/>
          <w:lang w:eastAsia="en-GB"/>
        </w:rPr>
      </w:pPr>
    </w:p>
    <w:p w14:paraId="383EBA6B" w14:textId="77777777" w:rsidR="00664B1F" w:rsidRDefault="00664B1F" w:rsidP="002A6A4F">
      <w:pPr>
        <w:jc w:val="center"/>
        <w:rPr>
          <w:rFonts w:ascii="Arial" w:hAnsi="Arial" w:cs="Arial"/>
          <w:lang w:eastAsia="en-GB"/>
        </w:rPr>
      </w:pPr>
    </w:p>
    <w:p w14:paraId="7B264E69" w14:textId="77777777" w:rsidR="00664B1F" w:rsidRDefault="00664B1F" w:rsidP="002A6A4F">
      <w:pPr>
        <w:jc w:val="center"/>
        <w:rPr>
          <w:rFonts w:ascii="Arial" w:hAnsi="Arial" w:cs="Arial"/>
          <w:lang w:eastAsia="en-GB"/>
        </w:rPr>
      </w:pPr>
    </w:p>
    <w:p w14:paraId="5FFC9608" w14:textId="77777777" w:rsidR="00664B1F" w:rsidRDefault="00664B1F" w:rsidP="002A6A4F">
      <w:pPr>
        <w:jc w:val="center"/>
        <w:rPr>
          <w:rFonts w:ascii="Arial" w:hAnsi="Arial" w:cs="Arial"/>
          <w:lang w:eastAsia="en-GB"/>
        </w:rPr>
      </w:pPr>
    </w:p>
    <w:p w14:paraId="474C70DC" w14:textId="77777777" w:rsidR="00664B1F" w:rsidRPr="00664B1F" w:rsidRDefault="00664B1F" w:rsidP="002A6A4F">
      <w:pPr>
        <w:jc w:val="center"/>
        <w:rPr>
          <w:rFonts w:ascii="Arial" w:hAnsi="Arial" w:cs="Arial"/>
          <w:lang w:eastAsia="en-GB"/>
        </w:rPr>
      </w:pPr>
    </w:p>
    <w:p w14:paraId="6FC0598C" w14:textId="77777777" w:rsidR="002A6A4F" w:rsidRPr="00664B1F" w:rsidRDefault="002A6A4F" w:rsidP="002A6A4F">
      <w:pPr>
        <w:jc w:val="center"/>
        <w:rPr>
          <w:rFonts w:ascii="Arial" w:hAnsi="Arial" w:cs="Arial"/>
          <w:lang w:eastAsia="en-GB"/>
        </w:rPr>
      </w:pPr>
    </w:p>
    <w:p w14:paraId="26C37A63" w14:textId="77777777" w:rsidR="002A6A4F" w:rsidRPr="00664B1F" w:rsidRDefault="002A6A4F" w:rsidP="002A6A4F">
      <w:pPr>
        <w:jc w:val="center"/>
        <w:rPr>
          <w:rFonts w:ascii="Arial" w:hAnsi="Arial" w:cs="Arial"/>
          <w:lang w:eastAsia="en-GB"/>
        </w:rPr>
      </w:pPr>
    </w:p>
    <w:p w14:paraId="5656B24B" w14:textId="77777777" w:rsidR="002A6A4F" w:rsidRPr="00664B1F" w:rsidRDefault="002A6A4F" w:rsidP="002A6A4F">
      <w:pPr>
        <w:jc w:val="center"/>
        <w:rPr>
          <w:rFonts w:ascii="Arial" w:hAnsi="Arial" w:cs="Arial"/>
          <w:lang w:eastAsia="en-GB"/>
        </w:rPr>
      </w:pPr>
    </w:p>
    <w:p w14:paraId="1F7F9D20" w14:textId="77777777" w:rsidR="002A6A4F" w:rsidRPr="00664B1F" w:rsidRDefault="002A6A4F" w:rsidP="002A6A4F">
      <w:pPr>
        <w:jc w:val="center"/>
        <w:rPr>
          <w:rFonts w:ascii="Arial" w:hAnsi="Arial" w:cs="Arial"/>
          <w:lang w:eastAsia="en-GB"/>
        </w:rPr>
      </w:pPr>
    </w:p>
    <w:p w14:paraId="160AE37F" w14:textId="5702BFA9" w:rsidR="00866FAF" w:rsidRPr="00664B1F" w:rsidRDefault="00866FAF" w:rsidP="002A6A4F">
      <w:pPr>
        <w:jc w:val="center"/>
        <w:rPr>
          <w:rFonts w:ascii="Arial" w:hAnsi="Arial" w:cs="Arial"/>
          <w:lang w:eastAsia="en-GB"/>
        </w:rPr>
      </w:pPr>
      <w:r w:rsidRPr="00664B1F">
        <w:rPr>
          <w:rFonts w:ascii="Arial" w:hAnsi="Arial" w:cs="Arial"/>
          <w:lang w:eastAsia="en-GB"/>
        </w:rPr>
        <w:t>EVALUATING PERSON-CENTRED CARE AND PARTNERSHIP WORKING IN HEALTH AND SOCIAL CARE</w:t>
      </w:r>
    </w:p>
    <w:p w14:paraId="52DD8E1F" w14:textId="77777777" w:rsidR="00866FAF" w:rsidRPr="00664B1F" w:rsidRDefault="00866FAF" w:rsidP="002A6A4F">
      <w:pPr>
        <w:jc w:val="center"/>
        <w:rPr>
          <w:rFonts w:ascii="Arial" w:hAnsi="Arial" w:cs="Arial"/>
          <w:kern w:val="0"/>
          <w:lang w:eastAsia="en-GB"/>
        </w:rPr>
      </w:pPr>
      <w:r w:rsidRPr="00664B1F">
        <w:rPr>
          <w:rFonts w:ascii="Arial" w:hAnsi="Arial" w:cs="Arial"/>
          <w:kern w:val="0"/>
          <w:bdr w:val="none" w:sz="0" w:space="0" w:color="auto" w:frame="1"/>
          <w:lang w:eastAsia="en-GB"/>
        </w:rPr>
        <w:t>Assignment Title:</w:t>
      </w:r>
      <w:r w:rsidRPr="00664B1F">
        <w:rPr>
          <w:rFonts w:ascii="Arial" w:hAnsi="Arial" w:cs="Arial"/>
          <w:kern w:val="0"/>
          <w:lang w:eastAsia="en-GB"/>
        </w:rPr>
        <w:t xml:space="preserve"> Component 2 – Written Assignment (Report)</w:t>
      </w:r>
    </w:p>
    <w:p w14:paraId="30BF1C23" w14:textId="4B2CD076" w:rsidR="002A6A4F" w:rsidRPr="00664B1F" w:rsidRDefault="002A6A4F" w:rsidP="002A6A4F">
      <w:pPr>
        <w:jc w:val="center"/>
        <w:rPr>
          <w:rFonts w:ascii="Arial" w:hAnsi="Arial" w:cs="Arial"/>
          <w:kern w:val="0"/>
          <w:lang w:eastAsia="en-GB"/>
        </w:rPr>
      </w:pPr>
      <w:r w:rsidRPr="00664B1F">
        <w:rPr>
          <w:rFonts w:ascii="Arial" w:hAnsi="Arial" w:cs="Arial"/>
          <w:kern w:val="0"/>
          <w:lang w:eastAsia="en-GB"/>
        </w:rPr>
        <w:t>S</w:t>
      </w:r>
      <w:r w:rsidR="00930324">
        <w:rPr>
          <w:rFonts w:ascii="Arial" w:hAnsi="Arial" w:cs="Arial"/>
          <w:kern w:val="0"/>
          <w:lang w:eastAsia="en-GB"/>
        </w:rPr>
        <w:t>alma Karim</w:t>
      </w:r>
    </w:p>
    <w:p w14:paraId="1E044E65" w14:textId="6D8584F8" w:rsidR="002A6A4F" w:rsidRPr="00664B1F" w:rsidRDefault="00930324" w:rsidP="002A6A4F">
      <w:pPr>
        <w:jc w:val="center"/>
        <w:rPr>
          <w:rFonts w:ascii="Arial" w:hAnsi="Arial" w:cs="Arial"/>
          <w:kern w:val="0"/>
          <w:lang w:eastAsia="en-GB"/>
        </w:rPr>
      </w:pPr>
      <w:r>
        <w:rPr>
          <w:rFonts w:ascii="Arial" w:hAnsi="Arial" w:cs="Arial"/>
          <w:kern w:val="0"/>
          <w:lang w:eastAsia="en-GB"/>
        </w:rPr>
        <w:t>2407408</w:t>
      </w:r>
    </w:p>
    <w:p w14:paraId="6414C705" w14:textId="77777777" w:rsidR="002A6A4F" w:rsidRPr="00664B1F" w:rsidRDefault="002A6A4F">
      <w:pPr>
        <w:rPr>
          <w:rFonts w:ascii="Arial" w:hAnsi="Arial" w:cs="Arial"/>
          <w:kern w:val="0"/>
          <w:lang w:eastAsia="en-GB"/>
        </w:rPr>
      </w:pPr>
      <w:r w:rsidRPr="00664B1F">
        <w:rPr>
          <w:rFonts w:ascii="Arial" w:hAnsi="Arial" w:cs="Arial"/>
          <w:kern w:val="0"/>
          <w:lang w:eastAsia="en-GB"/>
        </w:rPr>
        <w:br w:type="page"/>
      </w:r>
    </w:p>
    <w:sdt>
      <w:sdtPr>
        <w:rPr>
          <w:rFonts w:ascii="Arial" w:eastAsiaTheme="minorHAnsi" w:hAnsi="Arial" w:cs="Arial"/>
          <w:color w:val="auto"/>
          <w:kern w:val="2"/>
          <w:sz w:val="24"/>
          <w:szCs w:val="24"/>
          <w:lang w:val="en-GB"/>
          <w14:ligatures w14:val="standardContextual"/>
        </w:rPr>
        <w:id w:val="1896163722"/>
        <w:docPartObj>
          <w:docPartGallery w:val="Table of Contents"/>
          <w:docPartUnique/>
        </w:docPartObj>
      </w:sdtPr>
      <w:sdtEndPr>
        <w:rPr>
          <w:b/>
          <w:bCs/>
          <w:noProof/>
        </w:rPr>
      </w:sdtEndPr>
      <w:sdtContent>
        <w:p w14:paraId="312D85B8" w14:textId="04A7391E" w:rsidR="00930324" w:rsidRDefault="00930324" w:rsidP="00930324">
          <w:pPr>
            <w:pStyle w:val="TOCHeading"/>
            <w:spacing w:line="360" w:lineRule="auto"/>
          </w:pPr>
        </w:p>
        <w:p w14:paraId="3A6FBC09" w14:textId="04B815EB" w:rsidR="002A6A4F" w:rsidRPr="00664B1F" w:rsidRDefault="00000000" w:rsidP="00664B1F">
          <w:pPr>
            <w:spacing w:line="360" w:lineRule="auto"/>
            <w:rPr>
              <w:rFonts w:ascii="Arial" w:hAnsi="Arial" w:cs="Arial"/>
            </w:rPr>
          </w:pPr>
        </w:p>
      </w:sdtContent>
    </w:sdt>
    <w:p w14:paraId="1E8C3D2E" w14:textId="77777777" w:rsidR="002A6A4F" w:rsidRPr="00664B1F" w:rsidRDefault="002A6A4F" w:rsidP="002A6A4F">
      <w:pPr>
        <w:rPr>
          <w:rFonts w:ascii="Arial" w:hAnsi="Arial" w:cs="Arial"/>
          <w:kern w:val="0"/>
          <w:lang w:eastAsia="en-GB"/>
        </w:rPr>
      </w:pPr>
    </w:p>
    <w:p w14:paraId="51BF5011" w14:textId="77777777" w:rsidR="002A6A4F" w:rsidRPr="00664B1F" w:rsidRDefault="002A6A4F" w:rsidP="002A6A4F">
      <w:pPr>
        <w:jc w:val="center"/>
        <w:rPr>
          <w:rFonts w:ascii="Arial" w:hAnsi="Arial" w:cs="Arial"/>
          <w:kern w:val="0"/>
          <w:lang w:eastAsia="en-GB"/>
        </w:rPr>
      </w:pPr>
    </w:p>
    <w:p w14:paraId="4C180EF0" w14:textId="77777777" w:rsidR="00866FAF" w:rsidRPr="00664B1F" w:rsidRDefault="00866FAF" w:rsidP="002A6A4F">
      <w:pPr>
        <w:spacing w:line="360" w:lineRule="auto"/>
        <w:rPr>
          <w:rFonts w:ascii="Arial" w:eastAsia="Times New Roman" w:hAnsi="Arial" w:cs="Arial"/>
          <w:b/>
          <w:bCs/>
          <w:kern w:val="0"/>
          <w:lang w:eastAsia="en-GB"/>
          <w14:ligatures w14:val="none"/>
        </w:rPr>
      </w:pPr>
      <w:r w:rsidRPr="00664B1F">
        <w:rPr>
          <w:rFonts w:ascii="Arial" w:eastAsia="Times New Roman" w:hAnsi="Arial" w:cs="Arial"/>
          <w:b/>
          <w:bCs/>
          <w:kern w:val="0"/>
          <w:lang w:eastAsia="en-GB"/>
          <w14:ligatures w14:val="none"/>
        </w:rPr>
        <w:br w:type="page"/>
      </w:r>
    </w:p>
    <w:p w14:paraId="18A22AD5" w14:textId="25E1376D" w:rsidR="00866FAF" w:rsidRPr="00866FAF" w:rsidRDefault="00866FAF" w:rsidP="002A6A4F">
      <w:pPr>
        <w:spacing w:after="120" w:line="360" w:lineRule="auto"/>
        <w:jc w:val="both"/>
        <w:outlineLvl w:val="2"/>
        <w:rPr>
          <w:rFonts w:ascii="Arial" w:eastAsia="Times New Roman" w:hAnsi="Arial" w:cs="Arial"/>
          <w:b/>
          <w:bCs/>
          <w:kern w:val="0"/>
          <w:lang w:eastAsia="en-GB"/>
          <w14:ligatures w14:val="none"/>
        </w:rPr>
      </w:pPr>
      <w:bookmarkStart w:id="0" w:name="_Toc222187861"/>
      <w:r w:rsidRPr="00866FAF">
        <w:rPr>
          <w:rFonts w:ascii="Arial" w:eastAsia="Times New Roman" w:hAnsi="Arial" w:cs="Arial"/>
          <w:b/>
          <w:bCs/>
          <w:kern w:val="0"/>
          <w:lang w:eastAsia="en-GB"/>
          <w14:ligatures w14:val="none"/>
        </w:rPr>
        <w:lastRenderedPageBreak/>
        <w:t>1.0 Introduction</w:t>
      </w:r>
      <w:bookmarkEnd w:id="0"/>
    </w:p>
    <w:p w14:paraId="4AB4CFE9" w14:textId="433A04C9" w:rsidR="00866FAF" w:rsidRPr="00664B1F" w:rsidRDefault="006C6227"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In the modern context of the UK health and social care, the model of care delivery has developed from a paternalistic and clinician-</w:t>
      </w:r>
      <w:proofErr w:type="spellStart"/>
      <w:r w:rsidRPr="00664B1F">
        <w:rPr>
          <w:rFonts w:ascii="Arial" w:eastAsia="Times New Roman" w:hAnsi="Arial" w:cs="Arial"/>
          <w:kern w:val="0"/>
          <w:lang w:eastAsia="en-GB"/>
          <w14:ligatures w14:val="none"/>
        </w:rPr>
        <w:t>centered</w:t>
      </w:r>
      <w:proofErr w:type="spellEnd"/>
      <w:r w:rsidRPr="00664B1F">
        <w:rPr>
          <w:rFonts w:ascii="Arial" w:eastAsia="Times New Roman" w:hAnsi="Arial" w:cs="Arial"/>
          <w:kern w:val="0"/>
          <w:lang w:eastAsia="en-GB"/>
          <w14:ligatures w14:val="none"/>
        </w:rPr>
        <w:t xml:space="preserve"> approach toward a collaborationist and agency-based approach. The focal points of this change are Person-Centred Care (PCC) and Partnership Working (PW). PCC considers service users as equal participants, and is concerned with their history, context, and preferences rather than only pathology (Health Foundation, 2016). PW entails the sharing of knowledge </w:t>
      </w:r>
      <w:r w:rsidR="002A6A4F" w:rsidRPr="00664B1F">
        <w:rPr>
          <w:rFonts w:ascii="Arial" w:eastAsia="Times New Roman" w:hAnsi="Arial" w:cs="Arial"/>
          <w:kern w:val="0"/>
          <w:lang w:eastAsia="en-GB"/>
          <w14:ligatures w14:val="none"/>
        </w:rPr>
        <w:t xml:space="preserve">amongst </w:t>
      </w:r>
      <w:r w:rsidRPr="00664B1F">
        <w:rPr>
          <w:rFonts w:ascii="Arial" w:eastAsia="Times New Roman" w:hAnsi="Arial" w:cs="Arial"/>
          <w:kern w:val="0"/>
          <w:lang w:eastAsia="en-GB"/>
          <w14:ligatures w14:val="none"/>
        </w:rPr>
        <w:t>professionals and agencies with service users in an attempt to deliver on a collective agenda (</w:t>
      </w:r>
      <w:r w:rsidR="002A6A4F" w:rsidRPr="00664B1F">
        <w:rPr>
          <w:rFonts w:ascii="Arial" w:eastAsia="Times New Roman" w:hAnsi="Arial" w:cs="Arial"/>
          <w:kern w:val="0"/>
          <w:lang w:eastAsia="en-GB"/>
          <w14:ligatures w14:val="none"/>
        </w:rPr>
        <w:t>Willis</w:t>
      </w:r>
      <w:r w:rsidRPr="00664B1F">
        <w:rPr>
          <w:rFonts w:ascii="Arial" w:eastAsia="Times New Roman" w:hAnsi="Arial" w:cs="Arial"/>
          <w:kern w:val="0"/>
          <w:lang w:eastAsia="en-GB"/>
          <w14:ligatures w14:val="none"/>
        </w:rPr>
        <w:t xml:space="preserve">, </w:t>
      </w:r>
      <w:r w:rsidR="002A6A4F" w:rsidRPr="00664B1F">
        <w:rPr>
          <w:rFonts w:ascii="Arial" w:eastAsia="Times New Roman" w:hAnsi="Arial" w:cs="Arial"/>
          <w:kern w:val="0"/>
          <w:lang w:eastAsia="en-GB"/>
          <w14:ligatures w14:val="none"/>
        </w:rPr>
        <w:t>2021</w:t>
      </w:r>
      <w:r w:rsidRPr="00664B1F">
        <w:rPr>
          <w:rFonts w:ascii="Arial" w:eastAsia="Times New Roman" w:hAnsi="Arial" w:cs="Arial"/>
          <w:kern w:val="0"/>
          <w:lang w:eastAsia="en-GB"/>
          <w14:ligatures w14:val="none"/>
        </w:rPr>
        <w:t>). These strategies are gaining strength with increasing ageing and multi-morbidity as they are reinforced by ethical, legislative and practical frameworks in favour of the integrated and holistic care and determination of future domiciliary practice in the UK</w:t>
      </w:r>
      <w:r w:rsidR="00866FAF" w:rsidRPr="00866FAF">
        <w:rPr>
          <w:rFonts w:ascii="Arial" w:eastAsia="Times New Roman" w:hAnsi="Arial" w:cs="Arial"/>
          <w:kern w:val="0"/>
          <w:lang w:eastAsia="en-GB"/>
          <w14:ligatures w14:val="none"/>
        </w:rPr>
        <w:t>.</w:t>
      </w:r>
    </w:p>
    <w:p w14:paraId="1F8627F5"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1598F7F0" w14:textId="77777777" w:rsidR="00866FAF" w:rsidRPr="00866FAF" w:rsidRDefault="00866FAF" w:rsidP="002A6A4F">
      <w:pPr>
        <w:spacing w:after="120" w:line="360" w:lineRule="auto"/>
        <w:jc w:val="both"/>
        <w:outlineLvl w:val="2"/>
        <w:rPr>
          <w:rFonts w:ascii="Arial" w:eastAsia="Times New Roman" w:hAnsi="Arial" w:cs="Arial"/>
          <w:b/>
          <w:bCs/>
          <w:kern w:val="0"/>
          <w:lang w:eastAsia="en-GB"/>
          <w14:ligatures w14:val="none"/>
        </w:rPr>
      </w:pPr>
      <w:bookmarkStart w:id="1" w:name="_Toc222187862"/>
      <w:r w:rsidRPr="00866FAF">
        <w:rPr>
          <w:rFonts w:ascii="Arial" w:eastAsia="Times New Roman" w:hAnsi="Arial" w:cs="Arial"/>
          <w:b/>
          <w:bCs/>
          <w:kern w:val="0"/>
          <w:lang w:eastAsia="en-GB"/>
          <w14:ligatures w14:val="none"/>
        </w:rPr>
        <w:t>2.0 Defining and Evaluating Person-Centred Care (PCC)</w:t>
      </w:r>
      <w:bookmarkEnd w:id="1"/>
    </w:p>
    <w:p w14:paraId="286C77F3" w14:textId="77190989" w:rsidR="00866FAF" w:rsidRPr="00664B1F" w:rsidRDefault="006C6227"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According to the Health Foundation (2016), PCC has four major principles, including affording people with dignity, compassion, and respect; providing coordinated care; providing individual</w:t>
      </w:r>
      <w:r w:rsidR="002A6A4F" w:rsidRPr="00664B1F">
        <w:rPr>
          <w:rFonts w:ascii="Arial" w:eastAsia="Times New Roman" w:hAnsi="Arial" w:cs="Arial"/>
          <w:kern w:val="0"/>
          <w:lang w:eastAsia="en-GB"/>
          <w14:ligatures w14:val="none"/>
        </w:rPr>
        <w:t>ise</w:t>
      </w:r>
      <w:r w:rsidRPr="00664B1F">
        <w:rPr>
          <w:rFonts w:ascii="Arial" w:eastAsia="Times New Roman" w:hAnsi="Arial" w:cs="Arial"/>
          <w:kern w:val="0"/>
          <w:lang w:eastAsia="en-GB"/>
          <w14:ligatures w14:val="none"/>
        </w:rPr>
        <w:t>d care, and helping people to identify and build on their personal strengths. PCC helps in human</w:t>
      </w:r>
      <w:r w:rsidR="002A6A4F" w:rsidRPr="00664B1F">
        <w:rPr>
          <w:rFonts w:ascii="Arial" w:eastAsia="Times New Roman" w:hAnsi="Arial" w:cs="Arial"/>
          <w:kern w:val="0"/>
          <w:lang w:eastAsia="en-GB"/>
          <w14:ligatures w14:val="none"/>
        </w:rPr>
        <w:t>isa</w:t>
      </w:r>
      <w:r w:rsidRPr="00664B1F">
        <w:rPr>
          <w:rFonts w:ascii="Arial" w:eastAsia="Times New Roman" w:hAnsi="Arial" w:cs="Arial"/>
          <w:kern w:val="0"/>
          <w:lang w:eastAsia="en-GB"/>
          <w14:ligatures w14:val="none"/>
        </w:rPr>
        <w:t>tion of so called cold or institutional services by redistributing the power away to the practitioner who has traditionally been viewed as the expert and places it on the service user who is the expert by experience</w:t>
      </w:r>
      <w:r w:rsidR="00866FAF" w:rsidRPr="00866FAF">
        <w:rPr>
          <w:rFonts w:ascii="Arial" w:eastAsia="Times New Roman" w:hAnsi="Arial" w:cs="Arial"/>
          <w:kern w:val="0"/>
          <w:lang w:eastAsia="en-GB"/>
          <w14:ligatures w14:val="none"/>
        </w:rPr>
        <w:t>.</w:t>
      </w:r>
    </w:p>
    <w:p w14:paraId="074EC31F" w14:textId="77777777" w:rsidR="00604D3B" w:rsidRPr="00664B1F" w:rsidRDefault="00604D3B" w:rsidP="00604D3B">
      <w:pPr>
        <w:keepNext/>
        <w:spacing w:after="240" w:line="360" w:lineRule="auto"/>
        <w:jc w:val="center"/>
        <w:rPr>
          <w:rFonts w:ascii="Arial" w:hAnsi="Arial" w:cs="Arial"/>
        </w:rPr>
      </w:pPr>
      <w:r w:rsidRPr="00664B1F">
        <w:rPr>
          <w:rFonts w:ascii="Arial" w:hAnsi="Arial" w:cs="Arial"/>
          <w:noProof/>
        </w:rPr>
        <w:lastRenderedPageBreak/>
        <w:drawing>
          <wp:inline distT="0" distB="0" distL="0" distR="0" wp14:anchorId="5BAE1B2F" wp14:editId="1E46DEE9">
            <wp:extent cx="5731510" cy="3918857"/>
            <wp:effectExtent l="0" t="0" r="2540" b="5715"/>
            <wp:docPr id="610919574" name="Picture 1" descr="A Closer Look at Patient-Centric Care — Jake Jorgov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Closer Look at Patient-Centric Care — Jake Jorgovan"/>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9003"/>
                    <a:stretch>
                      <a:fillRect/>
                    </a:stretch>
                  </pic:blipFill>
                  <pic:spPr bwMode="auto">
                    <a:xfrm>
                      <a:off x="0" y="0"/>
                      <a:ext cx="5731510" cy="3918857"/>
                    </a:xfrm>
                    <a:prstGeom prst="rect">
                      <a:avLst/>
                    </a:prstGeom>
                    <a:noFill/>
                    <a:ln>
                      <a:noFill/>
                    </a:ln>
                    <a:extLst>
                      <a:ext uri="{53640926-AAD7-44D8-BBD7-CCE9431645EC}">
                        <a14:shadowObscured xmlns:a14="http://schemas.microsoft.com/office/drawing/2010/main"/>
                      </a:ext>
                    </a:extLst>
                  </pic:spPr>
                </pic:pic>
              </a:graphicData>
            </a:graphic>
          </wp:inline>
        </w:drawing>
      </w:r>
    </w:p>
    <w:p w14:paraId="0419D771" w14:textId="0AA0EDD5" w:rsidR="006C6227" w:rsidRPr="00664B1F" w:rsidRDefault="00604D3B" w:rsidP="00604D3B">
      <w:pPr>
        <w:pStyle w:val="Caption"/>
        <w:jc w:val="center"/>
        <w:rPr>
          <w:rFonts w:ascii="Arial" w:eastAsia="Times New Roman" w:hAnsi="Arial" w:cs="Arial"/>
          <w:color w:val="auto"/>
          <w:kern w:val="0"/>
          <w:sz w:val="24"/>
          <w:szCs w:val="24"/>
          <w:lang w:eastAsia="en-GB"/>
          <w14:ligatures w14:val="none"/>
        </w:rPr>
      </w:pPr>
      <w:r w:rsidRPr="00664B1F">
        <w:rPr>
          <w:rFonts w:ascii="Arial" w:hAnsi="Arial" w:cs="Arial"/>
          <w:color w:val="auto"/>
          <w:sz w:val="24"/>
          <w:szCs w:val="24"/>
        </w:rPr>
        <w:t xml:space="preserve">Figure </w:t>
      </w:r>
      <w:r w:rsidRPr="00664B1F">
        <w:rPr>
          <w:rFonts w:ascii="Arial" w:hAnsi="Arial" w:cs="Arial"/>
          <w:color w:val="auto"/>
          <w:sz w:val="24"/>
          <w:szCs w:val="24"/>
        </w:rPr>
        <w:fldChar w:fldCharType="begin"/>
      </w:r>
      <w:r w:rsidRPr="00664B1F">
        <w:rPr>
          <w:rFonts w:ascii="Arial" w:hAnsi="Arial" w:cs="Arial"/>
          <w:color w:val="auto"/>
          <w:sz w:val="24"/>
          <w:szCs w:val="24"/>
        </w:rPr>
        <w:instrText xml:space="preserve"> SEQ Figure \* ARABIC </w:instrText>
      </w:r>
      <w:r w:rsidRPr="00664B1F">
        <w:rPr>
          <w:rFonts w:ascii="Arial" w:hAnsi="Arial" w:cs="Arial"/>
          <w:color w:val="auto"/>
          <w:sz w:val="24"/>
          <w:szCs w:val="24"/>
        </w:rPr>
        <w:fldChar w:fldCharType="separate"/>
      </w:r>
      <w:r w:rsidRPr="00664B1F">
        <w:rPr>
          <w:rFonts w:ascii="Arial" w:hAnsi="Arial" w:cs="Arial"/>
          <w:noProof/>
          <w:color w:val="auto"/>
          <w:sz w:val="24"/>
          <w:szCs w:val="24"/>
        </w:rPr>
        <w:t>1</w:t>
      </w:r>
      <w:r w:rsidRPr="00664B1F">
        <w:rPr>
          <w:rFonts w:ascii="Arial" w:hAnsi="Arial" w:cs="Arial"/>
          <w:color w:val="auto"/>
          <w:sz w:val="24"/>
          <w:szCs w:val="24"/>
        </w:rPr>
        <w:fldChar w:fldCharType="end"/>
      </w:r>
      <w:r w:rsidRPr="00664B1F">
        <w:rPr>
          <w:rFonts w:ascii="Arial" w:hAnsi="Arial" w:cs="Arial"/>
          <w:color w:val="auto"/>
          <w:sz w:val="24"/>
          <w:szCs w:val="24"/>
        </w:rPr>
        <w:t>: PCC</w:t>
      </w:r>
    </w:p>
    <w:p w14:paraId="01B6B550"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64425CDF"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t>2.1 The Main Benefits of PCC Practice</w:t>
      </w:r>
    </w:p>
    <w:p w14:paraId="00FDE12E" w14:textId="77777777" w:rsidR="006C6227" w:rsidRPr="00664B1F" w:rsidRDefault="006C6227"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The first advantage of PCC is that service user autonomy and dignity is greatly increased. However, when people take part in the co-designing of their care plans, the interventions produced will tend to be in line with the lifestyle and cultural values of the particular individuals. This results in increased patient satisfaction and increased compliance to treatment options because the patient has the feeling of owning his or her health outcomes (Eaton et al., 2015).</w:t>
      </w:r>
    </w:p>
    <w:p w14:paraId="37927965" w14:textId="2272C3C4" w:rsidR="00866FAF" w:rsidRPr="00664B1F" w:rsidRDefault="006C6227"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Moreover, regarding the systemic point of view, PCC has been demonstrated to decrease hospital unnecessary admissions. PCC results from changes in social determinants of health, which in turn can be accomplished by the use of personal</w:t>
      </w:r>
      <w:r w:rsidR="002A6A4F" w:rsidRPr="00664B1F">
        <w:rPr>
          <w:rFonts w:ascii="Arial" w:eastAsia="Times New Roman" w:hAnsi="Arial" w:cs="Arial"/>
          <w:kern w:val="0"/>
          <w:lang w:eastAsia="en-GB"/>
          <w14:ligatures w14:val="none"/>
        </w:rPr>
        <w:t>ise</w:t>
      </w:r>
      <w:r w:rsidRPr="00664B1F">
        <w:rPr>
          <w:rFonts w:ascii="Arial" w:eastAsia="Times New Roman" w:hAnsi="Arial" w:cs="Arial"/>
          <w:kern w:val="0"/>
          <w:lang w:eastAsia="en-GB"/>
          <w14:ligatures w14:val="none"/>
        </w:rPr>
        <w:t>d strategies, including linking an isolated older adult to the community, instead of merely prescribing him/her anti-depressants, to ensure long-term resilience and decrease the load of the acute NHS services</w:t>
      </w:r>
      <w:r w:rsidR="00866FAF" w:rsidRPr="00866FAF">
        <w:rPr>
          <w:rFonts w:ascii="Arial" w:eastAsia="Times New Roman" w:hAnsi="Arial" w:cs="Arial"/>
          <w:kern w:val="0"/>
          <w:lang w:eastAsia="en-GB"/>
          <w14:ligatures w14:val="none"/>
        </w:rPr>
        <w:t>.</w:t>
      </w:r>
    </w:p>
    <w:p w14:paraId="61A82B53"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0947FA87"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lastRenderedPageBreak/>
        <w:t>2.2 Limitations and Challenges of PCC</w:t>
      </w:r>
    </w:p>
    <w:p w14:paraId="30DE42C9" w14:textId="77777777" w:rsidR="006C6227" w:rsidRPr="00664B1F" w:rsidRDefault="006C6227"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PCC is limited by a lot of practical constraints in spite of its ideological allure. One of the most significant obstacles is the so-called institutional culture that is widespread in most healthcare facilities. According to McCormack and McCance (2017), low staffing and limited time usually force practitioners to resort to task-oriented care by filling out physical checklists instead of spending time on a warm person-centre conversation.</w:t>
      </w:r>
    </w:p>
    <w:p w14:paraId="4A1C3B89" w14:textId="10FB0BA6" w:rsidR="00866FAF" w:rsidRPr="00664B1F" w:rsidRDefault="006C6227"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There is a major ethical constriction of the conflict between the aspects of choice and safety. A professional can find the action taken by a service user as unsafe. The principles of PCC may in such cases have conflicting legal and moral issues with the duties of care and protection of the practitioner, resulting in complicated legal and ethical problems. Moreover, the luxury of time that would allow an individual to conduct a thorough person-centred consultation is not always present in such a circumstance as emergency medicine which points to the fact that sometimes PCC becomes tricky to practice in crisis-widened settings</w:t>
      </w:r>
      <w:r w:rsidR="00866FAF" w:rsidRPr="00866FAF">
        <w:rPr>
          <w:rFonts w:ascii="Arial" w:eastAsia="Times New Roman" w:hAnsi="Arial" w:cs="Arial"/>
          <w:kern w:val="0"/>
          <w:lang w:eastAsia="en-GB"/>
          <w14:ligatures w14:val="none"/>
        </w:rPr>
        <w:t>.</w:t>
      </w:r>
    </w:p>
    <w:p w14:paraId="6C7989B1" w14:textId="77777777" w:rsidR="006C6227" w:rsidRPr="00866FAF" w:rsidRDefault="006C6227" w:rsidP="002A6A4F">
      <w:pPr>
        <w:spacing w:after="240" w:line="360" w:lineRule="auto"/>
        <w:jc w:val="both"/>
        <w:rPr>
          <w:rFonts w:ascii="Arial" w:eastAsia="Times New Roman" w:hAnsi="Arial" w:cs="Arial"/>
          <w:kern w:val="0"/>
          <w:lang w:eastAsia="en-GB"/>
          <w14:ligatures w14:val="none"/>
        </w:rPr>
      </w:pPr>
    </w:p>
    <w:p w14:paraId="3824CB97" w14:textId="77777777" w:rsidR="00866FAF" w:rsidRPr="00866FAF" w:rsidRDefault="00866FAF" w:rsidP="002A6A4F">
      <w:pPr>
        <w:spacing w:after="120" w:line="360" w:lineRule="auto"/>
        <w:jc w:val="both"/>
        <w:outlineLvl w:val="2"/>
        <w:rPr>
          <w:rFonts w:ascii="Arial" w:eastAsia="Times New Roman" w:hAnsi="Arial" w:cs="Arial"/>
          <w:b/>
          <w:bCs/>
          <w:kern w:val="0"/>
          <w:lang w:eastAsia="en-GB"/>
          <w14:ligatures w14:val="none"/>
        </w:rPr>
      </w:pPr>
      <w:bookmarkStart w:id="2" w:name="_Toc222187863"/>
      <w:r w:rsidRPr="00866FAF">
        <w:rPr>
          <w:rFonts w:ascii="Arial" w:eastAsia="Times New Roman" w:hAnsi="Arial" w:cs="Arial"/>
          <w:b/>
          <w:bCs/>
          <w:kern w:val="0"/>
          <w:lang w:eastAsia="en-GB"/>
          <w14:ligatures w14:val="none"/>
        </w:rPr>
        <w:t xml:space="preserve">3.0 Critical Examination of Theory: </w:t>
      </w:r>
      <w:proofErr w:type="spellStart"/>
      <w:r w:rsidRPr="00866FAF">
        <w:rPr>
          <w:rFonts w:ascii="Arial" w:eastAsia="Times New Roman" w:hAnsi="Arial" w:cs="Arial"/>
          <w:b/>
          <w:bCs/>
          <w:kern w:val="0"/>
          <w:lang w:eastAsia="en-GB"/>
          <w14:ligatures w14:val="none"/>
        </w:rPr>
        <w:t>Kitwood’s</w:t>
      </w:r>
      <w:proofErr w:type="spellEnd"/>
      <w:r w:rsidRPr="00866FAF">
        <w:rPr>
          <w:rFonts w:ascii="Arial" w:eastAsia="Times New Roman" w:hAnsi="Arial" w:cs="Arial"/>
          <w:b/>
          <w:bCs/>
          <w:kern w:val="0"/>
          <w:lang w:eastAsia="en-GB"/>
          <w14:ligatures w14:val="none"/>
        </w:rPr>
        <w:t xml:space="preserve"> Enriched Model</w:t>
      </w:r>
      <w:bookmarkEnd w:id="2"/>
    </w:p>
    <w:p w14:paraId="76A32B01" w14:textId="190385C1" w:rsidR="00866FAF" w:rsidRPr="00664B1F" w:rsidRDefault="00A950D6"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In order to learn the foundations of PCC, one has to study the theories that critic</w:t>
      </w:r>
      <w:r w:rsidR="002A6A4F" w:rsidRPr="00664B1F">
        <w:rPr>
          <w:rFonts w:ascii="Arial" w:eastAsia="Times New Roman" w:hAnsi="Arial" w:cs="Arial"/>
          <w:kern w:val="0"/>
          <w:lang w:eastAsia="en-GB"/>
          <w14:ligatures w14:val="none"/>
        </w:rPr>
        <w:t>ise</w:t>
      </w:r>
      <w:r w:rsidRPr="00664B1F">
        <w:rPr>
          <w:rFonts w:ascii="Arial" w:eastAsia="Times New Roman" w:hAnsi="Arial" w:cs="Arial"/>
          <w:kern w:val="0"/>
          <w:lang w:eastAsia="en-GB"/>
          <w14:ligatures w14:val="none"/>
        </w:rPr>
        <w:t xml:space="preserve"> the traditional view on medicine. One of the theories that premise the PCC is the Enriched Model of Care by Tom Kitwood. </w:t>
      </w:r>
      <w:proofErr w:type="spellStart"/>
      <w:r w:rsidRPr="00664B1F">
        <w:rPr>
          <w:rFonts w:ascii="Arial" w:eastAsia="Times New Roman" w:hAnsi="Arial" w:cs="Arial"/>
          <w:kern w:val="0"/>
          <w:lang w:eastAsia="en-GB"/>
          <w14:ligatures w14:val="none"/>
        </w:rPr>
        <w:t>Kitwood</w:t>
      </w:r>
      <w:proofErr w:type="spellEnd"/>
      <w:r w:rsidRPr="00664B1F">
        <w:rPr>
          <w:rFonts w:ascii="Arial" w:eastAsia="Times New Roman" w:hAnsi="Arial" w:cs="Arial"/>
          <w:kern w:val="0"/>
          <w:lang w:eastAsia="en-GB"/>
          <w14:ligatures w14:val="none"/>
        </w:rPr>
        <w:t xml:space="preserve"> (1997) was an early social psychologist who has critic</w:t>
      </w:r>
      <w:r w:rsidR="002A6A4F" w:rsidRPr="00664B1F">
        <w:rPr>
          <w:rFonts w:ascii="Arial" w:eastAsia="Times New Roman" w:hAnsi="Arial" w:cs="Arial"/>
          <w:kern w:val="0"/>
          <w:lang w:eastAsia="en-GB"/>
          <w14:ligatures w14:val="none"/>
        </w:rPr>
        <w:t>ise</w:t>
      </w:r>
      <w:r w:rsidRPr="00664B1F">
        <w:rPr>
          <w:rFonts w:ascii="Arial" w:eastAsia="Times New Roman" w:hAnsi="Arial" w:cs="Arial"/>
          <w:kern w:val="0"/>
          <w:lang w:eastAsia="en-GB"/>
          <w14:ligatures w14:val="none"/>
        </w:rPr>
        <w:t>d the biomedical model, regarding the state of disease such as dementia as a pathological disruption of the brain as purely biological</w:t>
      </w:r>
      <w:r w:rsidR="00866FAF" w:rsidRPr="00866FAF">
        <w:rPr>
          <w:rFonts w:ascii="Arial" w:eastAsia="Times New Roman" w:hAnsi="Arial" w:cs="Arial"/>
          <w:kern w:val="0"/>
          <w:lang w:eastAsia="en-GB"/>
          <w14:ligatures w14:val="none"/>
        </w:rPr>
        <w:t>.</w:t>
      </w:r>
    </w:p>
    <w:p w14:paraId="1E982506" w14:textId="77777777" w:rsidR="00604D3B" w:rsidRPr="00664B1F" w:rsidRDefault="00604D3B" w:rsidP="00604D3B">
      <w:pPr>
        <w:keepNext/>
        <w:spacing w:after="240" w:line="360" w:lineRule="auto"/>
        <w:jc w:val="center"/>
        <w:rPr>
          <w:rFonts w:ascii="Arial" w:hAnsi="Arial" w:cs="Arial"/>
        </w:rPr>
      </w:pPr>
      <w:r w:rsidRPr="00664B1F">
        <w:rPr>
          <w:rFonts w:ascii="Arial" w:eastAsia="Times New Roman" w:hAnsi="Arial" w:cs="Arial"/>
          <w:noProof/>
          <w:kern w:val="0"/>
          <w:lang w:eastAsia="en-GB"/>
          <w14:ligatures w14:val="none"/>
        </w:rPr>
        <w:lastRenderedPageBreak/>
        <w:drawing>
          <wp:inline distT="0" distB="0" distL="0" distR="0" wp14:anchorId="03E8ED26" wp14:editId="19DE8EB1">
            <wp:extent cx="4238625" cy="3476625"/>
            <wp:effectExtent l="0" t="0" r="9525" b="9525"/>
            <wp:docPr id="555962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62884" name=""/>
                    <pic:cNvPicPr/>
                  </pic:nvPicPr>
                  <pic:blipFill>
                    <a:blip r:embed="rId12"/>
                    <a:stretch>
                      <a:fillRect/>
                    </a:stretch>
                  </pic:blipFill>
                  <pic:spPr>
                    <a:xfrm>
                      <a:off x="0" y="0"/>
                      <a:ext cx="4238625" cy="3476625"/>
                    </a:xfrm>
                    <a:prstGeom prst="rect">
                      <a:avLst/>
                    </a:prstGeom>
                  </pic:spPr>
                </pic:pic>
              </a:graphicData>
            </a:graphic>
          </wp:inline>
        </w:drawing>
      </w:r>
    </w:p>
    <w:p w14:paraId="5A983EF6" w14:textId="13C76C81" w:rsidR="00604D3B" w:rsidRPr="00664B1F" w:rsidRDefault="00604D3B" w:rsidP="00604D3B">
      <w:pPr>
        <w:pStyle w:val="Caption"/>
        <w:jc w:val="center"/>
        <w:rPr>
          <w:rFonts w:ascii="Arial" w:eastAsia="Times New Roman" w:hAnsi="Arial" w:cs="Arial"/>
          <w:color w:val="auto"/>
          <w:kern w:val="0"/>
          <w:sz w:val="24"/>
          <w:szCs w:val="24"/>
          <w:lang w:eastAsia="en-GB"/>
          <w14:ligatures w14:val="none"/>
        </w:rPr>
      </w:pPr>
      <w:r w:rsidRPr="00664B1F">
        <w:rPr>
          <w:rFonts w:ascii="Arial" w:hAnsi="Arial" w:cs="Arial"/>
          <w:color w:val="auto"/>
          <w:sz w:val="24"/>
          <w:szCs w:val="24"/>
        </w:rPr>
        <w:t xml:space="preserve">Figure </w:t>
      </w:r>
      <w:r w:rsidRPr="00664B1F">
        <w:rPr>
          <w:rFonts w:ascii="Arial" w:hAnsi="Arial" w:cs="Arial"/>
          <w:color w:val="auto"/>
          <w:sz w:val="24"/>
          <w:szCs w:val="24"/>
        </w:rPr>
        <w:fldChar w:fldCharType="begin"/>
      </w:r>
      <w:r w:rsidRPr="00664B1F">
        <w:rPr>
          <w:rFonts w:ascii="Arial" w:hAnsi="Arial" w:cs="Arial"/>
          <w:color w:val="auto"/>
          <w:sz w:val="24"/>
          <w:szCs w:val="24"/>
        </w:rPr>
        <w:instrText xml:space="preserve"> SEQ Figure \* ARABIC </w:instrText>
      </w:r>
      <w:r w:rsidRPr="00664B1F">
        <w:rPr>
          <w:rFonts w:ascii="Arial" w:hAnsi="Arial" w:cs="Arial"/>
          <w:color w:val="auto"/>
          <w:sz w:val="24"/>
          <w:szCs w:val="24"/>
        </w:rPr>
        <w:fldChar w:fldCharType="separate"/>
      </w:r>
      <w:r w:rsidRPr="00664B1F">
        <w:rPr>
          <w:rFonts w:ascii="Arial" w:hAnsi="Arial" w:cs="Arial"/>
          <w:noProof/>
          <w:color w:val="auto"/>
          <w:sz w:val="24"/>
          <w:szCs w:val="24"/>
        </w:rPr>
        <w:t>2</w:t>
      </w:r>
      <w:r w:rsidRPr="00664B1F">
        <w:rPr>
          <w:rFonts w:ascii="Arial" w:hAnsi="Arial" w:cs="Arial"/>
          <w:color w:val="auto"/>
          <w:sz w:val="24"/>
          <w:szCs w:val="24"/>
        </w:rPr>
        <w:fldChar w:fldCharType="end"/>
      </w:r>
      <w:r w:rsidRPr="00664B1F">
        <w:rPr>
          <w:rFonts w:ascii="Arial" w:hAnsi="Arial" w:cs="Arial"/>
          <w:color w:val="auto"/>
          <w:sz w:val="24"/>
          <w:szCs w:val="24"/>
        </w:rPr>
        <w:t xml:space="preserve">: </w:t>
      </w:r>
      <w:proofErr w:type="spellStart"/>
      <w:r w:rsidRPr="00664B1F">
        <w:rPr>
          <w:rFonts w:ascii="Arial" w:hAnsi="Arial" w:cs="Arial"/>
          <w:color w:val="auto"/>
          <w:sz w:val="24"/>
          <w:szCs w:val="24"/>
        </w:rPr>
        <w:t>Kitwood’s</w:t>
      </w:r>
      <w:proofErr w:type="spellEnd"/>
      <w:r w:rsidRPr="00664B1F">
        <w:rPr>
          <w:rFonts w:ascii="Arial" w:hAnsi="Arial" w:cs="Arial"/>
          <w:color w:val="auto"/>
          <w:sz w:val="24"/>
          <w:szCs w:val="24"/>
        </w:rPr>
        <w:t xml:space="preserve"> Enriched Model</w:t>
      </w:r>
    </w:p>
    <w:p w14:paraId="1690E7D7" w14:textId="77777777" w:rsidR="00A950D6" w:rsidRPr="00866FAF" w:rsidRDefault="00A950D6" w:rsidP="002A6A4F">
      <w:pPr>
        <w:spacing w:after="240" w:line="360" w:lineRule="auto"/>
        <w:ind w:firstLine="720"/>
        <w:jc w:val="both"/>
        <w:rPr>
          <w:rFonts w:ascii="Arial" w:eastAsia="Times New Roman" w:hAnsi="Arial" w:cs="Arial"/>
          <w:kern w:val="0"/>
          <w:lang w:eastAsia="en-GB"/>
          <w14:ligatures w14:val="none"/>
        </w:rPr>
      </w:pPr>
    </w:p>
    <w:p w14:paraId="6CB5CCAE"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t>3.1 The Social Psychology of Personhood</w:t>
      </w:r>
    </w:p>
    <w:p w14:paraId="6F2B9B56" w14:textId="36AC7D8A" w:rsidR="00A950D6" w:rsidRPr="00664B1F" w:rsidRDefault="00A950D6" w:rsidP="002A6A4F">
      <w:pPr>
        <w:spacing w:before="100" w:beforeAutospacing="1" w:after="100" w:afterAutospacing="1" w:line="360" w:lineRule="auto"/>
        <w:ind w:firstLine="720"/>
        <w:jc w:val="both"/>
        <w:rPr>
          <w:rFonts w:ascii="Arial" w:eastAsia="Times New Roman" w:hAnsi="Arial" w:cs="Arial"/>
          <w:kern w:val="0"/>
          <w:lang w:eastAsia="en-GB"/>
          <w14:ligatures w14:val="none"/>
        </w:rPr>
      </w:pPr>
      <w:proofErr w:type="spellStart"/>
      <w:r w:rsidRPr="00664B1F">
        <w:rPr>
          <w:rFonts w:ascii="Arial" w:eastAsia="Times New Roman" w:hAnsi="Arial" w:cs="Arial"/>
          <w:kern w:val="0"/>
          <w:lang w:eastAsia="en-GB"/>
          <w14:ligatures w14:val="none"/>
        </w:rPr>
        <w:t>Kitwood</w:t>
      </w:r>
      <w:proofErr w:type="spellEnd"/>
      <w:r w:rsidRPr="00664B1F">
        <w:rPr>
          <w:rFonts w:ascii="Arial" w:eastAsia="Times New Roman" w:hAnsi="Arial" w:cs="Arial"/>
          <w:kern w:val="0"/>
          <w:lang w:eastAsia="en-GB"/>
          <w14:ligatures w14:val="none"/>
        </w:rPr>
        <w:t xml:space="preserve"> suggested that Personhood is not an internal property but a condition given to individual human being by others. He claimed that a great deal of the negative </w:t>
      </w:r>
      <w:proofErr w:type="spellStart"/>
      <w:r w:rsidRPr="00664B1F">
        <w:rPr>
          <w:rFonts w:ascii="Arial" w:eastAsia="Times New Roman" w:hAnsi="Arial" w:cs="Arial"/>
          <w:kern w:val="0"/>
          <w:lang w:eastAsia="en-GB"/>
          <w14:ligatures w14:val="none"/>
        </w:rPr>
        <w:t>behaviors</w:t>
      </w:r>
      <w:proofErr w:type="spellEnd"/>
      <w:r w:rsidRPr="00664B1F">
        <w:rPr>
          <w:rFonts w:ascii="Arial" w:eastAsia="Times New Roman" w:hAnsi="Arial" w:cs="Arial"/>
          <w:kern w:val="0"/>
          <w:lang w:eastAsia="en-GB"/>
          <w14:ligatures w14:val="none"/>
        </w:rPr>
        <w:t xml:space="preserve"> connected with dementia (aggression, withdrawal) was not merely effects of the illness, but were responses to malignant social psychology the depersonal</w:t>
      </w:r>
      <w:r w:rsidR="002A6A4F" w:rsidRPr="00664B1F">
        <w:rPr>
          <w:rFonts w:ascii="Arial" w:eastAsia="Times New Roman" w:hAnsi="Arial" w:cs="Arial"/>
          <w:kern w:val="0"/>
          <w:lang w:eastAsia="en-GB"/>
          <w14:ligatures w14:val="none"/>
        </w:rPr>
        <w:t>isa</w:t>
      </w:r>
      <w:r w:rsidRPr="00664B1F">
        <w:rPr>
          <w:rFonts w:ascii="Arial" w:eastAsia="Times New Roman" w:hAnsi="Arial" w:cs="Arial"/>
          <w:kern w:val="0"/>
          <w:lang w:eastAsia="en-GB"/>
          <w14:ligatures w14:val="none"/>
        </w:rPr>
        <w:t>tion or the ignoring of the individual by others.</w:t>
      </w:r>
    </w:p>
    <w:p w14:paraId="1EB6BFBF" w14:textId="66E69EFF" w:rsidR="00866FAF" w:rsidRPr="00866FAF" w:rsidRDefault="00A950D6" w:rsidP="002A6A4F">
      <w:pPr>
        <w:spacing w:before="100" w:beforeAutospacing="1" w:after="100" w:afterAutospacing="1" w:line="360" w:lineRule="auto"/>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He expresses his model in the following formula</w:t>
      </w:r>
      <w:r w:rsidR="00866FAF" w:rsidRPr="00866FAF">
        <w:rPr>
          <w:rFonts w:ascii="Arial" w:eastAsia="Times New Roman" w:hAnsi="Arial" w:cs="Arial"/>
          <w:kern w:val="0"/>
          <w:lang w:eastAsia="en-GB"/>
          <w14:ligatures w14:val="none"/>
        </w:rPr>
        <w:t>:</w:t>
      </w:r>
    </w:p>
    <w:p w14:paraId="63E6BD34" w14:textId="77777777" w:rsidR="00866FAF" w:rsidRPr="00866FAF" w:rsidRDefault="00866FAF" w:rsidP="002A6A4F">
      <w:pPr>
        <w:spacing w:after="0" w:line="360" w:lineRule="auto"/>
        <w:rPr>
          <w:rFonts w:ascii="Arial" w:eastAsia="Times New Roman" w:hAnsi="Arial" w:cs="Arial"/>
          <w:kern w:val="0"/>
          <w:lang w:eastAsia="en-GB"/>
          <w14:ligatures w14:val="none"/>
        </w:rPr>
      </w:pPr>
      <m:oMathPara>
        <m:oMath>
          <m:r>
            <w:rPr>
              <w:rFonts w:ascii="Cambria Math" w:eastAsia="Times New Roman" w:hAnsi="Cambria Math" w:cs="Arial"/>
              <w:kern w:val="0"/>
              <w:lang w:eastAsia="en-GB"/>
              <w14:ligatures w14:val="none"/>
            </w:rPr>
            <m:t>D=P+B+H+NI+SP</m:t>
          </m:r>
        </m:oMath>
      </m:oMathPara>
    </w:p>
    <w:p w14:paraId="25F56449" w14:textId="77777777" w:rsidR="00866FAF" w:rsidRPr="00866FAF" w:rsidRDefault="00866FAF" w:rsidP="002A6A4F">
      <w:pPr>
        <w:spacing w:before="100" w:beforeAutospacing="1" w:after="100" w:afterAutospacing="1" w:line="360" w:lineRule="auto"/>
        <w:rPr>
          <w:rFonts w:ascii="Arial" w:eastAsia="Times New Roman" w:hAnsi="Arial" w:cs="Arial"/>
          <w:kern w:val="0"/>
          <w:lang w:eastAsia="en-GB"/>
          <w14:ligatures w14:val="none"/>
        </w:rPr>
      </w:pPr>
      <w:r w:rsidRPr="00866FAF">
        <w:rPr>
          <w:rFonts w:ascii="Arial" w:eastAsia="Times New Roman" w:hAnsi="Arial" w:cs="Arial"/>
          <w:kern w:val="0"/>
          <w:lang w:eastAsia="en-GB"/>
          <w14:ligatures w14:val="none"/>
        </w:rPr>
        <w:t xml:space="preserve">Here, </w:t>
      </w:r>
      <m:oMath>
        <m:r>
          <w:rPr>
            <w:rFonts w:ascii="Cambria Math" w:eastAsia="Times New Roman" w:hAnsi="Cambria Math" w:cs="Arial"/>
            <w:kern w:val="0"/>
            <w:lang w:eastAsia="en-GB"/>
            <w14:ligatures w14:val="none"/>
          </w:rPr>
          <m:t>D</m:t>
        </m:r>
      </m:oMath>
      <w:r w:rsidRPr="00866FAF">
        <w:rPr>
          <w:rFonts w:ascii="Arial" w:eastAsia="Times New Roman" w:hAnsi="Arial" w:cs="Arial"/>
          <w:kern w:val="0"/>
          <w:lang w:eastAsia="en-GB"/>
          <w14:ligatures w14:val="none"/>
        </w:rPr>
        <w:t>represents the overall experience of dementia, which is influenced by the following factors:</w:t>
      </w:r>
    </w:p>
    <w:p w14:paraId="521509AD" w14:textId="77777777" w:rsidR="00866FAF" w:rsidRPr="00866FAF" w:rsidRDefault="00866FAF" w:rsidP="002A6A4F">
      <w:pPr>
        <w:numPr>
          <w:ilvl w:val="0"/>
          <w:numId w:val="13"/>
        </w:numPr>
        <w:spacing w:before="100" w:beforeAutospacing="1" w:after="100" w:afterAutospacing="1" w:line="360" w:lineRule="auto"/>
        <w:rPr>
          <w:rFonts w:ascii="Arial" w:eastAsia="Times New Roman" w:hAnsi="Arial" w:cs="Arial"/>
          <w:kern w:val="0"/>
          <w:lang w:eastAsia="en-GB"/>
          <w14:ligatures w14:val="none"/>
        </w:rPr>
      </w:pPr>
      <m:oMath>
        <m:r>
          <w:rPr>
            <w:rFonts w:ascii="Cambria Math" w:eastAsia="Times New Roman" w:hAnsi="Cambria Math" w:cs="Arial"/>
            <w:kern w:val="0"/>
            <w:lang w:eastAsia="en-GB"/>
            <w14:ligatures w14:val="none"/>
          </w:rPr>
          <m:t>P</m:t>
        </m:r>
      </m:oMath>
      <w:r w:rsidRPr="00866FAF">
        <w:rPr>
          <w:rFonts w:ascii="Arial" w:eastAsia="Times New Roman" w:hAnsi="Arial" w:cs="Arial"/>
          <w:b/>
          <w:bCs/>
          <w:kern w:val="0"/>
          <w:lang w:eastAsia="en-GB"/>
          <w14:ligatures w14:val="none"/>
        </w:rPr>
        <w:t>: Personality</w:t>
      </w:r>
      <w:r w:rsidRPr="00866FAF">
        <w:rPr>
          <w:rFonts w:ascii="Arial" w:eastAsia="Times New Roman" w:hAnsi="Arial" w:cs="Arial"/>
          <w:kern w:val="0"/>
          <w:lang w:eastAsia="en-GB"/>
          <w14:ligatures w14:val="none"/>
        </w:rPr>
        <w:t xml:space="preserve"> – life</w:t>
      </w:r>
      <w:r w:rsidRPr="00866FAF">
        <w:rPr>
          <w:rFonts w:ascii="Arial" w:eastAsia="Times New Roman" w:hAnsi="Arial" w:cs="Arial"/>
          <w:kern w:val="0"/>
          <w:lang w:eastAsia="en-GB"/>
          <w14:ligatures w14:val="none"/>
        </w:rPr>
        <w:noBreakHyphen/>
        <w:t>long traits and characteristics.</w:t>
      </w:r>
    </w:p>
    <w:p w14:paraId="0C2124CB" w14:textId="77777777" w:rsidR="00866FAF" w:rsidRPr="00866FAF" w:rsidRDefault="00866FAF" w:rsidP="002A6A4F">
      <w:pPr>
        <w:numPr>
          <w:ilvl w:val="0"/>
          <w:numId w:val="13"/>
        </w:numPr>
        <w:spacing w:before="100" w:beforeAutospacing="1" w:after="100" w:afterAutospacing="1" w:line="360" w:lineRule="auto"/>
        <w:rPr>
          <w:rFonts w:ascii="Arial" w:eastAsia="Times New Roman" w:hAnsi="Arial" w:cs="Arial"/>
          <w:kern w:val="0"/>
          <w:lang w:eastAsia="en-GB"/>
          <w14:ligatures w14:val="none"/>
        </w:rPr>
      </w:pPr>
      <m:oMath>
        <m:r>
          <w:rPr>
            <w:rFonts w:ascii="Cambria Math" w:eastAsia="Times New Roman" w:hAnsi="Cambria Math" w:cs="Arial"/>
            <w:kern w:val="0"/>
            <w:lang w:eastAsia="en-GB"/>
            <w14:ligatures w14:val="none"/>
          </w:rPr>
          <m:t>B</m:t>
        </m:r>
      </m:oMath>
      <w:r w:rsidRPr="00866FAF">
        <w:rPr>
          <w:rFonts w:ascii="Arial" w:eastAsia="Times New Roman" w:hAnsi="Arial" w:cs="Arial"/>
          <w:b/>
          <w:bCs/>
          <w:kern w:val="0"/>
          <w:lang w:eastAsia="en-GB"/>
          <w14:ligatures w14:val="none"/>
        </w:rPr>
        <w:t>: Biography</w:t>
      </w:r>
      <w:r w:rsidRPr="00866FAF">
        <w:rPr>
          <w:rFonts w:ascii="Arial" w:eastAsia="Times New Roman" w:hAnsi="Arial" w:cs="Arial"/>
          <w:kern w:val="0"/>
          <w:lang w:eastAsia="en-GB"/>
          <w14:ligatures w14:val="none"/>
        </w:rPr>
        <w:t xml:space="preserve"> – personal history and lived experiences.</w:t>
      </w:r>
    </w:p>
    <w:p w14:paraId="6E8D2548" w14:textId="77777777" w:rsidR="00866FAF" w:rsidRPr="00866FAF" w:rsidRDefault="00866FAF" w:rsidP="002A6A4F">
      <w:pPr>
        <w:numPr>
          <w:ilvl w:val="0"/>
          <w:numId w:val="13"/>
        </w:numPr>
        <w:spacing w:before="100" w:beforeAutospacing="1" w:after="100" w:afterAutospacing="1" w:line="360" w:lineRule="auto"/>
        <w:rPr>
          <w:rFonts w:ascii="Arial" w:eastAsia="Times New Roman" w:hAnsi="Arial" w:cs="Arial"/>
          <w:kern w:val="0"/>
          <w:lang w:eastAsia="en-GB"/>
          <w14:ligatures w14:val="none"/>
        </w:rPr>
      </w:pPr>
      <m:oMath>
        <m:r>
          <w:rPr>
            <w:rFonts w:ascii="Cambria Math" w:eastAsia="Times New Roman" w:hAnsi="Cambria Math" w:cs="Arial"/>
            <w:kern w:val="0"/>
            <w:lang w:eastAsia="en-GB"/>
            <w14:ligatures w14:val="none"/>
          </w:rPr>
          <m:t>H</m:t>
        </m:r>
      </m:oMath>
      <w:r w:rsidRPr="00866FAF">
        <w:rPr>
          <w:rFonts w:ascii="Arial" w:eastAsia="Times New Roman" w:hAnsi="Arial" w:cs="Arial"/>
          <w:b/>
          <w:bCs/>
          <w:kern w:val="0"/>
          <w:lang w:eastAsia="en-GB"/>
          <w14:ligatures w14:val="none"/>
        </w:rPr>
        <w:t>: Health</w:t>
      </w:r>
      <w:r w:rsidRPr="00866FAF">
        <w:rPr>
          <w:rFonts w:ascii="Arial" w:eastAsia="Times New Roman" w:hAnsi="Arial" w:cs="Arial"/>
          <w:kern w:val="0"/>
          <w:lang w:eastAsia="en-GB"/>
          <w14:ligatures w14:val="none"/>
        </w:rPr>
        <w:t xml:space="preserve"> – physical fitness and co</w:t>
      </w:r>
      <w:r w:rsidRPr="00866FAF">
        <w:rPr>
          <w:rFonts w:ascii="Arial" w:eastAsia="Times New Roman" w:hAnsi="Arial" w:cs="Arial"/>
          <w:kern w:val="0"/>
          <w:lang w:eastAsia="en-GB"/>
          <w14:ligatures w14:val="none"/>
        </w:rPr>
        <w:noBreakHyphen/>
        <w:t>existing medical conditions.</w:t>
      </w:r>
    </w:p>
    <w:p w14:paraId="37DC3B6F" w14:textId="77777777" w:rsidR="00866FAF" w:rsidRPr="00866FAF" w:rsidRDefault="00866FAF" w:rsidP="002A6A4F">
      <w:pPr>
        <w:numPr>
          <w:ilvl w:val="0"/>
          <w:numId w:val="13"/>
        </w:numPr>
        <w:spacing w:before="100" w:beforeAutospacing="1" w:after="100" w:afterAutospacing="1" w:line="360" w:lineRule="auto"/>
        <w:rPr>
          <w:rFonts w:ascii="Arial" w:eastAsia="Times New Roman" w:hAnsi="Arial" w:cs="Arial"/>
          <w:kern w:val="0"/>
          <w:lang w:eastAsia="en-GB"/>
          <w14:ligatures w14:val="none"/>
        </w:rPr>
      </w:pPr>
      <m:oMath>
        <m:r>
          <w:rPr>
            <w:rFonts w:ascii="Cambria Math" w:eastAsia="Times New Roman" w:hAnsi="Cambria Math" w:cs="Arial"/>
            <w:kern w:val="0"/>
            <w:lang w:eastAsia="en-GB"/>
            <w14:ligatures w14:val="none"/>
          </w:rPr>
          <w:lastRenderedPageBreak/>
          <m:t>NI</m:t>
        </m:r>
      </m:oMath>
      <w:r w:rsidRPr="00866FAF">
        <w:rPr>
          <w:rFonts w:ascii="Arial" w:eastAsia="Times New Roman" w:hAnsi="Arial" w:cs="Arial"/>
          <w:b/>
          <w:bCs/>
          <w:kern w:val="0"/>
          <w:lang w:eastAsia="en-GB"/>
          <w14:ligatures w14:val="none"/>
        </w:rPr>
        <w:t>: Neurological Impairment</w:t>
      </w:r>
      <w:r w:rsidRPr="00866FAF">
        <w:rPr>
          <w:rFonts w:ascii="Arial" w:eastAsia="Times New Roman" w:hAnsi="Arial" w:cs="Arial"/>
          <w:kern w:val="0"/>
          <w:lang w:eastAsia="en-GB"/>
          <w14:ligatures w14:val="none"/>
        </w:rPr>
        <w:t xml:space="preserve"> – the physical damage to the brain.</w:t>
      </w:r>
    </w:p>
    <w:p w14:paraId="16E0E9F8" w14:textId="77777777" w:rsidR="00866FAF" w:rsidRPr="00664B1F" w:rsidRDefault="00866FAF" w:rsidP="002A6A4F">
      <w:pPr>
        <w:numPr>
          <w:ilvl w:val="0"/>
          <w:numId w:val="13"/>
        </w:numPr>
        <w:spacing w:before="100" w:beforeAutospacing="1" w:after="100" w:afterAutospacing="1" w:line="360" w:lineRule="auto"/>
        <w:rPr>
          <w:rFonts w:ascii="Arial" w:eastAsia="Times New Roman" w:hAnsi="Arial" w:cs="Arial"/>
          <w:kern w:val="0"/>
          <w:lang w:eastAsia="en-GB"/>
          <w14:ligatures w14:val="none"/>
        </w:rPr>
      </w:pPr>
      <m:oMath>
        <m:r>
          <w:rPr>
            <w:rFonts w:ascii="Cambria Math" w:eastAsia="Times New Roman" w:hAnsi="Cambria Math" w:cs="Arial"/>
            <w:kern w:val="0"/>
            <w:lang w:eastAsia="en-GB"/>
            <w14:ligatures w14:val="none"/>
          </w:rPr>
          <m:t>SP</m:t>
        </m:r>
      </m:oMath>
      <w:r w:rsidRPr="00866FAF">
        <w:rPr>
          <w:rFonts w:ascii="Arial" w:eastAsia="Times New Roman" w:hAnsi="Arial" w:cs="Arial"/>
          <w:b/>
          <w:bCs/>
          <w:kern w:val="0"/>
          <w:lang w:eastAsia="en-GB"/>
          <w14:ligatures w14:val="none"/>
        </w:rPr>
        <w:t>: Social Psychology</w:t>
      </w:r>
      <w:r w:rsidRPr="00866FAF">
        <w:rPr>
          <w:rFonts w:ascii="Arial" w:eastAsia="Times New Roman" w:hAnsi="Arial" w:cs="Arial"/>
          <w:kern w:val="0"/>
          <w:lang w:eastAsia="en-GB"/>
          <w14:ligatures w14:val="none"/>
        </w:rPr>
        <w:t xml:space="preserve"> – the quality and nature of social interactions.</w:t>
      </w:r>
    </w:p>
    <w:p w14:paraId="68140122" w14:textId="77777777" w:rsidR="00866FAF" w:rsidRPr="00866FAF" w:rsidRDefault="00866FAF" w:rsidP="002A6A4F">
      <w:pPr>
        <w:spacing w:before="100" w:beforeAutospacing="1" w:after="100" w:afterAutospacing="1" w:line="360" w:lineRule="auto"/>
        <w:ind w:left="720"/>
        <w:rPr>
          <w:rFonts w:ascii="Arial" w:eastAsia="Times New Roman" w:hAnsi="Arial" w:cs="Arial"/>
          <w:kern w:val="0"/>
          <w:lang w:eastAsia="en-GB"/>
          <w14:ligatures w14:val="none"/>
        </w:rPr>
      </w:pPr>
    </w:p>
    <w:p w14:paraId="074C48B9"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t>3.2 Application to PCC</w:t>
      </w:r>
    </w:p>
    <w:p w14:paraId="148E87CC" w14:textId="21CC8846" w:rsidR="00866FAF" w:rsidRPr="00664B1F" w:rsidRDefault="00A950D6"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This theory is fundamental to person-</w:t>
      </w:r>
      <w:proofErr w:type="spellStart"/>
      <w:r w:rsidRPr="00664B1F">
        <w:rPr>
          <w:rFonts w:ascii="Arial" w:eastAsia="Times New Roman" w:hAnsi="Arial" w:cs="Arial"/>
          <w:kern w:val="0"/>
          <w:lang w:eastAsia="en-GB"/>
          <w14:ligatures w14:val="none"/>
        </w:rPr>
        <w:t>centered</w:t>
      </w:r>
      <w:proofErr w:type="spellEnd"/>
      <w:r w:rsidRPr="00664B1F">
        <w:rPr>
          <w:rFonts w:ascii="Arial" w:eastAsia="Times New Roman" w:hAnsi="Arial" w:cs="Arial"/>
          <w:kern w:val="0"/>
          <w:lang w:eastAsia="en-GB"/>
          <w14:ligatures w14:val="none"/>
        </w:rPr>
        <w:t xml:space="preserve"> care (PCC) because it implies that, although neurological impairments can be irreversible, the subjective experience of dementia can be altered in a positive way, provided that there is an emphasis on social psychology. </w:t>
      </w:r>
      <w:proofErr w:type="spellStart"/>
      <w:r w:rsidRPr="00664B1F">
        <w:rPr>
          <w:rFonts w:ascii="Arial" w:eastAsia="Times New Roman" w:hAnsi="Arial" w:cs="Arial"/>
          <w:kern w:val="0"/>
          <w:lang w:eastAsia="en-GB"/>
          <w14:ligatures w14:val="none"/>
        </w:rPr>
        <w:t>Kitwood's</w:t>
      </w:r>
      <w:proofErr w:type="spellEnd"/>
      <w:r w:rsidRPr="00664B1F">
        <w:rPr>
          <w:rFonts w:ascii="Arial" w:eastAsia="Times New Roman" w:hAnsi="Arial" w:cs="Arial"/>
          <w:kern w:val="0"/>
          <w:lang w:eastAsia="en-GB"/>
          <w14:ligatures w14:val="none"/>
        </w:rPr>
        <w:t xml:space="preserve"> theory requires that we no longer see “the patient in bed four,” but rather see “the retired teacher who loves gardening and dislikes noise” (</w:t>
      </w:r>
      <w:proofErr w:type="spellStart"/>
      <w:r w:rsidRPr="00664B1F">
        <w:rPr>
          <w:rFonts w:ascii="Arial" w:eastAsia="Times New Roman" w:hAnsi="Arial" w:cs="Arial"/>
          <w:kern w:val="0"/>
          <w:lang w:eastAsia="en-GB"/>
          <w14:ligatures w14:val="none"/>
        </w:rPr>
        <w:t>Kitwood</w:t>
      </w:r>
      <w:proofErr w:type="spellEnd"/>
      <w:r w:rsidRPr="00664B1F">
        <w:rPr>
          <w:rFonts w:ascii="Arial" w:eastAsia="Times New Roman" w:hAnsi="Arial" w:cs="Arial"/>
          <w:kern w:val="0"/>
          <w:lang w:eastAsia="en-GB"/>
          <w14:ligatures w14:val="none"/>
        </w:rPr>
        <w:t>, 1997).</w:t>
      </w:r>
    </w:p>
    <w:p w14:paraId="57AEA8AF"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3AFC657E" w14:textId="77777777" w:rsidR="00866FAF" w:rsidRPr="00866FAF" w:rsidRDefault="00866FAF" w:rsidP="002A6A4F">
      <w:pPr>
        <w:spacing w:after="120" w:line="360" w:lineRule="auto"/>
        <w:jc w:val="both"/>
        <w:outlineLvl w:val="2"/>
        <w:rPr>
          <w:rFonts w:ascii="Arial" w:eastAsia="Times New Roman" w:hAnsi="Arial" w:cs="Arial"/>
          <w:b/>
          <w:bCs/>
          <w:kern w:val="0"/>
          <w:lang w:eastAsia="en-GB"/>
          <w14:ligatures w14:val="none"/>
        </w:rPr>
      </w:pPr>
      <w:bookmarkStart w:id="3" w:name="_Toc222187864"/>
      <w:r w:rsidRPr="00866FAF">
        <w:rPr>
          <w:rFonts w:ascii="Arial" w:eastAsia="Times New Roman" w:hAnsi="Arial" w:cs="Arial"/>
          <w:b/>
          <w:bCs/>
          <w:kern w:val="0"/>
          <w:lang w:eastAsia="en-GB"/>
          <w14:ligatures w14:val="none"/>
        </w:rPr>
        <w:t>4.0 Ethical Fundamentals of Health and Social Care</w:t>
      </w:r>
      <w:bookmarkEnd w:id="3"/>
    </w:p>
    <w:p w14:paraId="7FCE5814" w14:textId="2DBF73DC" w:rsidR="00866FAF" w:rsidRPr="00664B1F" w:rsidRDefault="00A950D6" w:rsidP="00604D3B">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Ethical practice council is the invisible construct that underlies both PCC and PW. Care-related decisions will seldom be black and white, and practitioners cannot avoid the </w:t>
      </w:r>
      <w:proofErr w:type="spellStart"/>
      <w:r w:rsidRPr="00664B1F">
        <w:rPr>
          <w:rFonts w:ascii="Arial" w:eastAsia="Times New Roman" w:hAnsi="Arial" w:cs="Arial"/>
          <w:kern w:val="0"/>
          <w:lang w:eastAsia="en-GB"/>
          <w14:ligatures w14:val="none"/>
        </w:rPr>
        <w:t>gray</w:t>
      </w:r>
      <w:proofErr w:type="spellEnd"/>
      <w:r w:rsidRPr="00664B1F">
        <w:rPr>
          <w:rFonts w:ascii="Arial" w:eastAsia="Times New Roman" w:hAnsi="Arial" w:cs="Arial"/>
          <w:kern w:val="0"/>
          <w:lang w:eastAsia="en-GB"/>
          <w14:ligatures w14:val="none"/>
        </w:rPr>
        <w:t xml:space="preserve"> situations without the four pillars of biomedical ethics (</w:t>
      </w:r>
      <w:r w:rsidR="002A6A4F" w:rsidRPr="00664B1F">
        <w:rPr>
          <w:rFonts w:ascii="Arial" w:eastAsia="Times New Roman" w:hAnsi="Arial" w:cs="Arial"/>
          <w:kern w:val="0"/>
          <w:lang w:eastAsia="en-GB"/>
          <w14:ligatures w14:val="none"/>
        </w:rPr>
        <w:t>Childress and Beauchamp, 2022</w:t>
      </w:r>
      <w:r w:rsidRPr="00664B1F">
        <w:rPr>
          <w:rFonts w:ascii="Arial" w:eastAsia="Times New Roman" w:hAnsi="Arial" w:cs="Arial"/>
          <w:kern w:val="0"/>
          <w:lang w:eastAsia="en-GB"/>
          <w14:ligatures w14:val="none"/>
        </w:rPr>
        <w:t>)</w:t>
      </w:r>
      <w:r w:rsidR="00866FAF" w:rsidRPr="00866FAF">
        <w:rPr>
          <w:rFonts w:ascii="Arial" w:eastAsia="Times New Roman" w:hAnsi="Arial" w:cs="Arial"/>
          <w:kern w:val="0"/>
          <w:lang w:eastAsia="en-GB"/>
          <w14:ligatures w14:val="none"/>
        </w:rPr>
        <w:t>.</w:t>
      </w:r>
    </w:p>
    <w:p w14:paraId="3F7048BB" w14:textId="77777777" w:rsidR="00604D3B" w:rsidRPr="00664B1F" w:rsidRDefault="00604D3B" w:rsidP="00604D3B">
      <w:pPr>
        <w:keepNext/>
        <w:spacing w:after="240" w:line="360" w:lineRule="auto"/>
        <w:jc w:val="center"/>
        <w:rPr>
          <w:rFonts w:ascii="Arial" w:hAnsi="Arial" w:cs="Arial"/>
        </w:rPr>
      </w:pPr>
      <w:r w:rsidRPr="00664B1F">
        <w:rPr>
          <w:rFonts w:ascii="Arial" w:eastAsia="Times New Roman" w:hAnsi="Arial" w:cs="Arial"/>
          <w:noProof/>
          <w:kern w:val="0"/>
          <w:lang w:eastAsia="en-GB"/>
          <w14:ligatures w14:val="none"/>
        </w:rPr>
        <w:drawing>
          <wp:inline distT="0" distB="0" distL="0" distR="0" wp14:anchorId="0A33AE5A" wp14:editId="38385BD5">
            <wp:extent cx="3048000" cy="2797791"/>
            <wp:effectExtent l="0" t="0" r="0" b="3175"/>
            <wp:docPr id="4018070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b="8209"/>
                    <a:stretch>
                      <a:fillRect/>
                    </a:stretch>
                  </pic:blipFill>
                  <pic:spPr bwMode="auto">
                    <a:xfrm>
                      <a:off x="0" y="0"/>
                      <a:ext cx="3048000" cy="2797791"/>
                    </a:xfrm>
                    <a:prstGeom prst="rect">
                      <a:avLst/>
                    </a:prstGeom>
                    <a:noFill/>
                    <a:ln>
                      <a:noFill/>
                    </a:ln>
                    <a:extLst>
                      <a:ext uri="{53640926-AAD7-44D8-BBD7-CCE9431645EC}">
                        <a14:shadowObscured xmlns:a14="http://schemas.microsoft.com/office/drawing/2010/main"/>
                      </a:ext>
                    </a:extLst>
                  </pic:spPr>
                </pic:pic>
              </a:graphicData>
            </a:graphic>
          </wp:inline>
        </w:drawing>
      </w:r>
    </w:p>
    <w:p w14:paraId="19A64E43" w14:textId="0EC93EC2" w:rsidR="00A950D6" w:rsidRPr="00664B1F" w:rsidRDefault="00604D3B" w:rsidP="00604D3B">
      <w:pPr>
        <w:pStyle w:val="Caption"/>
        <w:jc w:val="center"/>
        <w:rPr>
          <w:rFonts w:ascii="Arial" w:hAnsi="Arial" w:cs="Arial"/>
          <w:color w:val="auto"/>
          <w:sz w:val="24"/>
          <w:szCs w:val="24"/>
        </w:rPr>
      </w:pPr>
      <w:r w:rsidRPr="00664B1F">
        <w:rPr>
          <w:rFonts w:ascii="Arial" w:hAnsi="Arial" w:cs="Arial"/>
          <w:color w:val="auto"/>
          <w:sz w:val="24"/>
          <w:szCs w:val="24"/>
        </w:rPr>
        <w:t xml:space="preserve">Figure </w:t>
      </w:r>
      <w:r w:rsidRPr="00664B1F">
        <w:rPr>
          <w:rFonts w:ascii="Arial" w:hAnsi="Arial" w:cs="Arial"/>
          <w:color w:val="auto"/>
          <w:sz w:val="24"/>
          <w:szCs w:val="24"/>
        </w:rPr>
        <w:fldChar w:fldCharType="begin"/>
      </w:r>
      <w:r w:rsidRPr="00664B1F">
        <w:rPr>
          <w:rFonts w:ascii="Arial" w:hAnsi="Arial" w:cs="Arial"/>
          <w:color w:val="auto"/>
          <w:sz w:val="24"/>
          <w:szCs w:val="24"/>
        </w:rPr>
        <w:instrText xml:space="preserve"> SEQ Figure \* ARABIC </w:instrText>
      </w:r>
      <w:r w:rsidRPr="00664B1F">
        <w:rPr>
          <w:rFonts w:ascii="Arial" w:hAnsi="Arial" w:cs="Arial"/>
          <w:color w:val="auto"/>
          <w:sz w:val="24"/>
          <w:szCs w:val="24"/>
        </w:rPr>
        <w:fldChar w:fldCharType="separate"/>
      </w:r>
      <w:r w:rsidRPr="00664B1F">
        <w:rPr>
          <w:rFonts w:ascii="Arial" w:hAnsi="Arial" w:cs="Arial"/>
          <w:noProof/>
          <w:color w:val="auto"/>
          <w:sz w:val="24"/>
          <w:szCs w:val="24"/>
        </w:rPr>
        <w:t>3</w:t>
      </w:r>
      <w:r w:rsidRPr="00664B1F">
        <w:rPr>
          <w:rFonts w:ascii="Arial" w:hAnsi="Arial" w:cs="Arial"/>
          <w:color w:val="auto"/>
          <w:sz w:val="24"/>
          <w:szCs w:val="24"/>
        </w:rPr>
        <w:fldChar w:fldCharType="end"/>
      </w:r>
      <w:r w:rsidRPr="00664B1F">
        <w:rPr>
          <w:rFonts w:ascii="Arial" w:hAnsi="Arial" w:cs="Arial"/>
          <w:color w:val="auto"/>
          <w:sz w:val="24"/>
          <w:szCs w:val="24"/>
        </w:rPr>
        <w:t>: Ethics</w:t>
      </w:r>
    </w:p>
    <w:p w14:paraId="1FB991EB" w14:textId="77777777" w:rsidR="00604D3B" w:rsidRPr="00866FAF" w:rsidRDefault="00604D3B" w:rsidP="00604D3B">
      <w:pPr>
        <w:rPr>
          <w:rFonts w:ascii="Arial" w:hAnsi="Arial" w:cs="Arial"/>
          <w:lang w:eastAsia="en-GB"/>
        </w:rPr>
      </w:pPr>
    </w:p>
    <w:p w14:paraId="2A15F825"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lastRenderedPageBreak/>
        <w:t>4.1 Autonomy vs. Beneficence</w:t>
      </w:r>
    </w:p>
    <w:p w14:paraId="27DD671A" w14:textId="6D493DF1" w:rsidR="00866FAF" w:rsidRPr="00664B1F" w:rsidRDefault="00A950D6" w:rsidP="002A6A4F">
      <w:pPr>
        <w:spacing w:after="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The concept of autonomy is the foundation of PCC. It is the right of the person to make their independent decisions without any form of coercion. The practitioners have, however, Beneficence (the duty to do good) and </w:t>
      </w:r>
      <w:proofErr w:type="gramStart"/>
      <w:r w:rsidRPr="00664B1F">
        <w:rPr>
          <w:rFonts w:ascii="Arial" w:eastAsia="Times New Roman" w:hAnsi="Arial" w:cs="Arial"/>
          <w:kern w:val="0"/>
          <w:lang w:eastAsia="en-GB"/>
          <w14:ligatures w14:val="none"/>
        </w:rPr>
        <w:t>Non-maleficence</w:t>
      </w:r>
      <w:proofErr w:type="gramEnd"/>
      <w:r w:rsidRPr="00664B1F">
        <w:rPr>
          <w:rFonts w:ascii="Arial" w:eastAsia="Times New Roman" w:hAnsi="Arial" w:cs="Arial"/>
          <w:kern w:val="0"/>
          <w:lang w:eastAsia="en-GB"/>
          <w14:ligatures w14:val="none"/>
        </w:rPr>
        <w:t xml:space="preserve"> (the duty to do no harm), as well. The classic ethical dilemma is one that is presented when a service user with a chronic disease declines a treatment that should be implemented. On the one hand, PCC requires that their decision be </w:t>
      </w:r>
      <w:proofErr w:type="spellStart"/>
      <w:r w:rsidRPr="00664B1F">
        <w:rPr>
          <w:rFonts w:ascii="Arial" w:eastAsia="Times New Roman" w:hAnsi="Arial" w:cs="Arial"/>
          <w:kern w:val="0"/>
          <w:lang w:eastAsia="en-GB"/>
          <w14:ligatures w14:val="none"/>
        </w:rPr>
        <w:t>honored</w:t>
      </w:r>
      <w:proofErr w:type="spellEnd"/>
      <w:r w:rsidRPr="00664B1F">
        <w:rPr>
          <w:rFonts w:ascii="Arial" w:eastAsia="Times New Roman" w:hAnsi="Arial" w:cs="Arial"/>
          <w:kern w:val="0"/>
          <w:lang w:eastAsia="en-GB"/>
          <w14:ligatures w14:val="none"/>
        </w:rPr>
        <w:t xml:space="preserve"> (Autonomy), on the other hand, the instinct of professional medicine implies that the practitioner should take measures to avoid the deterioration of health (Beneficence)</w:t>
      </w:r>
      <w:r w:rsidR="00866FAF" w:rsidRPr="00866FAF">
        <w:rPr>
          <w:rFonts w:ascii="Arial" w:eastAsia="Times New Roman" w:hAnsi="Arial" w:cs="Arial"/>
          <w:kern w:val="0"/>
          <w:lang w:eastAsia="en-GB"/>
          <w14:ligatures w14:val="none"/>
        </w:rPr>
        <w:t>.</w:t>
      </w:r>
    </w:p>
    <w:p w14:paraId="6A77FE94" w14:textId="77777777" w:rsidR="00866FAF" w:rsidRPr="00866FAF" w:rsidRDefault="00866FAF" w:rsidP="002A6A4F">
      <w:pPr>
        <w:spacing w:after="0" w:line="360" w:lineRule="auto"/>
        <w:jc w:val="both"/>
        <w:rPr>
          <w:rFonts w:ascii="Arial" w:eastAsia="Times New Roman" w:hAnsi="Arial" w:cs="Arial"/>
          <w:kern w:val="0"/>
          <w:lang w:eastAsia="en-GB"/>
          <w14:ligatures w14:val="none"/>
        </w:rPr>
      </w:pPr>
    </w:p>
    <w:p w14:paraId="73C92B1B"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t>4.2 Justice and Partnership Working</w:t>
      </w:r>
    </w:p>
    <w:p w14:paraId="0787A2C6" w14:textId="6835DBBF" w:rsidR="00866FAF" w:rsidRPr="00664B1F" w:rsidRDefault="00A950D6" w:rsidP="002A6A4F">
      <w:pPr>
        <w:spacing w:after="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The third principle which is relevant to the case is the principle of Justice, which is associated with equality and fairness of resources distribution. Partnership working is ethically required in UK where the resources are limited. Without the cooperation of the various agencies (health and social care), resources will be squandered due to duplication of efforts or, as the case may apply, the users may be left unattended since no one agency is responsible. Justice demands that we all work together in a bid to make sure that care packages go where the need and not where the service user had it upon him/herself to knock at the first door</w:t>
      </w:r>
      <w:r w:rsidR="00866FAF" w:rsidRPr="00866FAF">
        <w:rPr>
          <w:rFonts w:ascii="Arial" w:eastAsia="Times New Roman" w:hAnsi="Arial" w:cs="Arial"/>
          <w:kern w:val="0"/>
          <w:lang w:eastAsia="en-GB"/>
          <w14:ligatures w14:val="none"/>
        </w:rPr>
        <w:t>.</w:t>
      </w:r>
    </w:p>
    <w:p w14:paraId="5E053E0D" w14:textId="77777777" w:rsidR="00866FAF" w:rsidRPr="00866FAF" w:rsidRDefault="00866FAF" w:rsidP="002A6A4F">
      <w:pPr>
        <w:spacing w:after="0" w:line="360" w:lineRule="auto"/>
        <w:jc w:val="both"/>
        <w:rPr>
          <w:rFonts w:ascii="Arial" w:eastAsia="Times New Roman" w:hAnsi="Arial" w:cs="Arial"/>
          <w:kern w:val="0"/>
          <w:lang w:eastAsia="en-GB"/>
          <w14:ligatures w14:val="none"/>
        </w:rPr>
      </w:pPr>
    </w:p>
    <w:p w14:paraId="797C320F" w14:textId="77777777" w:rsidR="00866FAF" w:rsidRPr="00866FAF" w:rsidRDefault="00866FAF" w:rsidP="002A6A4F">
      <w:pPr>
        <w:spacing w:after="120" w:line="360" w:lineRule="auto"/>
        <w:jc w:val="both"/>
        <w:outlineLvl w:val="2"/>
        <w:rPr>
          <w:rFonts w:ascii="Arial" w:eastAsia="Times New Roman" w:hAnsi="Arial" w:cs="Arial"/>
          <w:b/>
          <w:bCs/>
          <w:kern w:val="0"/>
          <w:lang w:eastAsia="en-GB"/>
          <w14:ligatures w14:val="none"/>
        </w:rPr>
      </w:pPr>
      <w:bookmarkStart w:id="4" w:name="_Toc222187865"/>
      <w:r w:rsidRPr="00866FAF">
        <w:rPr>
          <w:rFonts w:ascii="Arial" w:eastAsia="Times New Roman" w:hAnsi="Arial" w:cs="Arial"/>
          <w:b/>
          <w:bCs/>
          <w:kern w:val="0"/>
          <w:lang w:eastAsia="en-GB"/>
          <w14:ligatures w14:val="none"/>
        </w:rPr>
        <w:t>5.0 Evaluating Partnership Working (PW) in Health and Social Care</w:t>
      </w:r>
      <w:bookmarkEnd w:id="4"/>
    </w:p>
    <w:p w14:paraId="2C996921" w14:textId="1EAB4436" w:rsidR="00866FAF" w:rsidRPr="00664B1F" w:rsidRDefault="00A950D6"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Integrated care manifests itself in partnership working. It recogn</w:t>
      </w:r>
      <w:r w:rsidR="002A6A4F" w:rsidRPr="00664B1F">
        <w:rPr>
          <w:rFonts w:ascii="Arial" w:eastAsia="Times New Roman" w:hAnsi="Arial" w:cs="Arial"/>
          <w:kern w:val="0"/>
          <w:lang w:eastAsia="en-GB"/>
          <w14:ligatures w14:val="none"/>
        </w:rPr>
        <w:t>ise</w:t>
      </w:r>
      <w:r w:rsidRPr="00664B1F">
        <w:rPr>
          <w:rFonts w:ascii="Arial" w:eastAsia="Times New Roman" w:hAnsi="Arial" w:cs="Arial"/>
          <w:kern w:val="0"/>
          <w:lang w:eastAsia="en-GB"/>
          <w14:ligatures w14:val="none"/>
        </w:rPr>
        <w:t>s the complexity of the human experience as well as the fact that medical needs are in most cases inextricably connected with social, economic and psychological aspects</w:t>
      </w:r>
      <w:r w:rsidR="00866FAF" w:rsidRPr="00866FAF">
        <w:rPr>
          <w:rFonts w:ascii="Arial" w:eastAsia="Times New Roman" w:hAnsi="Arial" w:cs="Arial"/>
          <w:kern w:val="0"/>
          <w:lang w:eastAsia="en-GB"/>
          <w14:ligatures w14:val="none"/>
        </w:rPr>
        <w:t>.</w:t>
      </w:r>
    </w:p>
    <w:p w14:paraId="187124AA"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1462DE40"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t>5.1 The Rationale for Integration</w:t>
      </w:r>
    </w:p>
    <w:p w14:paraId="2FF4E6C3" w14:textId="39DDB0AB" w:rsidR="00866FAF" w:rsidRPr="00664B1F" w:rsidRDefault="00A950D6"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The prevention of service fragmentation is the main force behind PW. As </w:t>
      </w:r>
      <w:proofErr w:type="spellStart"/>
      <w:r w:rsidR="002A6A4F" w:rsidRPr="00664B1F">
        <w:rPr>
          <w:rFonts w:ascii="Arial" w:eastAsia="Times New Roman" w:hAnsi="Arial" w:cs="Arial"/>
          <w:kern w:val="0"/>
          <w:lang w:eastAsia="en-GB"/>
          <w14:ligatures w14:val="none"/>
        </w:rPr>
        <w:t>Dukhu</w:t>
      </w:r>
      <w:proofErr w:type="spellEnd"/>
      <w:r w:rsidR="002A6A4F" w:rsidRPr="00664B1F">
        <w:rPr>
          <w:rFonts w:ascii="Arial" w:eastAsia="Times New Roman" w:hAnsi="Arial" w:cs="Arial"/>
          <w:kern w:val="0"/>
          <w:lang w:eastAsia="en-GB"/>
          <w14:ligatures w14:val="none"/>
        </w:rPr>
        <w:t xml:space="preserve"> et al., </w:t>
      </w:r>
      <w:r w:rsidRPr="00664B1F">
        <w:rPr>
          <w:rFonts w:ascii="Arial" w:eastAsia="Times New Roman" w:hAnsi="Arial" w:cs="Arial"/>
          <w:kern w:val="0"/>
          <w:lang w:eastAsia="en-GB"/>
          <w14:ligatures w14:val="none"/>
        </w:rPr>
        <w:t>(201</w:t>
      </w:r>
      <w:r w:rsidR="002A6A4F" w:rsidRPr="00664B1F">
        <w:rPr>
          <w:rFonts w:ascii="Arial" w:eastAsia="Times New Roman" w:hAnsi="Arial" w:cs="Arial"/>
          <w:kern w:val="0"/>
          <w:lang w:eastAsia="en-GB"/>
          <w14:ligatures w14:val="none"/>
        </w:rPr>
        <w:t>8</w:t>
      </w:r>
      <w:r w:rsidRPr="00664B1F">
        <w:rPr>
          <w:rFonts w:ascii="Arial" w:eastAsia="Times New Roman" w:hAnsi="Arial" w:cs="Arial"/>
          <w:kern w:val="0"/>
          <w:lang w:eastAsia="en-GB"/>
          <w14:ligatures w14:val="none"/>
        </w:rPr>
        <w:t xml:space="preserve">) remarks, isolated specialists may perplex and contradict each other as a service user with numerous complex needs, including a COPD patient, clinical depression, and poor housing. PW makes sure that the entire individual is addressed. </w:t>
      </w:r>
      <w:r w:rsidRPr="00664B1F">
        <w:rPr>
          <w:rFonts w:ascii="Arial" w:eastAsia="Times New Roman" w:hAnsi="Arial" w:cs="Arial"/>
          <w:kern w:val="0"/>
          <w:lang w:eastAsia="en-GB"/>
          <w14:ligatures w14:val="none"/>
        </w:rPr>
        <w:lastRenderedPageBreak/>
        <w:t>By having a GP treat the patient because of his breathing, that is not all; he or she is treating the damp housing which is causing his breathing ability to become bad.</w:t>
      </w:r>
    </w:p>
    <w:p w14:paraId="370E4C57"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61459271"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t>5.2 Barriers to Effective Partnership</w:t>
      </w:r>
    </w:p>
    <w:p w14:paraId="450FDD74" w14:textId="5668F8A2" w:rsidR="00866FAF" w:rsidRPr="00664B1F" w:rsidRDefault="00A950D6"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Although its advantages are obvious, PW is usually burdened with structural silos. The health services (NHS) and the social services (Local Authorities) used to have distinct sources of funding and sources of accountability. It can easily translate to so-called cost-shifting, when one agency attempts to transfer the burden of the care of a user to another one in order to pocket their own budget. Moreover, cross-cultural issues in the professions may lead to friction. </w:t>
      </w:r>
      <w:r w:rsidR="002A6A4F" w:rsidRPr="00664B1F">
        <w:rPr>
          <w:rFonts w:ascii="Arial" w:eastAsia="Times New Roman" w:hAnsi="Arial" w:cs="Arial"/>
          <w:kern w:val="0"/>
          <w:lang w:eastAsia="en-GB"/>
          <w14:ligatures w14:val="none"/>
        </w:rPr>
        <w:t>Ali and Bradburn (2018</w:t>
      </w:r>
      <w:r w:rsidRPr="00664B1F">
        <w:rPr>
          <w:rFonts w:ascii="Arial" w:eastAsia="Times New Roman" w:hAnsi="Arial" w:cs="Arial"/>
          <w:kern w:val="0"/>
          <w:lang w:eastAsia="en-GB"/>
          <w14:ligatures w14:val="none"/>
        </w:rPr>
        <w:t>) note that a medical-based perspective with a risk-avoidance orientation could conflict with a social care-based perspective with a risk-enablement and independence orientation</w:t>
      </w:r>
      <w:r w:rsidR="00866FAF" w:rsidRPr="00866FAF">
        <w:rPr>
          <w:rFonts w:ascii="Arial" w:eastAsia="Times New Roman" w:hAnsi="Arial" w:cs="Arial"/>
          <w:kern w:val="0"/>
          <w:lang w:eastAsia="en-GB"/>
          <w14:ligatures w14:val="none"/>
        </w:rPr>
        <w:t>.</w:t>
      </w:r>
    </w:p>
    <w:p w14:paraId="46DDB1FA"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0CAF9445" w14:textId="77777777" w:rsidR="00866FAF" w:rsidRPr="00866FAF" w:rsidRDefault="00866FAF" w:rsidP="002A6A4F">
      <w:pPr>
        <w:spacing w:after="120" w:line="360" w:lineRule="auto"/>
        <w:jc w:val="both"/>
        <w:outlineLvl w:val="2"/>
        <w:rPr>
          <w:rFonts w:ascii="Arial" w:eastAsia="Times New Roman" w:hAnsi="Arial" w:cs="Arial"/>
          <w:b/>
          <w:bCs/>
          <w:kern w:val="0"/>
          <w:lang w:eastAsia="en-GB"/>
          <w14:ligatures w14:val="none"/>
        </w:rPr>
      </w:pPr>
      <w:bookmarkStart w:id="5" w:name="_Toc222187866"/>
      <w:r w:rsidRPr="00866FAF">
        <w:rPr>
          <w:rFonts w:ascii="Arial" w:eastAsia="Times New Roman" w:hAnsi="Arial" w:cs="Arial"/>
          <w:b/>
          <w:bCs/>
          <w:kern w:val="0"/>
          <w:lang w:eastAsia="en-GB"/>
          <w14:ligatures w14:val="none"/>
        </w:rPr>
        <w:t>6.0 Practical Application: Domiciliary Care Setting</w:t>
      </w:r>
      <w:bookmarkEnd w:id="5"/>
    </w:p>
    <w:p w14:paraId="46D7C879" w14:textId="77777777" w:rsidR="00866FAF" w:rsidRPr="00664B1F" w:rsidRDefault="00866FAF" w:rsidP="002A6A4F">
      <w:pPr>
        <w:spacing w:after="240" w:line="360" w:lineRule="auto"/>
        <w:jc w:val="both"/>
        <w:rPr>
          <w:rFonts w:ascii="Arial" w:eastAsia="Times New Roman" w:hAnsi="Arial" w:cs="Arial"/>
          <w:kern w:val="0"/>
          <w:lang w:eastAsia="en-GB"/>
          <w14:ligatures w14:val="none"/>
        </w:rPr>
      </w:pPr>
      <w:r w:rsidRPr="00866FAF">
        <w:rPr>
          <w:rFonts w:ascii="Arial" w:eastAsia="Times New Roman" w:hAnsi="Arial" w:cs="Arial"/>
          <w:kern w:val="0"/>
          <w:lang w:eastAsia="en-GB"/>
          <w14:ligatures w14:val="none"/>
        </w:rPr>
        <w:t>In a domiciliary care setting, where care is delivered in the individual's home, partnership working is the only way to maintain safety and independence for vulnerable adults. For an elderly service user recovering from a stroke, a successful care journey requires a multi-agency approach.</w:t>
      </w:r>
    </w:p>
    <w:p w14:paraId="4A59CFF6" w14:textId="77777777" w:rsidR="00A950D6" w:rsidRPr="00866FAF" w:rsidRDefault="00A950D6" w:rsidP="002A6A4F">
      <w:pPr>
        <w:spacing w:after="240" w:line="360" w:lineRule="auto"/>
        <w:jc w:val="both"/>
        <w:rPr>
          <w:rFonts w:ascii="Arial" w:eastAsia="Times New Roman" w:hAnsi="Arial" w:cs="Arial"/>
          <w:kern w:val="0"/>
          <w:lang w:eastAsia="en-GB"/>
          <w14:ligatures w14:val="none"/>
        </w:rPr>
      </w:pPr>
    </w:p>
    <w:p w14:paraId="5F32A6A4"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t>6.1 The Multi-Disciplinary Team (MDT)</w:t>
      </w:r>
    </w:p>
    <w:p w14:paraId="352FD5DE" w14:textId="77777777" w:rsidR="00866FAF" w:rsidRPr="00866FAF" w:rsidRDefault="00866FAF" w:rsidP="002A6A4F">
      <w:pPr>
        <w:spacing w:after="120" w:line="360" w:lineRule="auto"/>
        <w:jc w:val="both"/>
        <w:rPr>
          <w:rFonts w:ascii="Arial" w:eastAsia="Times New Roman" w:hAnsi="Arial" w:cs="Arial"/>
          <w:kern w:val="0"/>
          <w:lang w:eastAsia="en-GB"/>
          <w14:ligatures w14:val="none"/>
        </w:rPr>
      </w:pPr>
      <w:r w:rsidRPr="00866FAF">
        <w:rPr>
          <w:rFonts w:ascii="Arial" w:eastAsia="Times New Roman" w:hAnsi="Arial" w:cs="Arial"/>
          <w:kern w:val="0"/>
          <w:lang w:eastAsia="en-GB"/>
          <w14:ligatures w14:val="none"/>
        </w:rPr>
        <w:t>The partnership in this setting typically includes:</w:t>
      </w:r>
    </w:p>
    <w:p w14:paraId="072C7BE5" w14:textId="77777777" w:rsidR="00866FAF" w:rsidRPr="00866FAF" w:rsidRDefault="00866FAF" w:rsidP="002A6A4F">
      <w:pPr>
        <w:numPr>
          <w:ilvl w:val="0"/>
          <w:numId w:val="11"/>
        </w:numPr>
        <w:spacing w:after="0" w:line="360" w:lineRule="auto"/>
        <w:jc w:val="both"/>
        <w:rPr>
          <w:rFonts w:ascii="Arial" w:eastAsia="Times New Roman" w:hAnsi="Arial" w:cs="Arial"/>
          <w:kern w:val="0"/>
          <w:lang w:eastAsia="en-GB"/>
          <w14:ligatures w14:val="none"/>
        </w:rPr>
      </w:pPr>
      <w:r w:rsidRPr="00866FAF">
        <w:rPr>
          <w:rFonts w:ascii="Arial" w:eastAsia="Times New Roman" w:hAnsi="Arial" w:cs="Arial"/>
          <w:b/>
          <w:bCs/>
          <w:kern w:val="0"/>
          <w:bdr w:val="none" w:sz="0" w:space="0" w:color="auto" w:frame="1"/>
          <w:lang w:eastAsia="en-GB"/>
          <w14:ligatures w14:val="none"/>
        </w:rPr>
        <w:t>The Service User:</w:t>
      </w:r>
      <w:r w:rsidRPr="00866FAF">
        <w:rPr>
          <w:rFonts w:ascii="Arial" w:eastAsia="Times New Roman" w:hAnsi="Arial" w:cs="Arial"/>
          <w:kern w:val="0"/>
          <w:lang w:eastAsia="en-GB"/>
          <w14:ligatures w14:val="none"/>
        </w:rPr>
        <w:t xml:space="preserve"> Acting as the lead partner in setting goals (e.g., "I want to be able to make my own tea again").</w:t>
      </w:r>
    </w:p>
    <w:p w14:paraId="5099B64A" w14:textId="77777777" w:rsidR="00866FAF" w:rsidRPr="00866FAF" w:rsidRDefault="00866FAF" w:rsidP="002A6A4F">
      <w:pPr>
        <w:numPr>
          <w:ilvl w:val="0"/>
          <w:numId w:val="11"/>
        </w:numPr>
        <w:spacing w:after="0" w:line="360" w:lineRule="auto"/>
        <w:jc w:val="both"/>
        <w:rPr>
          <w:rFonts w:ascii="Arial" w:eastAsia="Times New Roman" w:hAnsi="Arial" w:cs="Arial"/>
          <w:kern w:val="0"/>
          <w:lang w:eastAsia="en-GB"/>
          <w14:ligatures w14:val="none"/>
        </w:rPr>
      </w:pPr>
      <w:r w:rsidRPr="00866FAF">
        <w:rPr>
          <w:rFonts w:ascii="Arial" w:eastAsia="Times New Roman" w:hAnsi="Arial" w:cs="Arial"/>
          <w:b/>
          <w:bCs/>
          <w:kern w:val="0"/>
          <w:bdr w:val="none" w:sz="0" w:space="0" w:color="auto" w:frame="1"/>
          <w:lang w:eastAsia="en-GB"/>
          <w14:ligatures w14:val="none"/>
        </w:rPr>
        <w:t>The Family/Carer:</w:t>
      </w:r>
      <w:r w:rsidRPr="00866FAF">
        <w:rPr>
          <w:rFonts w:ascii="Arial" w:eastAsia="Times New Roman" w:hAnsi="Arial" w:cs="Arial"/>
          <w:kern w:val="0"/>
          <w:lang w:eastAsia="en-GB"/>
          <w14:ligatures w14:val="none"/>
        </w:rPr>
        <w:t xml:space="preserve"> Providing the most consistent observations and emotional support.</w:t>
      </w:r>
    </w:p>
    <w:p w14:paraId="33F31445" w14:textId="77777777" w:rsidR="00866FAF" w:rsidRPr="00866FAF" w:rsidRDefault="00866FAF" w:rsidP="002A6A4F">
      <w:pPr>
        <w:numPr>
          <w:ilvl w:val="0"/>
          <w:numId w:val="11"/>
        </w:numPr>
        <w:spacing w:after="0" w:line="360" w:lineRule="auto"/>
        <w:jc w:val="both"/>
        <w:rPr>
          <w:rFonts w:ascii="Arial" w:eastAsia="Times New Roman" w:hAnsi="Arial" w:cs="Arial"/>
          <w:kern w:val="0"/>
          <w:lang w:eastAsia="en-GB"/>
          <w14:ligatures w14:val="none"/>
        </w:rPr>
      </w:pPr>
      <w:r w:rsidRPr="00866FAF">
        <w:rPr>
          <w:rFonts w:ascii="Arial" w:eastAsia="Times New Roman" w:hAnsi="Arial" w:cs="Arial"/>
          <w:b/>
          <w:bCs/>
          <w:kern w:val="0"/>
          <w:bdr w:val="none" w:sz="0" w:space="0" w:color="auto" w:frame="1"/>
          <w:lang w:eastAsia="en-GB"/>
          <w14:ligatures w14:val="none"/>
        </w:rPr>
        <w:t>Occupational Therapists (OT):</w:t>
      </w:r>
      <w:r w:rsidRPr="00866FAF">
        <w:rPr>
          <w:rFonts w:ascii="Arial" w:eastAsia="Times New Roman" w:hAnsi="Arial" w:cs="Arial"/>
          <w:kern w:val="0"/>
          <w:lang w:eastAsia="en-GB"/>
          <w14:ligatures w14:val="none"/>
        </w:rPr>
        <w:t xml:space="preserve"> Ensuring the home environment is safe (e.g., installing grab rails or stairlifts).</w:t>
      </w:r>
    </w:p>
    <w:p w14:paraId="0F5D5750" w14:textId="77777777" w:rsidR="00866FAF" w:rsidRPr="00866FAF" w:rsidRDefault="00866FAF" w:rsidP="002A6A4F">
      <w:pPr>
        <w:numPr>
          <w:ilvl w:val="0"/>
          <w:numId w:val="11"/>
        </w:numPr>
        <w:spacing w:after="0" w:line="360" w:lineRule="auto"/>
        <w:jc w:val="both"/>
        <w:rPr>
          <w:rFonts w:ascii="Arial" w:eastAsia="Times New Roman" w:hAnsi="Arial" w:cs="Arial"/>
          <w:kern w:val="0"/>
          <w:lang w:eastAsia="en-GB"/>
          <w14:ligatures w14:val="none"/>
        </w:rPr>
      </w:pPr>
      <w:r w:rsidRPr="00866FAF">
        <w:rPr>
          <w:rFonts w:ascii="Arial" w:eastAsia="Times New Roman" w:hAnsi="Arial" w:cs="Arial"/>
          <w:b/>
          <w:bCs/>
          <w:kern w:val="0"/>
          <w:bdr w:val="none" w:sz="0" w:space="0" w:color="auto" w:frame="1"/>
          <w:lang w:eastAsia="en-GB"/>
          <w14:ligatures w14:val="none"/>
        </w:rPr>
        <w:t>Speech and Language Therapists (SALT):</w:t>
      </w:r>
      <w:r w:rsidRPr="00866FAF">
        <w:rPr>
          <w:rFonts w:ascii="Arial" w:eastAsia="Times New Roman" w:hAnsi="Arial" w:cs="Arial"/>
          <w:kern w:val="0"/>
          <w:lang w:eastAsia="en-GB"/>
          <w14:ligatures w14:val="none"/>
        </w:rPr>
        <w:t xml:space="preserve"> Assisting with swallowing difficulties and communication.</w:t>
      </w:r>
    </w:p>
    <w:p w14:paraId="0AEB4D0A" w14:textId="77777777" w:rsidR="00866FAF" w:rsidRPr="00664B1F" w:rsidRDefault="00866FAF" w:rsidP="002A6A4F">
      <w:pPr>
        <w:numPr>
          <w:ilvl w:val="0"/>
          <w:numId w:val="11"/>
        </w:numPr>
        <w:spacing w:after="0" w:line="360" w:lineRule="auto"/>
        <w:jc w:val="both"/>
        <w:rPr>
          <w:rFonts w:ascii="Arial" w:eastAsia="Times New Roman" w:hAnsi="Arial" w:cs="Arial"/>
          <w:kern w:val="0"/>
          <w:lang w:eastAsia="en-GB"/>
          <w14:ligatures w14:val="none"/>
        </w:rPr>
      </w:pPr>
      <w:r w:rsidRPr="00866FAF">
        <w:rPr>
          <w:rFonts w:ascii="Arial" w:eastAsia="Times New Roman" w:hAnsi="Arial" w:cs="Arial"/>
          <w:b/>
          <w:bCs/>
          <w:kern w:val="0"/>
          <w:bdr w:val="none" w:sz="0" w:space="0" w:color="auto" w:frame="1"/>
          <w:lang w:eastAsia="en-GB"/>
          <w14:ligatures w14:val="none"/>
        </w:rPr>
        <w:lastRenderedPageBreak/>
        <w:t>Social Care Workers:</w:t>
      </w:r>
      <w:r w:rsidRPr="00866FAF">
        <w:rPr>
          <w:rFonts w:ascii="Arial" w:eastAsia="Times New Roman" w:hAnsi="Arial" w:cs="Arial"/>
          <w:kern w:val="0"/>
          <w:lang w:eastAsia="en-GB"/>
          <w14:ligatures w14:val="none"/>
        </w:rPr>
        <w:t xml:space="preserve"> Providing the daily "front-line" support with personal hygiene and nutrition.</w:t>
      </w:r>
    </w:p>
    <w:p w14:paraId="5066AC75" w14:textId="77777777" w:rsidR="00866FAF" w:rsidRPr="00866FAF" w:rsidRDefault="00866FAF" w:rsidP="002A6A4F">
      <w:pPr>
        <w:spacing w:after="0" w:line="360" w:lineRule="auto"/>
        <w:ind w:left="720"/>
        <w:jc w:val="both"/>
        <w:rPr>
          <w:rFonts w:ascii="Arial" w:eastAsia="Times New Roman" w:hAnsi="Arial" w:cs="Arial"/>
          <w:kern w:val="0"/>
          <w:lang w:eastAsia="en-GB"/>
          <w14:ligatures w14:val="none"/>
        </w:rPr>
      </w:pPr>
    </w:p>
    <w:p w14:paraId="7FF73C37"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t>6.2 The Impact of Communication</w:t>
      </w:r>
    </w:p>
    <w:p w14:paraId="3A9EB840" w14:textId="24AB0736" w:rsidR="00866FAF" w:rsidRPr="00664B1F" w:rsidRDefault="00A950D6"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Communication is the only way that the success of this partnership can be guaranteed. According to </w:t>
      </w:r>
      <w:r w:rsidR="002A6A4F" w:rsidRPr="00664B1F">
        <w:rPr>
          <w:rFonts w:ascii="Arial" w:eastAsia="Times New Roman" w:hAnsi="Arial" w:cs="Arial"/>
          <w:kern w:val="0"/>
          <w:lang w:eastAsia="en-GB"/>
          <w14:ligatures w14:val="none"/>
        </w:rPr>
        <w:t>Poxton, (2018</w:t>
      </w:r>
      <w:r w:rsidRPr="00664B1F">
        <w:rPr>
          <w:rFonts w:ascii="Arial" w:eastAsia="Times New Roman" w:hAnsi="Arial" w:cs="Arial"/>
          <w:kern w:val="0"/>
          <w:lang w:eastAsia="en-GB"/>
          <w14:ligatures w14:val="none"/>
        </w:rPr>
        <w:t>), care may be dangerous in the absence of a common communication loop. As an illustration, when the SALT alters the texture of food taken by the user to prevent its choking, however, the social care worker is not aware, the user may end up choking. Good PW at home should also have as its features frequent MDT meetings and, most importantly, a common digital record, which everyone involved can access in real-time</w:t>
      </w:r>
      <w:r w:rsidR="00866FAF" w:rsidRPr="00866FAF">
        <w:rPr>
          <w:rFonts w:ascii="Arial" w:eastAsia="Times New Roman" w:hAnsi="Arial" w:cs="Arial"/>
          <w:kern w:val="0"/>
          <w:lang w:eastAsia="en-GB"/>
          <w14:ligatures w14:val="none"/>
        </w:rPr>
        <w:t>.</w:t>
      </w:r>
    </w:p>
    <w:p w14:paraId="06D55988"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5C7DC96D" w14:textId="77777777" w:rsidR="00866FAF" w:rsidRPr="00866FAF" w:rsidRDefault="00866FAF" w:rsidP="002A6A4F">
      <w:pPr>
        <w:spacing w:after="120" w:line="360" w:lineRule="auto"/>
        <w:jc w:val="both"/>
        <w:outlineLvl w:val="2"/>
        <w:rPr>
          <w:rFonts w:ascii="Arial" w:eastAsia="Times New Roman" w:hAnsi="Arial" w:cs="Arial"/>
          <w:b/>
          <w:bCs/>
          <w:kern w:val="0"/>
          <w:lang w:eastAsia="en-GB"/>
          <w14:ligatures w14:val="none"/>
        </w:rPr>
      </w:pPr>
      <w:bookmarkStart w:id="6" w:name="_Toc222187867"/>
      <w:r w:rsidRPr="00866FAF">
        <w:rPr>
          <w:rFonts w:ascii="Arial" w:eastAsia="Times New Roman" w:hAnsi="Arial" w:cs="Arial"/>
          <w:b/>
          <w:bCs/>
          <w:kern w:val="0"/>
          <w:lang w:eastAsia="en-GB"/>
          <w14:ligatures w14:val="none"/>
        </w:rPr>
        <w:t>7.0 Policy and Legislation in Relation to PCC and PW</w:t>
      </w:r>
      <w:bookmarkEnd w:id="6"/>
    </w:p>
    <w:p w14:paraId="60A5339C" w14:textId="77777777" w:rsidR="00866FAF" w:rsidRPr="00664B1F" w:rsidRDefault="00866FAF" w:rsidP="002A6A4F">
      <w:pPr>
        <w:spacing w:after="240" w:line="360" w:lineRule="auto"/>
        <w:jc w:val="both"/>
        <w:rPr>
          <w:rFonts w:ascii="Arial" w:eastAsia="Times New Roman" w:hAnsi="Arial" w:cs="Arial"/>
          <w:kern w:val="0"/>
          <w:lang w:eastAsia="en-GB"/>
          <w14:ligatures w14:val="none"/>
        </w:rPr>
      </w:pPr>
      <w:r w:rsidRPr="00866FAF">
        <w:rPr>
          <w:rFonts w:ascii="Arial" w:eastAsia="Times New Roman" w:hAnsi="Arial" w:cs="Arial"/>
          <w:kern w:val="0"/>
          <w:lang w:eastAsia="en-GB"/>
          <w14:ligatures w14:val="none"/>
        </w:rPr>
        <w:t>In the UK, PCC and PW are mandated by a robust legislative framework that seeks to break down the barriers between health and social care.</w:t>
      </w:r>
    </w:p>
    <w:p w14:paraId="6DCA8314"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3CB9DFC8"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t>7.1 The Care Act 2014</w:t>
      </w:r>
    </w:p>
    <w:p w14:paraId="41CADC04" w14:textId="3806BD12" w:rsidR="00866FAF" w:rsidRPr="00664B1F" w:rsidRDefault="00A950D6"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The Care Act 2014 is a breakthrough in social care legislation in England. It puts an emphasis on the Well-being Principle, in which local authorities should put into consideration the </w:t>
      </w:r>
      <w:proofErr w:type="spellStart"/>
      <w:r w:rsidRPr="00664B1F">
        <w:rPr>
          <w:rFonts w:ascii="Arial" w:eastAsia="Times New Roman" w:hAnsi="Arial" w:cs="Arial"/>
          <w:kern w:val="0"/>
          <w:lang w:eastAsia="en-GB"/>
          <w14:ligatures w14:val="none"/>
        </w:rPr>
        <w:t>well being</w:t>
      </w:r>
      <w:proofErr w:type="spellEnd"/>
      <w:r w:rsidRPr="00664B1F">
        <w:rPr>
          <w:rFonts w:ascii="Arial" w:eastAsia="Times New Roman" w:hAnsi="Arial" w:cs="Arial"/>
          <w:kern w:val="0"/>
          <w:lang w:eastAsia="en-GB"/>
          <w14:ligatures w14:val="none"/>
        </w:rPr>
        <w:t xml:space="preserve"> of the individual in every interaction. It outlines clearly that care should be person-centred and the authorities have a legal responsibility to collaborate with the concerned colleagues, such as the NHS, the police (Department of Health and Social Care, 2014). This act shifted the </w:t>
      </w:r>
      <w:proofErr w:type="spellStart"/>
      <w:r w:rsidRPr="00664B1F">
        <w:rPr>
          <w:rFonts w:ascii="Arial" w:eastAsia="Times New Roman" w:hAnsi="Arial" w:cs="Arial"/>
          <w:kern w:val="0"/>
          <w:lang w:eastAsia="en-GB"/>
          <w14:ligatures w14:val="none"/>
        </w:rPr>
        <w:t>center</w:t>
      </w:r>
      <w:proofErr w:type="spellEnd"/>
      <w:r w:rsidRPr="00664B1F">
        <w:rPr>
          <w:rFonts w:ascii="Arial" w:eastAsia="Times New Roman" w:hAnsi="Arial" w:cs="Arial"/>
          <w:kern w:val="0"/>
          <w:lang w:eastAsia="en-GB"/>
          <w14:ligatures w14:val="none"/>
        </w:rPr>
        <w:t xml:space="preserve"> of interest on what services are available to what resultant outcomes does the individual desire to bring about.</w:t>
      </w:r>
    </w:p>
    <w:p w14:paraId="25D5FB1D"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1E674F8F" w14:textId="77777777" w:rsidR="00866FAF" w:rsidRPr="00866FAF" w:rsidRDefault="00866FAF" w:rsidP="002A6A4F">
      <w:pPr>
        <w:spacing w:after="120" w:line="360" w:lineRule="auto"/>
        <w:jc w:val="both"/>
        <w:outlineLvl w:val="3"/>
        <w:rPr>
          <w:rFonts w:ascii="Arial" w:eastAsia="Times New Roman" w:hAnsi="Arial" w:cs="Arial"/>
          <w:b/>
          <w:bCs/>
          <w:kern w:val="0"/>
          <w:lang w:eastAsia="en-GB"/>
          <w14:ligatures w14:val="none"/>
        </w:rPr>
      </w:pPr>
      <w:r w:rsidRPr="00866FAF">
        <w:rPr>
          <w:rFonts w:ascii="Arial" w:eastAsia="Times New Roman" w:hAnsi="Arial" w:cs="Arial"/>
          <w:b/>
          <w:bCs/>
          <w:kern w:val="0"/>
          <w:lang w:eastAsia="en-GB"/>
          <w14:ligatures w14:val="none"/>
        </w:rPr>
        <w:t>7.2 The Health and Social Care Act 2022</w:t>
      </w:r>
    </w:p>
    <w:p w14:paraId="7C63ED13" w14:textId="771C41F6" w:rsidR="00866FAF" w:rsidRPr="00664B1F" w:rsidRDefault="00A950D6"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The health and social care act 2022 </w:t>
      </w:r>
      <w:proofErr w:type="gramStart"/>
      <w:r w:rsidRPr="00664B1F">
        <w:rPr>
          <w:rFonts w:ascii="Arial" w:eastAsia="Times New Roman" w:hAnsi="Arial" w:cs="Arial"/>
          <w:kern w:val="0"/>
          <w:lang w:eastAsia="en-GB"/>
          <w14:ligatures w14:val="none"/>
        </w:rPr>
        <w:t>has</w:t>
      </w:r>
      <w:proofErr w:type="gramEnd"/>
      <w:r w:rsidRPr="00664B1F">
        <w:rPr>
          <w:rFonts w:ascii="Arial" w:eastAsia="Times New Roman" w:hAnsi="Arial" w:cs="Arial"/>
          <w:kern w:val="0"/>
          <w:lang w:eastAsia="en-GB"/>
          <w14:ligatures w14:val="none"/>
        </w:rPr>
        <w:t xml:space="preserve"> gone even further to integrate through the creation of Integrated Care Systems (ICSs). These are formal organisations </w:t>
      </w:r>
      <w:r w:rsidRPr="00664B1F">
        <w:rPr>
          <w:rFonts w:ascii="Arial" w:eastAsia="Times New Roman" w:hAnsi="Arial" w:cs="Arial"/>
          <w:kern w:val="0"/>
          <w:lang w:eastAsia="en-GB"/>
          <w14:ligatures w14:val="none"/>
        </w:rPr>
        <w:lastRenderedPageBreak/>
        <w:t xml:space="preserve">comprising the NHS, local government, and voluntary heads to jointly bear the responsibility of planning services and enhancing health </w:t>
      </w:r>
      <w:r w:rsidR="002A6A4F" w:rsidRPr="00664B1F">
        <w:rPr>
          <w:rFonts w:ascii="Arial" w:eastAsia="Times New Roman" w:hAnsi="Arial" w:cs="Arial"/>
          <w:kern w:val="0"/>
          <w:lang w:eastAsia="en-GB"/>
          <w14:ligatures w14:val="none"/>
        </w:rPr>
        <w:t xml:space="preserve">amongst </w:t>
      </w:r>
      <w:r w:rsidRPr="00664B1F">
        <w:rPr>
          <w:rFonts w:ascii="Arial" w:eastAsia="Times New Roman" w:hAnsi="Arial" w:cs="Arial"/>
          <w:kern w:val="0"/>
          <w:lang w:eastAsia="en-GB"/>
          <w14:ligatures w14:val="none"/>
        </w:rPr>
        <w:t>the local residents. According to Humphries (2022), the legislation is claimed to signify the conclusion of the internal market and competition in the NHS, and the imposition of the legal necessity to collaborate and cooperate</w:t>
      </w:r>
      <w:r w:rsidR="00866FAF" w:rsidRPr="00866FAF">
        <w:rPr>
          <w:rFonts w:ascii="Arial" w:eastAsia="Times New Roman" w:hAnsi="Arial" w:cs="Arial"/>
          <w:kern w:val="0"/>
          <w:lang w:eastAsia="en-GB"/>
          <w14:ligatures w14:val="none"/>
        </w:rPr>
        <w:t>.</w:t>
      </w:r>
    </w:p>
    <w:p w14:paraId="3E8124F7" w14:textId="77777777" w:rsidR="00866FAF" w:rsidRPr="00866FAF" w:rsidRDefault="00866FAF" w:rsidP="002A6A4F">
      <w:pPr>
        <w:spacing w:after="240" w:line="360" w:lineRule="auto"/>
        <w:jc w:val="both"/>
        <w:rPr>
          <w:rFonts w:ascii="Arial" w:eastAsia="Times New Roman" w:hAnsi="Arial" w:cs="Arial"/>
          <w:kern w:val="0"/>
          <w:lang w:eastAsia="en-GB"/>
          <w14:ligatures w14:val="none"/>
        </w:rPr>
      </w:pPr>
    </w:p>
    <w:p w14:paraId="208AE0B9" w14:textId="77777777" w:rsidR="00866FAF" w:rsidRPr="00866FAF" w:rsidRDefault="00866FAF" w:rsidP="002A6A4F">
      <w:pPr>
        <w:spacing w:after="120" w:line="360" w:lineRule="auto"/>
        <w:jc w:val="both"/>
        <w:outlineLvl w:val="2"/>
        <w:rPr>
          <w:rFonts w:ascii="Arial" w:eastAsia="Times New Roman" w:hAnsi="Arial" w:cs="Arial"/>
          <w:b/>
          <w:bCs/>
          <w:kern w:val="0"/>
          <w:lang w:eastAsia="en-GB"/>
          <w14:ligatures w14:val="none"/>
        </w:rPr>
      </w:pPr>
      <w:bookmarkStart w:id="7" w:name="_Toc222187868"/>
      <w:r w:rsidRPr="00866FAF">
        <w:rPr>
          <w:rFonts w:ascii="Arial" w:eastAsia="Times New Roman" w:hAnsi="Arial" w:cs="Arial"/>
          <w:b/>
          <w:bCs/>
          <w:kern w:val="0"/>
          <w:lang w:eastAsia="en-GB"/>
          <w14:ligatures w14:val="none"/>
        </w:rPr>
        <w:t>8.0 Recommendations for Future Development in the UK</w:t>
      </w:r>
      <w:bookmarkEnd w:id="7"/>
    </w:p>
    <w:p w14:paraId="0ADBE590" w14:textId="30C2B8D1" w:rsidR="00866FAF" w:rsidRPr="00866FAF" w:rsidRDefault="00A950D6" w:rsidP="002A6A4F">
      <w:pPr>
        <w:spacing w:after="120" w:line="360" w:lineRule="auto"/>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To guarantee the fact that both PCC and PW will develop and be able to cater to the demands of the 21st-century population, the following evidence-based recommendations are offered</w:t>
      </w:r>
      <w:r w:rsidR="00866FAF" w:rsidRPr="00866FAF">
        <w:rPr>
          <w:rFonts w:ascii="Arial" w:eastAsia="Times New Roman" w:hAnsi="Arial" w:cs="Arial"/>
          <w:kern w:val="0"/>
          <w:lang w:eastAsia="en-GB"/>
          <w14:ligatures w14:val="none"/>
        </w:rPr>
        <w:t>:</w:t>
      </w:r>
    </w:p>
    <w:p w14:paraId="31027C50" w14:textId="237C3234" w:rsidR="00866FAF" w:rsidRPr="00866FAF" w:rsidRDefault="00866FAF" w:rsidP="002A6A4F">
      <w:pPr>
        <w:numPr>
          <w:ilvl w:val="0"/>
          <w:numId w:val="12"/>
        </w:numPr>
        <w:spacing w:after="0" w:line="360" w:lineRule="auto"/>
        <w:jc w:val="both"/>
        <w:rPr>
          <w:rFonts w:ascii="Arial" w:eastAsia="Times New Roman" w:hAnsi="Arial" w:cs="Arial"/>
          <w:kern w:val="0"/>
          <w:lang w:eastAsia="en-GB"/>
          <w14:ligatures w14:val="none"/>
        </w:rPr>
      </w:pPr>
      <w:r w:rsidRPr="00866FAF">
        <w:rPr>
          <w:rFonts w:ascii="Arial" w:eastAsia="Times New Roman" w:hAnsi="Arial" w:cs="Arial"/>
          <w:b/>
          <w:bCs/>
          <w:kern w:val="0"/>
          <w:bdr w:val="none" w:sz="0" w:space="0" w:color="auto" w:frame="1"/>
          <w:lang w:eastAsia="en-GB"/>
          <w14:ligatures w14:val="none"/>
        </w:rPr>
        <w:t>Investment in Interoperable Technology:</w:t>
      </w:r>
      <w:r w:rsidRPr="00866FAF">
        <w:rPr>
          <w:rFonts w:ascii="Arial" w:eastAsia="Times New Roman" w:hAnsi="Arial" w:cs="Arial"/>
          <w:kern w:val="0"/>
          <w:lang w:eastAsia="en-GB"/>
          <w14:ligatures w14:val="none"/>
        </w:rPr>
        <w:t xml:space="preserve"> </w:t>
      </w:r>
      <w:r w:rsidR="00A950D6" w:rsidRPr="00664B1F">
        <w:rPr>
          <w:rFonts w:ascii="Arial" w:eastAsia="Times New Roman" w:hAnsi="Arial" w:cs="Arial"/>
          <w:kern w:val="0"/>
          <w:lang w:eastAsia="en-GB"/>
          <w14:ligatures w14:val="none"/>
        </w:rPr>
        <w:t>The UK government needs to focus on a single and unified digital health and care record. At the moment, NHS medical records cannot be viewed or accessed by a number of social care providers, so potential information gaps pose a danger. Every partner should be given the same information simultaneously, as a record listed about the individual should be carried around (National Audit Office, 2023</w:t>
      </w:r>
      <w:r w:rsidRPr="00866FAF">
        <w:rPr>
          <w:rFonts w:ascii="Arial" w:eastAsia="Times New Roman" w:hAnsi="Arial" w:cs="Arial"/>
          <w:kern w:val="0"/>
          <w:lang w:eastAsia="en-GB"/>
          <w14:ligatures w14:val="none"/>
        </w:rPr>
        <w:t>).</w:t>
      </w:r>
    </w:p>
    <w:p w14:paraId="4767C8FA" w14:textId="11285D94" w:rsidR="00866FAF" w:rsidRPr="00866FAF" w:rsidRDefault="00866FAF" w:rsidP="002A6A4F">
      <w:pPr>
        <w:numPr>
          <w:ilvl w:val="0"/>
          <w:numId w:val="12"/>
        </w:numPr>
        <w:spacing w:after="0" w:line="360" w:lineRule="auto"/>
        <w:jc w:val="both"/>
        <w:rPr>
          <w:rFonts w:ascii="Arial" w:eastAsia="Times New Roman" w:hAnsi="Arial" w:cs="Arial"/>
          <w:kern w:val="0"/>
          <w:lang w:eastAsia="en-GB"/>
          <w14:ligatures w14:val="none"/>
        </w:rPr>
      </w:pPr>
      <w:r w:rsidRPr="00866FAF">
        <w:rPr>
          <w:rFonts w:ascii="Arial" w:eastAsia="Times New Roman" w:hAnsi="Arial" w:cs="Arial"/>
          <w:b/>
          <w:bCs/>
          <w:kern w:val="0"/>
          <w:bdr w:val="none" w:sz="0" w:space="0" w:color="auto" w:frame="1"/>
          <w:lang w:eastAsia="en-GB"/>
          <w14:ligatures w14:val="none"/>
        </w:rPr>
        <w:t>Shift to Pooled Budgets:</w:t>
      </w:r>
      <w:r w:rsidRPr="00866FAF">
        <w:rPr>
          <w:rFonts w:ascii="Arial" w:eastAsia="Times New Roman" w:hAnsi="Arial" w:cs="Arial"/>
          <w:kern w:val="0"/>
          <w:lang w:eastAsia="en-GB"/>
          <w14:ligatures w14:val="none"/>
        </w:rPr>
        <w:t xml:space="preserve"> </w:t>
      </w:r>
      <w:r w:rsidR="00A950D6" w:rsidRPr="00664B1F">
        <w:rPr>
          <w:rFonts w:ascii="Arial" w:eastAsia="Times New Roman" w:hAnsi="Arial" w:cs="Arial"/>
          <w:kern w:val="0"/>
          <w:lang w:eastAsia="en-GB"/>
          <w14:ligatures w14:val="none"/>
        </w:rPr>
        <w:t>To remove the impediment of cost-shifting, the UK must switch to a more common usage of the Better Care Fund. With health and social care having a single budget, they will have been encouraged to invest in preventative, person-centred social care that will eventually save the NHS money</w:t>
      </w:r>
      <w:r w:rsidRPr="00866FAF">
        <w:rPr>
          <w:rFonts w:ascii="Arial" w:eastAsia="Times New Roman" w:hAnsi="Arial" w:cs="Arial"/>
          <w:kern w:val="0"/>
          <w:lang w:eastAsia="en-GB"/>
          <w14:ligatures w14:val="none"/>
        </w:rPr>
        <w:t>.</w:t>
      </w:r>
    </w:p>
    <w:p w14:paraId="7395F655" w14:textId="787F7301" w:rsidR="00866FAF" w:rsidRPr="00664B1F" w:rsidRDefault="00866FAF" w:rsidP="002A6A4F">
      <w:pPr>
        <w:numPr>
          <w:ilvl w:val="0"/>
          <w:numId w:val="12"/>
        </w:numPr>
        <w:spacing w:after="0" w:line="360" w:lineRule="auto"/>
        <w:jc w:val="both"/>
        <w:rPr>
          <w:rFonts w:ascii="Arial" w:eastAsia="Times New Roman" w:hAnsi="Arial" w:cs="Arial"/>
          <w:kern w:val="0"/>
          <w:lang w:eastAsia="en-GB"/>
          <w14:ligatures w14:val="none"/>
        </w:rPr>
      </w:pPr>
      <w:r w:rsidRPr="00866FAF">
        <w:rPr>
          <w:rFonts w:ascii="Arial" w:eastAsia="Times New Roman" w:hAnsi="Arial" w:cs="Arial"/>
          <w:b/>
          <w:bCs/>
          <w:kern w:val="0"/>
          <w:bdr w:val="none" w:sz="0" w:space="0" w:color="auto" w:frame="1"/>
          <w:lang w:eastAsia="en-GB"/>
          <w14:ligatures w14:val="none"/>
        </w:rPr>
        <w:t>Culture and Workforce Training:</w:t>
      </w:r>
      <w:r w:rsidRPr="00866FAF">
        <w:rPr>
          <w:rFonts w:ascii="Arial" w:eastAsia="Times New Roman" w:hAnsi="Arial" w:cs="Arial"/>
          <w:kern w:val="0"/>
          <w:lang w:eastAsia="en-GB"/>
          <w14:ligatures w14:val="none"/>
        </w:rPr>
        <w:t xml:space="preserve"> </w:t>
      </w:r>
      <w:r w:rsidR="00A950D6" w:rsidRPr="00664B1F">
        <w:rPr>
          <w:rFonts w:ascii="Arial" w:eastAsia="Times New Roman" w:hAnsi="Arial" w:cs="Arial"/>
          <w:kern w:val="0"/>
          <w:lang w:eastAsia="en-GB"/>
          <w14:ligatures w14:val="none"/>
        </w:rPr>
        <w:t xml:space="preserve">We need to abandon the use of training nurses, doctors, and social workers separately. According to </w:t>
      </w:r>
      <w:proofErr w:type="spellStart"/>
      <w:r w:rsidR="002A6A4F" w:rsidRPr="00664B1F">
        <w:rPr>
          <w:rFonts w:ascii="Arial" w:eastAsia="Times New Roman" w:hAnsi="Arial" w:cs="Arial"/>
          <w:kern w:val="0"/>
          <w:lang w:eastAsia="en-GB"/>
          <w14:ligatures w14:val="none"/>
        </w:rPr>
        <w:t>Bogossian</w:t>
      </w:r>
      <w:proofErr w:type="spellEnd"/>
      <w:r w:rsidR="002A6A4F" w:rsidRPr="00664B1F">
        <w:rPr>
          <w:rFonts w:ascii="Arial" w:eastAsia="Times New Roman" w:hAnsi="Arial" w:cs="Arial"/>
          <w:kern w:val="0"/>
          <w:lang w:eastAsia="en-GB"/>
          <w14:ligatures w14:val="none"/>
        </w:rPr>
        <w:t xml:space="preserve"> et al., </w:t>
      </w:r>
      <w:r w:rsidR="00A950D6" w:rsidRPr="00664B1F">
        <w:rPr>
          <w:rFonts w:ascii="Arial" w:eastAsia="Times New Roman" w:hAnsi="Arial" w:cs="Arial"/>
          <w:kern w:val="0"/>
          <w:lang w:eastAsia="en-GB"/>
          <w14:ligatures w14:val="none"/>
        </w:rPr>
        <w:t>(20</w:t>
      </w:r>
      <w:r w:rsidR="002A6A4F" w:rsidRPr="00664B1F">
        <w:rPr>
          <w:rFonts w:ascii="Arial" w:eastAsia="Times New Roman" w:hAnsi="Arial" w:cs="Arial"/>
          <w:kern w:val="0"/>
          <w:lang w:eastAsia="en-GB"/>
          <w14:ligatures w14:val="none"/>
        </w:rPr>
        <w:t>2</w:t>
      </w:r>
      <w:r w:rsidR="00A950D6" w:rsidRPr="00664B1F">
        <w:rPr>
          <w:rFonts w:ascii="Arial" w:eastAsia="Times New Roman" w:hAnsi="Arial" w:cs="Arial"/>
          <w:kern w:val="0"/>
          <w:lang w:eastAsia="en-GB"/>
          <w14:ligatures w14:val="none"/>
        </w:rPr>
        <w:t xml:space="preserve">3), inter-professional education must be compulsory. When students study </w:t>
      </w:r>
      <w:proofErr w:type="gramStart"/>
      <w:r w:rsidR="00A950D6" w:rsidRPr="00664B1F">
        <w:rPr>
          <w:rFonts w:ascii="Arial" w:eastAsia="Times New Roman" w:hAnsi="Arial" w:cs="Arial"/>
          <w:kern w:val="0"/>
          <w:lang w:eastAsia="en-GB"/>
          <w14:ligatures w14:val="none"/>
        </w:rPr>
        <w:t>together</w:t>
      </w:r>
      <w:proofErr w:type="gramEnd"/>
      <w:r w:rsidR="00A950D6" w:rsidRPr="00664B1F">
        <w:rPr>
          <w:rFonts w:ascii="Arial" w:eastAsia="Times New Roman" w:hAnsi="Arial" w:cs="Arial"/>
          <w:kern w:val="0"/>
          <w:lang w:eastAsia="en-GB"/>
          <w14:ligatures w14:val="none"/>
        </w:rPr>
        <w:t xml:space="preserve"> they would have a higher possibility of working in partnerships once they qualify. In this training, the soft skills of PCC empathy, active listening, and shared decision-making should be stressed</w:t>
      </w:r>
      <w:r w:rsidRPr="00866FAF">
        <w:rPr>
          <w:rFonts w:ascii="Arial" w:eastAsia="Times New Roman" w:hAnsi="Arial" w:cs="Arial"/>
          <w:kern w:val="0"/>
          <w:lang w:eastAsia="en-GB"/>
          <w14:ligatures w14:val="none"/>
        </w:rPr>
        <w:t>.</w:t>
      </w:r>
    </w:p>
    <w:p w14:paraId="2AEA557F" w14:textId="77777777" w:rsidR="00866FAF" w:rsidRPr="00866FAF" w:rsidRDefault="00866FAF" w:rsidP="002A6A4F">
      <w:pPr>
        <w:spacing w:after="0" w:line="360" w:lineRule="auto"/>
        <w:ind w:left="720"/>
        <w:jc w:val="both"/>
        <w:rPr>
          <w:rFonts w:ascii="Arial" w:eastAsia="Times New Roman" w:hAnsi="Arial" w:cs="Arial"/>
          <w:kern w:val="0"/>
          <w:lang w:eastAsia="en-GB"/>
          <w14:ligatures w14:val="none"/>
        </w:rPr>
      </w:pPr>
    </w:p>
    <w:p w14:paraId="5B182113" w14:textId="77777777" w:rsidR="00866FAF" w:rsidRPr="00866FAF" w:rsidRDefault="00866FAF" w:rsidP="002A6A4F">
      <w:pPr>
        <w:spacing w:after="120" w:line="360" w:lineRule="auto"/>
        <w:jc w:val="both"/>
        <w:outlineLvl w:val="2"/>
        <w:rPr>
          <w:rFonts w:ascii="Arial" w:eastAsia="Times New Roman" w:hAnsi="Arial" w:cs="Arial"/>
          <w:b/>
          <w:bCs/>
          <w:kern w:val="0"/>
          <w:lang w:eastAsia="en-GB"/>
          <w14:ligatures w14:val="none"/>
        </w:rPr>
      </w:pPr>
      <w:bookmarkStart w:id="8" w:name="_Toc222187869"/>
      <w:r w:rsidRPr="00866FAF">
        <w:rPr>
          <w:rFonts w:ascii="Arial" w:eastAsia="Times New Roman" w:hAnsi="Arial" w:cs="Arial"/>
          <w:b/>
          <w:bCs/>
          <w:kern w:val="0"/>
          <w:lang w:eastAsia="en-GB"/>
          <w14:ligatures w14:val="none"/>
        </w:rPr>
        <w:t>9.0 Conclusion</w:t>
      </w:r>
      <w:bookmarkEnd w:id="8"/>
    </w:p>
    <w:p w14:paraId="53AC2773" w14:textId="77777777" w:rsidR="00A950D6" w:rsidRPr="00664B1F" w:rsidRDefault="00A950D6"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The key aspects of Person-Centred Care and Partnership Working have been assessed in this report. As can be observed, the two concepts are the two sides of the same coin. PCC offers the philosophical objective of treating a human being behind </w:t>
      </w:r>
      <w:r w:rsidRPr="00664B1F">
        <w:rPr>
          <w:rFonts w:ascii="Arial" w:eastAsia="Times New Roman" w:hAnsi="Arial" w:cs="Arial"/>
          <w:kern w:val="0"/>
          <w:lang w:eastAsia="en-GB"/>
          <w14:ligatures w14:val="none"/>
        </w:rPr>
        <w:lastRenderedPageBreak/>
        <w:t>the patient which PW offers the template to achieve that care in a complicated system of providers.</w:t>
      </w:r>
    </w:p>
    <w:p w14:paraId="3B6F487D" w14:textId="5626637D" w:rsidR="00866FAF" w:rsidRPr="00866FAF" w:rsidRDefault="00A950D6" w:rsidP="002A6A4F">
      <w:pPr>
        <w:spacing w:after="240" w:line="360" w:lineRule="auto"/>
        <w:ind w:firstLine="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Although the theoretical models such as that of </w:t>
      </w:r>
      <w:proofErr w:type="spellStart"/>
      <w:r w:rsidRPr="00664B1F">
        <w:rPr>
          <w:rFonts w:ascii="Arial" w:eastAsia="Times New Roman" w:hAnsi="Arial" w:cs="Arial"/>
          <w:kern w:val="0"/>
          <w:lang w:eastAsia="en-GB"/>
          <w14:ligatures w14:val="none"/>
        </w:rPr>
        <w:t>Kitwoods</w:t>
      </w:r>
      <w:proofErr w:type="spellEnd"/>
      <w:r w:rsidRPr="00664B1F">
        <w:rPr>
          <w:rFonts w:ascii="Arial" w:eastAsia="Times New Roman" w:hAnsi="Arial" w:cs="Arial"/>
          <w:kern w:val="0"/>
          <w:lang w:eastAsia="en-GB"/>
          <w14:ligatures w14:val="none"/>
        </w:rPr>
        <w:t xml:space="preserve"> offer an efficient roadmap on person-centredness, and the legislation such as the Care Act 2014 offers a legal requirement, the practical reality is usually compromised due to underfunding and disjointed systems. Yet with the guidance of the digital integration, shared financing, and shared education, the UK can develop a health and social care system that is actually fit to purpose that is, the service user is not only a passive consumer of care, but a respected and empowered partner</w:t>
      </w:r>
      <w:r w:rsidR="00866FAF" w:rsidRPr="00866FAF">
        <w:rPr>
          <w:rFonts w:ascii="Arial" w:eastAsia="Times New Roman" w:hAnsi="Arial" w:cs="Arial"/>
          <w:kern w:val="0"/>
          <w:lang w:eastAsia="en-GB"/>
          <w14:ligatures w14:val="none"/>
        </w:rPr>
        <w:t>.</w:t>
      </w:r>
    </w:p>
    <w:p w14:paraId="24993DB6" w14:textId="77777777" w:rsidR="00866FAF" w:rsidRPr="00664B1F" w:rsidRDefault="00866FAF" w:rsidP="002A6A4F">
      <w:pPr>
        <w:spacing w:line="360" w:lineRule="auto"/>
        <w:rPr>
          <w:rFonts w:ascii="Arial" w:eastAsia="Times New Roman" w:hAnsi="Arial" w:cs="Arial"/>
          <w:b/>
          <w:bCs/>
          <w:kern w:val="0"/>
          <w:lang w:eastAsia="en-GB"/>
          <w14:ligatures w14:val="none"/>
        </w:rPr>
      </w:pPr>
      <w:r w:rsidRPr="00664B1F">
        <w:rPr>
          <w:rFonts w:ascii="Arial" w:eastAsia="Times New Roman" w:hAnsi="Arial" w:cs="Arial"/>
          <w:b/>
          <w:bCs/>
          <w:kern w:val="0"/>
          <w:lang w:eastAsia="en-GB"/>
          <w14:ligatures w14:val="none"/>
        </w:rPr>
        <w:br w:type="page"/>
      </w:r>
    </w:p>
    <w:p w14:paraId="373CA520" w14:textId="3E1772BB" w:rsidR="00866FAF" w:rsidRPr="00866FAF" w:rsidRDefault="00866FAF" w:rsidP="002A6A4F">
      <w:pPr>
        <w:spacing w:after="120" w:line="360" w:lineRule="auto"/>
        <w:outlineLvl w:val="2"/>
        <w:rPr>
          <w:rFonts w:ascii="Arial" w:eastAsia="Times New Roman" w:hAnsi="Arial" w:cs="Arial"/>
          <w:b/>
          <w:bCs/>
          <w:kern w:val="0"/>
          <w:lang w:eastAsia="en-GB"/>
          <w14:ligatures w14:val="none"/>
        </w:rPr>
      </w:pPr>
      <w:bookmarkStart w:id="9" w:name="_Toc222187870"/>
      <w:r w:rsidRPr="00866FAF">
        <w:rPr>
          <w:rFonts w:ascii="Arial" w:eastAsia="Times New Roman" w:hAnsi="Arial" w:cs="Arial"/>
          <w:b/>
          <w:bCs/>
          <w:kern w:val="0"/>
          <w:lang w:eastAsia="en-GB"/>
          <w14:ligatures w14:val="none"/>
        </w:rPr>
        <w:lastRenderedPageBreak/>
        <w:t>10.0 References</w:t>
      </w:r>
      <w:bookmarkEnd w:id="9"/>
    </w:p>
    <w:p w14:paraId="7C6A7456"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Ali, O. and Bradburn, M., 2018. Professionalism. Surgery (Oxford), 36(9), pp.443-447.</w:t>
      </w:r>
    </w:p>
    <w:p w14:paraId="1AFE0127"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proofErr w:type="spellStart"/>
      <w:r w:rsidRPr="00664B1F">
        <w:rPr>
          <w:rFonts w:ascii="Arial" w:eastAsia="Times New Roman" w:hAnsi="Arial" w:cs="Arial"/>
          <w:kern w:val="0"/>
          <w:lang w:eastAsia="en-GB"/>
          <w14:ligatures w14:val="none"/>
        </w:rPr>
        <w:t>Bogossian</w:t>
      </w:r>
      <w:proofErr w:type="spellEnd"/>
      <w:r w:rsidRPr="00664B1F">
        <w:rPr>
          <w:rFonts w:ascii="Arial" w:eastAsia="Times New Roman" w:hAnsi="Arial" w:cs="Arial"/>
          <w:kern w:val="0"/>
          <w:lang w:eastAsia="en-GB"/>
          <w14:ligatures w14:val="none"/>
        </w:rPr>
        <w:t xml:space="preserve">, F., New, K., George, K., Barr, N., Dodd, N., Hamilton, A.L., Nash, G., Masters, N., Pelly, F., Reid, C. and </w:t>
      </w:r>
      <w:proofErr w:type="spellStart"/>
      <w:r w:rsidRPr="00664B1F">
        <w:rPr>
          <w:rFonts w:ascii="Arial" w:eastAsia="Times New Roman" w:hAnsi="Arial" w:cs="Arial"/>
          <w:kern w:val="0"/>
          <w:lang w:eastAsia="en-GB"/>
          <w14:ligatures w14:val="none"/>
        </w:rPr>
        <w:t>Shakhovskoy</w:t>
      </w:r>
      <w:proofErr w:type="spellEnd"/>
      <w:r w:rsidRPr="00664B1F">
        <w:rPr>
          <w:rFonts w:ascii="Arial" w:eastAsia="Times New Roman" w:hAnsi="Arial" w:cs="Arial"/>
          <w:kern w:val="0"/>
          <w:lang w:eastAsia="en-GB"/>
          <w14:ligatures w14:val="none"/>
        </w:rPr>
        <w:t>, R., 2023. The implementation of interprofessional education: a scoping review. Advances in Health Sciences Education, 28(1), pp.243-277.</w:t>
      </w:r>
    </w:p>
    <w:p w14:paraId="1D7EFD07"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proofErr w:type="spellStart"/>
      <w:r w:rsidRPr="00664B1F">
        <w:rPr>
          <w:rFonts w:ascii="Arial" w:eastAsia="Times New Roman" w:hAnsi="Arial" w:cs="Arial"/>
          <w:kern w:val="0"/>
          <w:lang w:eastAsia="en-GB"/>
          <w14:ligatures w14:val="none"/>
        </w:rPr>
        <w:t>Bogossian</w:t>
      </w:r>
      <w:proofErr w:type="spellEnd"/>
      <w:r w:rsidRPr="00664B1F">
        <w:rPr>
          <w:rFonts w:ascii="Arial" w:eastAsia="Times New Roman" w:hAnsi="Arial" w:cs="Arial"/>
          <w:kern w:val="0"/>
          <w:lang w:eastAsia="en-GB"/>
          <w14:ligatures w14:val="none"/>
        </w:rPr>
        <w:t xml:space="preserve">, F., New, K., George, K., Barr, N., Dodd, N., Hamilton, A.L., Nash, G., Masters, N., Pelly, F., Reid, C. and </w:t>
      </w:r>
      <w:proofErr w:type="spellStart"/>
      <w:r w:rsidRPr="00664B1F">
        <w:rPr>
          <w:rFonts w:ascii="Arial" w:eastAsia="Times New Roman" w:hAnsi="Arial" w:cs="Arial"/>
          <w:kern w:val="0"/>
          <w:lang w:eastAsia="en-GB"/>
          <w14:ligatures w14:val="none"/>
        </w:rPr>
        <w:t>Shakhovskoy</w:t>
      </w:r>
      <w:proofErr w:type="spellEnd"/>
      <w:r w:rsidRPr="00664B1F">
        <w:rPr>
          <w:rFonts w:ascii="Arial" w:eastAsia="Times New Roman" w:hAnsi="Arial" w:cs="Arial"/>
          <w:kern w:val="0"/>
          <w:lang w:eastAsia="en-GB"/>
          <w14:ligatures w14:val="none"/>
        </w:rPr>
        <w:t>, R., 2023. The implementation of interprofessional education: a scoping review. Advances in Health Sciences Education, 28(1), pp.243-277.</w:t>
      </w:r>
    </w:p>
    <w:p w14:paraId="2BBDB070"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Childress, J.F. and Beauchamp, T.L., 2022. Common morality principles in biomedical ethics: responses to critics. Cambridge Quarterly of Healthcare Ethics, 31(2), pp.164-176.</w:t>
      </w:r>
    </w:p>
    <w:p w14:paraId="272689B0"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Department of Health and Social Care (2014). Care Act 2014: Guidance. Available at: https://www.gov.uk/government/publications/care-act-statutory-guidance </w:t>
      </w:r>
    </w:p>
    <w:p w14:paraId="0C7CE5FB"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proofErr w:type="spellStart"/>
      <w:r w:rsidRPr="00664B1F">
        <w:rPr>
          <w:rFonts w:ascii="Arial" w:eastAsia="Times New Roman" w:hAnsi="Arial" w:cs="Arial"/>
          <w:kern w:val="0"/>
          <w:lang w:eastAsia="en-GB"/>
          <w14:ligatures w14:val="none"/>
        </w:rPr>
        <w:t>Dukhu</w:t>
      </w:r>
      <w:proofErr w:type="spellEnd"/>
      <w:r w:rsidRPr="00664B1F">
        <w:rPr>
          <w:rFonts w:ascii="Arial" w:eastAsia="Times New Roman" w:hAnsi="Arial" w:cs="Arial"/>
          <w:kern w:val="0"/>
          <w:lang w:eastAsia="en-GB"/>
          <w14:ligatures w14:val="none"/>
        </w:rPr>
        <w:t xml:space="preserve">, S., Purcell, C. and Bulley, C., 2018. Person-centred care in the physiotherapeutic management of long-term conditions: a critical review of components, barriers and facilitators. Int </w:t>
      </w:r>
      <w:proofErr w:type="spellStart"/>
      <w:r w:rsidRPr="00664B1F">
        <w:rPr>
          <w:rFonts w:ascii="Arial" w:eastAsia="Times New Roman" w:hAnsi="Arial" w:cs="Arial"/>
          <w:kern w:val="0"/>
          <w:lang w:eastAsia="en-GB"/>
          <w14:ligatures w14:val="none"/>
        </w:rPr>
        <w:t>Pract</w:t>
      </w:r>
      <w:proofErr w:type="spellEnd"/>
      <w:r w:rsidRPr="00664B1F">
        <w:rPr>
          <w:rFonts w:ascii="Arial" w:eastAsia="Times New Roman" w:hAnsi="Arial" w:cs="Arial"/>
          <w:kern w:val="0"/>
          <w:lang w:eastAsia="en-GB"/>
          <w14:ligatures w14:val="none"/>
        </w:rPr>
        <w:t xml:space="preserve"> Dev J, 8(2), pp.1-27.</w:t>
      </w:r>
    </w:p>
    <w:p w14:paraId="2E8F74C6"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 xml:space="preserve"> Health Foundation (2016). Person-centred care made simple. London: The Health Foundation. Available at: https://www.health.org.uk/resources-and-toolkits/quick-guides/person-centred-care-made-simple</w:t>
      </w:r>
    </w:p>
    <w:p w14:paraId="507F984F"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Humphries, R., 2022. Ending the social care crisis: A new road to reform. Policy Press.</w:t>
      </w:r>
    </w:p>
    <w:p w14:paraId="4A02FA5F"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proofErr w:type="spellStart"/>
      <w:r w:rsidRPr="00664B1F">
        <w:rPr>
          <w:rFonts w:ascii="Arial" w:eastAsia="Times New Roman" w:hAnsi="Arial" w:cs="Arial"/>
          <w:kern w:val="0"/>
          <w:lang w:eastAsia="en-GB"/>
          <w14:ligatures w14:val="none"/>
        </w:rPr>
        <w:t>Kitwood</w:t>
      </w:r>
      <w:proofErr w:type="spellEnd"/>
      <w:r w:rsidRPr="00664B1F">
        <w:rPr>
          <w:rFonts w:ascii="Arial" w:eastAsia="Times New Roman" w:hAnsi="Arial" w:cs="Arial"/>
          <w:kern w:val="0"/>
          <w:lang w:eastAsia="en-GB"/>
          <w14:ligatures w14:val="none"/>
        </w:rPr>
        <w:t>, T., 1997. Dementia Reconsidered the person comes first Open University Press. Maidenhead.</w:t>
      </w:r>
    </w:p>
    <w:p w14:paraId="6F4BE906" w14:textId="77777777" w:rsidR="002A6A4F" w:rsidRPr="00866FAF" w:rsidRDefault="002A6A4F" w:rsidP="002A6A4F">
      <w:pPr>
        <w:spacing w:after="0" w:line="360" w:lineRule="auto"/>
        <w:ind w:left="720" w:hanging="720"/>
        <w:jc w:val="both"/>
        <w:rPr>
          <w:rFonts w:ascii="Arial" w:eastAsia="Times New Roman" w:hAnsi="Arial" w:cs="Arial"/>
          <w:kern w:val="0"/>
          <w:lang w:eastAsia="en-GB"/>
          <w14:ligatures w14:val="none"/>
        </w:rPr>
      </w:pPr>
      <w:r w:rsidRPr="00866FAF">
        <w:rPr>
          <w:rFonts w:ascii="Arial" w:eastAsia="Times New Roman" w:hAnsi="Arial" w:cs="Arial"/>
          <w:kern w:val="0"/>
          <w:lang w:eastAsia="en-GB"/>
          <w14:ligatures w14:val="none"/>
        </w:rPr>
        <w:t>McCormack, B. and McCance, T.</w:t>
      </w:r>
      <w:r w:rsidRPr="00664B1F">
        <w:rPr>
          <w:rFonts w:ascii="Arial" w:eastAsia="Times New Roman" w:hAnsi="Arial" w:cs="Arial"/>
          <w:kern w:val="0"/>
          <w:lang w:eastAsia="en-GB"/>
          <w14:ligatures w14:val="none"/>
        </w:rPr>
        <w:t xml:space="preserve">, </w:t>
      </w:r>
      <w:r w:rsidRPr="00866FAF">
        <w:rPr>
          <w:rFonts w:ascii="Arial" w:eastAsia="Times New Roman" w:hAnsi="Arial" w:cs="Arial"/>
          <w:kern w:val="0"/>
          <w:lang w:eastAsia="en-GB"/>
          <w14:ligatures w14:val="none"/>
        </w:rPr>
        <w:t xml:space="preserve">2017. </w:t>
      </w:r>
      <w:r w:rsidRPr="00866FAF">
        <w:rPr>
          <w:rFonts w:ascii="Arial" w:eastAsia="Times New Roman" w:hAnsi="Arial" w:cs="Arial"/>
          <w:kern w:val="0"/>
          <w:bdr w:val="none" w:sz="0" w:space="0" w:color="auto" w:frame="1"/>
          <w:lang w:eastAsia="en-GB"/>
          <w14:ligatures w14:val="none"/>
        </w:rPr>
        <w:t>Person-Centred Practice in Nursing and Health Care: Theory and Practice</w:t>
      </w:r>
      <w:r w:rsidRPr="00866FAF">
        <w:rPr>
          <w:rFonts w:ascii="Arial" w:eastAsia="Times New Roman" w:hAnsi="Arial" w:cs="Arial"/>
          <w:kern w:val="0"/>
          <w:lang w:eastAsia="en-GB"/>
          <w14:ligatures w14:val="none"/>
        </w:rPr>
        <w:t xml:space="preserve">. 2nd </w:t>
      </w:r>
      <w:proofErr w:type="spellStart"/>
      <w:r w:rsidRPr="00866FAF">
        <w:rPr>
          <w:rFonts w:ascii="Arial" w:eastAsia="Times New Roman" w:hAnsi="Arial" w:cs="Arial"/>
          <w:kern w:val="0"/>
          <w:lang w:eastAsia="en-GB"/>
          <w14:ligatures w14:val="none"/>
        </w:rPr>
        <w:t>edn</w:t>
      </w:r>
      <w:proofErr w:type="spellEnd"/>
      <w:r w:rsidRPr="00866FAF">
        <w:rPr>
          <w:rFonts w:ascii="Arial" w:eastAsia="Times New Roman" w:hAnsi="Arial" w:cs="Arial"/>
          <w:kern w:val="0"/>
          <w:lang w:eastAsia="en-GB"/>
          <w14:ligatures w14:val="none"/>
        </w:rPr>
        <w:t>. Oxford: Wiley Blackwell.</w:t>
      </w:r>
    </w:p>
    <w:p w14:paraId="4E377534"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National Audit Office (2023). Digital transformation in the NHS. London: NAO. Available at: https://www.nao.org.uk/reports/the-use-of-digital-technology-in-the-nhs/</w:t>
      </w:r>
    </w:p>
    <w:p w14:paraId="409826A1"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proofErr w:type="spellStart"/>
      <w:r w:rsidRPr="00664B1F">
        <w:rPr>
          <w:rFonts w:ascii="Arial" w:eastAsia="Times New Roman" w:hAnsi="Arial" w:cs="Arial"/>
          <w:kern w:val="0"/>
          <w:lang w:eastAsia="en-GB"/>
          <w14:ligatures w14:val="none"/>
        </w:rPr>
        <w:t>Poxton</w:t>
      </w:r>
      <w:proofErr w:type="spellEnd"/>
      <w:r w:rsidRPr="00664B1F">
        <w:rPr>
          <w:rFonts w:ascii="Arial" w:eastAsia="Times New Roman" w:hAnsi="Arial" w:cs="Arial"/>
          <w:kern w:val="0"/>
          <w:lang w:eastAsia="en-GB"/>
          <w14:ligatures w14:val="none"/>
        </w:rPr>
        <w:t xml:space="preserve">, R., 2018. What makes effective partnerships between health and social </w:t>
      </w:r>
      <w:proofErr w:type="gramStart"/>
      <w:r w:rsidRPr="00664B1F">
        <w:rPr>
          <w:rFonts w:ascii="Arial" w:eastAsia="Times New Roman" w:hAnsi="Arial" w:cs="Arial"/>
          <w:kern w:val="0"/>
          <w:lang w:eastAsia="en-GB"/>
          <w14:ligatures w14:val="none"/>
        </w:rPr>
        <w:t>care?.</w:t>
      </w:r>
      <w:proofErr w:type="gramEnd"/>
      <w:r w:rsidRPr="00664B1F">
        <w:rPr>
          <w:rFonts w:ascii="Arial" w:eastAsia="Times New Roman" w:hAnsi="Arial" w:cs="Arial"/>
          <w:kern w:val="0"/>
          <w:lang w:eastAsia="en-GB"/>
          <w14:ligatures w14:val="none"/>
        </w:rPr>
        <w:t xml:space="preserve"> In Care Trusts (pp. 17-28). CRC Press.</w:t>
      </w:r>
    </w:p>
    <w:p w14:paraId="280EC70E"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t>The Health and Social Care Act (2022). Public General Acts. London: The Stationery Office. Available at: https://www.legislation.gov.uk/ukpga/2022/31/2025-07-07</w:t>
      </w:r>
    </w:p>
    <w:p w14:paraId="59F73262" w14:textId="77777777" w:rsidR="002A6A4F" w:rsidRPr="00664B1F" w:rsidRDefault="002A6A4F" w:rsidP="002A6A4F">
      <w:pPr>
        <w:spacing w:after="0" w:line="360" w:lineRule="auto"/>
        <w:ind w:left="720" w:hanging="720"/>
        <w:jc w:val="both"/>
        <w:rPr>
          <w:rFonts w:ascii="Arial" w:eastAsia="Times New Roman" w:hAnsi="Arial" w:cs="Arial"/>
          <w:kern w:val="0"/>
          <w:lang w:eastAsia="en-GB"/>
          <w14:ligatures w14:val="none"/>
        </w:rPr>
      </w:pPr>
      <w:r w:rsidRPr="00664B1F">
        <w:rPr>
          <w:rFonts w:ascii="Arial" w:eastAsia="Times New Roman" w:hAnsi="Arial" w:cs="Arial"/>
          <w:kern w:val="0"/>
          <w:lang w:eastAsia="en-GB"/>
          <w14:ligatures w14:val="none"/>
        </w:rPr>
        <w:lastRenderedPageBreak/>
        <w:t>Willis, L., 2021. Influences on Institutional Care for Insane Women in Surrey 1885 to 1919: Social Construction, Family Agency, and Medical Control.</w:t>
      </w:r>
    </w:p>
    <w:p w14:paraId="183FB998" w14:textId="24506712" w:rsidR="00344F09" w:rsidRPr="00664B1F" w:rsidRDefault="00344F09" w:rsidP="002A6A4F">
      <w:pPr>
        <w:spacing w:line="360" w:lineRule="auto"/>
        <w:jc w:val="both"/>
        <w:rPr>
          <w:rFonts w:ascii="Arial" w:hAnsi="Arial" w:cs="Arial"/>
        </w:rPr>
      </w:pPr>
    </w:p>
    <w:sectPr w:rsidR="00344F09" w:rsidRPr="00664B1F" w:rsidSect="006452C4">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D7354A" w14:textId="77777777" w:rsidR="006A32D3" w:rsidRDefault="006A32D3" w:rsidP="006452C4">
      <w:pPr>
        <w:spacing w:after="0" w:line="240" w:lineRule="auto"/>
      </w:pPr>
      <w:r>
        <w:separator/>
      </w:r>
    </w:p>
  </w:endnote>
  <w:endnote w:type="continuationSeparator" w:id="0">
    <w:p w14:paraId="32C5B836" w14:textId="77777777" w:rsidR="006A32D3" w:rsidRDefault="006A32D3" w:rsidP="00645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7FE19" w14:textId="77777777" w:rsidR="006A32D3" w:rsidRDefault="006A32D3" w:rsidP="006452C4">
      <w:pPr>
        <w:spacing w:after="0" w:line="240" w:lineRule="auto"/>
      </w:pPr>
      <w:r>
        <w:separator/>
      </w:r>
    </w:p>
  </w:footnote>
  <w:footnote w:type="continuationSeparator" w:id="0">
    <w:p w14:paraId="2A55D33A" w14:textId="77777777" w:rsidR="006A32D3" w:rsidRDefault="006A32D3" w:rsidP="006452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119448577"/>
      <w:docPartObj>
        <w:docPartGallery w:val="Page Numbers (Top of Page)"/>
        <w:docPartUnique/>
      </w:docPartObj>
    </w:sdtPr>
    <w:sdtEndPr>
      <w:rPr>
        <w:noProof/>
      </w:rPr>
    </w:sdtEndPr>
    <w:sdtContent>
      <w:p w14:paraId="48AD5D4E" w14:textId="0AE71881" w:rsidR="006452C4" w:rsidRPr="006452C4" w:rsidRDefault="006452C4">
        <w:pPr>
          <w:pStyle w:val="Header"/>
          <w:jc w:val="right"/>
          <w:rPr>
            <w:rFonts w:ascii="Arial" w:hAnsi="Arial" w:cs="Arial"/>
          </w:rPr>
        </w:pPr>
        <w:r w:rsidRPr="006452C4">
          <w:rPr>
            <w:rFonts w:ascii="Arial" w:hAnsi="Arial" w:cs="Arial"/>
          </w:rPr>
          <w:fldChar w:fldCharType="begin"/>
        </w:r>
        <w:r w:rsidRPr="006452C4">
          <w:rPr>
            <w:rFonts w:ascii="Arial" w:hAnsi="Arial" w:cs="Arial"/>
          </w:rPr>
          <w:instrText xml:space="preserve"> PAGE   \* MERGEFORMAT </w:instrText>
        </w:r>
        <w:r w:rsidRPr="006452C4">
          <w:rPr>
            <w:rFonts w:ascii="Arial" w:hAnsi="Arial" w:cs="Arial"/>
          </w:rPr>
          <w:fldChar w:fldCharType="separate"/>
        </w:r>
        <w:r w:rsidRPr="006452C4">
          <w:rPr>
            <w:rFonts w:ascii="Arial" w:hAnsi="Arial" w:cs="Arial"/>
            <w:noProof/>
          </w:rPr>
          <w:t>2</w:t>
        </w:r>
        <w:r w:rsidRPr="006452C4">
          <w:rPr>
            <w:rFonts w:ascii="Arial" w:hAnsi="Arial" w:cs="Arial"/>
            <w:noProof/>
          </w:rPr>
          <w:fldChar w:fldCharType="end"/>
        </w:r>
      </w:p>
    </w:sdtContent>
  </w:sdt>
  <w:p w14:paraId="27210D93" w14:textId="77777777" w:rsidR="006452C4" w:rsidRPr="006452C4" w:rsidRDefault="006452C4">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F66AA"/>
    <w:multiLevelType w:val="multilevel"/>
    <w:tmpl w:val="AA9C9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0E451D"/>
    <w:multiLevelType w:val="multilevel"/>
    <w:tmpl w:val="4E488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1C0DC9"/>
    <w:multiLevelType w:val="multilevel"/>
    <w:tmpl w:val="20D2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4F7C47"/>
    <w:multiLevelType w:val="multilevel"/>
    <w:tmpl w:val="1AFA6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AC4883"/>
    <w:multiLevelType w:val="multilevel"/>
    <w:tmpl w:val="3F68E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A96064"/>
    <w:multiLevelType w:val="hybridMultilevel"/>
    <w:tmpl w:val="4F6E9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C479FF"/>
    <w:multiLevelType w:val="multilevel"/>
    <w:tmpl w:val="1EDAF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7D727E"/>
    <w:multiLevelType w:val="multilevel"/>
    <w:tmpl w:val="20583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C913EE"/>
    <w:multiLevelType w:val="multilevel"/>
    <w:tmpl w:val="9802F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1E5A55"/>
    <w:multiLevelType w:val="multilevel"/>
    <w:tmpl w:val="6B6ED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5F5654"/>
    <w:multiLevelType w:val="multilevel"/>
    <w:tmpl w:val="5F3AB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0D6A57"/>
    <w:multiLevelType w:val="hybridMultilevel"/>
    <w:tmpl w:val="A5EE3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BC5229"/>
    <w:multiLevelType w:val="multilevel"/>
    <w:tmpl w:val="4C98C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0041479">
    <w:abstractNumId w:val="5"/>
  </w:num>
  <w:num w:numId="2" w16cid:durableId="1223057647">
    <w:abstractNumId w:val="2"/>
  </w:num>
  <w:num w:numId="3" w16cid:durableId="85276614">
    <w:abstractNumId w:val="11"/>
  </w:num>
  <w:num w:numId="4" w16cid:durableId="293871017">
    <w:abstractNumId w:val="7"/>
  </w:num>
  <w:num w:numId="5" w16cid:durableId="2072338822">
    <w:abstractNumId w:val="4"/>
  </w:num>
  <w:num w:numId="6" w16cid:durableId="1928272291">
    <w:abstractNumId w:val="0"/>
  </w:num>
  <w:num w:numId="7" w16cid:durableId="808480314">
    <w:abstractNumId w:val="6"/>
  </w:num>
  <w:num w:numId="8" w16cid:durableId="1758162678">
    <w:abstractNumId w:val="12"/>
  </w:num>
  <w:num w:numId="9" w16cid:durableId="54478419">
    <w:abstractNumId w:val="3"/>
  </w:num>
  <w:num w:numId="10" w16cid:durableId="377239457">
    <w:abstractNumId w:val="1"/>
  </w:num>
  <w:num w:numId="11" w16cid:durableId="1412969900">
    <w:abstractNumId w:val="10"/>
  </w:num>
  <w:num w:numId="12" w16cid:durableId="1476989822">
    <w:abstractNumId w:val="8"/>
  </w:num>
  <w:num w:numId="13" w16cid:durableId="4928439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95B"/>
    <w:rsid w:val="00163BC9"/>
    <w:rsid w:val="0028151F"/>
    <w:rsid w:val="002A6A4F"/>
    <w:rsid w:val="00340B38"/>
    <w:rsid w:val="00344F09"/>
    <w:rsid w:val="005A3C6D"/>
    <w:rsid w:val="00604D3B"/>
    <w:rsid w:val="006452C4"/>
    <w:rsid w:val="00664B1F"/>
    <w:rsid w:val="006844E2"/>
    <w:rsid w:val="006A32D3"/>
    <w:rsid w:val="006C6227"/>
    <w:rsid w:val="00866FAF"/>
    <w:rsid w:val="008E1FDB"/>
    <w:rsid w:val="00913976"/>
    <w:rsid w:val="00930324"/>
    <w:rsid w:val="009D7D8C"/>
    <w:rsid w:val="00A950D6"/>
    <w:rsid w:val="00CD50F5"/>
    <w:rsid w:val="00D00107"/>
    <w:rsid w:val="00F8595B"/>
    <w:rsid w:val="00FC5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13A1A"/>
  <w15:chartTrackingRefBased/>
  <w15:docId w15:val="{49FF686F-2FD0-49BB-BD8B-E4A541B50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95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8595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595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595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595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59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59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59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59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95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59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595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595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595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59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59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59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595B"/>
    <w:rPr>
      <w:rFonts w:eastAsiaTheme="majorEastAsia" w:cstheme="majorBidi"/>
      <w:color w:val="272727" w:themeColor="text1" w:themeTint="D8"/>
    </w:rPr>
  </w:style>
  <w:style w:type="paragraph" w:styleId="Title">
    <w:name w:val="Title"/>
    <w:basedOn w:val="Normal"/>
    <w:next w:val="Normal"/>
    <w:link w:val="TitleChar"/>
    <w:uiPriority w:val="10"/>
    <w:qFormat/>
    <w:rsid w:val="00F859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59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59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59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595B"/>
    <w:pPr>
      <w:spacing w:before="160"/>
      <w:jc w:val="center"/>
    </w:pPr>
    <w:rPr>
      <w:i/>
      <w:iCs/>
      <w:color w:val="404040" w:themeColor="text1" w:themeTint="BF"/>
    </w:rPr>
  </w:style>
  <w:style w:type="character" w:customStyle="1" w:styleId="QuoteChar">
    <w:name w:val="Quote Char"/>
    <w:basedOn w:val="DefaultParagraphFont"/>
    <w:link w:val="Quote"/>
    <w:uiPriority w:val="29"/>
    <w:rsid w:val="00F8595B"/>
    <w:rPr>
      <w:i/>
      <w:iCs/>
      <w:color w:val="404040" w:themeColor="text1" w:themeTint="BF"/>
    </w:rPr>
  </w:style>
  <w:style w:type="paragraph" w:styleId="ListParagraph">
    <w:name w:val="List Paragraph"/>
    <w:basedOn w:val="Normal"/>
    <w:uiPriority w:val="34"/>
    <w:qFormat/>
    <w:rsid w:val="00F8595B"/>
    <w:pPr>
      <w:ind w:left="720"/>
      <w:contextualSpacing/>
    </w:pPr>
  </w:style>
  <w:style w:type="character" w:styleId="IntenseEmphasis">
    <w:name w:val="Intense Emphasis"/>
    <w:basedOn w:val="DefaultParagraphFont"/>
    <w:uiPriority w:val="21"/>
    <w:qFormat/>
    <w:rsid w:val="00F8595B"/>
    <w:rPr>
      <w:i/>
      <w:iCs/>
      <w:color w:val="2F5496" w:themeColor="accent1" w:themeShade="BF"/>
    </w:rPr>
  </w:style>
  <w:style w:type="paragraph" w:styleId="IntenseQuote">
    <w:name w:val="Intense Quote"/>
    <w:basedOn w:val="Normal"/>
    <w:next w:val="Normal"/>
    <w:link w:val="IntenseQuoteChar"/>
    <w:uiPriority w:val="30"/>
    <w:qFormat/>
    <w:rsid w:val="00F859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595B"/>
    <w:rPr>
      <w:i/>
      <w:iCs/>
      <w:color w:val="2F5496" w:themeColor="accent1" w:themeShade="BF"/>
    </w:rPr>
  </w:style>
  <w:style w:type="character" w:styleId="IntenseReference">
    <w:name w:val="Intense Reference"/>
    <w:basedOn w:val="DefaultParagraphFont"/>
    <w:uiPriority w:val="32"/>
    <w:qFormat/>
    <w:rsid w:val="00F8595B"/>
    <w:rPr>
      <w:b/>
      <w:bCs/>
      <w:smallCaps/>
      <w:color w:val="2F5496" w:themeColor="accent1" w:themeShade="BF"/>
      <w:spacing w:val="5"/>
    </w:rPr>
  </w:style>
  <w:style w:type="character" w:styleId="Hyperlink">
    <w:name w:val="Hyperlink"/>
    <w:basedOn w:val="DefaultParagraphFont"/>
    <w:uiPriority w:val="99"/>
    <w:unhideWhenUsed/>
    <w:rsid w:val="00F8595B"/>
    <w:rPr>
      <w:color w:val="0563C1" w:themeColor="hyperlink"/>
      <w:u w:val="single"/>
    </w:rPr>
  </w:style>
  <w:style w:type="character" w:styleId="UnresolvedMention">
    <w:name w:val="Unresolved Mention"/>
    <w:basedOn w:val="DefaultParagraphFont"/>
    <w:uiPriority w:val="99"/>
    <w:semiHidden/>
    <w:unhideWhenUsed/>
    <w:rsid w:val="00F8595B"/>
    <w:rPr>
      <w:color w:val="605E5C"/>
      <w:shd w:val="clear" w:color="auto" w:fill="E1DFDD"/>
    </w:rPr>
  </w:style>
  <w:style w:type="paragraph" w:styleId="TOCHeading">
    <w:name w:val="TOC Heading"/>
    <w:basedOn w:val="Heading1"/>
    <w:next w:val="Normal"/>
    <w:uiPriority w:val="39"/>
    <w:unhideWhenUsed/>
    <w:qFormat/>
    <w:rsid w:val="002A6A4F"/>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2A6A4F"/>
    <w:pPr>
      <w:spacing w:after="100"/>
      <w:ind w:left="480"/>
    </w:pPr>
  </w:style>
  <w:style w:type="paragraph" w:styleId="Caption">
    <w:name w:val="caption"/>
    <w:basedOn w:val="Normal"/>
    <w:next w:val="Normal"/>
    <w:uiPriority w:val="35"/>
    <w:unhideWhenUsed/>
    <w:qFormat/>
    <w:rsid w:val="00604D3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45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2C4"/>
  </w:style>
  <w:style w:type="paragraph" w:styleId="Footer">
    <w:name w:val="footer"/>
    <w:basedOn w:val="Normal"/>
    <w:link w:val="FooterChar"/>
    <w:uiPriority w:val="99"/>
    <w:unhideWhenUsed/>
    <w:rsid w:val="00645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2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5f89f9a57f044e4ebeb0c91b56f34f7">
  <xsd:schema xmlns:xsd="http://www.w3.org/2001/XMLSchema" xmlns:xs="http://www.w3.org/2001/XMLSchema" xmlns:p="http://schemas.microsoft.com/office/2006/metadata/properties" xmlns:ns3="0085e1a2-9cbf-4b92-866b-21f3c89040b6" targetNamespace="http://schemas.microsoft.com/office/2006/metadata/properties" ma:root="true" ma:fieldsID="7d14280c160df2f48189e5a417a3cab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EDC0A16-062A-49AA-B6DB-8AEAB9500FBA}">
  <ds:schemaRefs>
    <ds:schemaRef ds:uri="http://schemas.openxmlformats.org/officeDocument/2006/bibliography"/>
  </ds:schemaRefs>
</ds:datastoreItem>
</file>

<file path=customXml/itemProps2.xml><?xml version="1.0" encoding="utf-8"?>
<ds:datastoreItem xmlns:ds="http://schemas.openxmlformats.org/officeDocument/2006/customXml" ds:itemID="{BE64E94C-7BBF-431F-A0B2-646E70D231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38AFE9-579E-4696-BB83-0C750CCCBD50}">
  <ds:schemaRefs>
    <ds:schemaRef ds:uri="http://schemas.microsoft.com/sharepoint/v3/contenttype/forms"/>
  </ds:schemaRefs>
</ds:datastoreItem>
</file>

<file path=customXml/itemProps4.xml><?xml version="1.0" encoding="utf-8"?>
<ds:datastoreItem xmlns:ds="http://schemas.openxmlformats.org/officeDocument/2006/customXml" ds:itemID="{42165AFA-726C-46EF-B84A-40BCD06A3890}">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Makhija</dc:creator>
  <cp:keywords/>
  <dc:description/>
  <cp:lastModifiedBy>Salma Karim (2407408)</cp:lastModifiedBy>
  <cp:revision>3</cp:revision>
  <dcterms:created xsi:type="dcterms:W3CDTF">2026-02-25T09:37:00Z</dcterms:created>
  <dcterms:modified xsi:type="dcterms:W3CDTF">2026-02-25T09:38:00Z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