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41C3507" w14:textId="77777777" w:rsidR="00B2205B" w:rsidRDefault="00B2205B" w:rsidP="00B2205B">
      <w:r>
        <w:rPr>
          <w:noProof/>
        </w:rPr>
        <w:drawing>
          <wp:anchor distT="0" distB="0" distL="114300" distR="114300" simplePos="0" relativeHeight="251659264" behindDoc="0" locked="0" layoutInCell="1" allowOverlap="1" wp14:anchorId="21E85908" wp14:editId="69AC3E3A">
            <wp:simplePos x="914400" y="914400"/>
            <wp:positionH relativeFrom="column">
              <wp:align>left</wp:align>
            </wp:positionH>
            <wp:positionV relativeFrom="paragraph">
              <wp:align>top</wp:align>
            </wp:positionV>
            <wp:extent cx="1657350" cy="743585"/>
            <wp:effectExtent l="0" t="0" r="0" b="0"/>
            <wp:wrapSquare wrapText="bothSides"/>
            <wp:docPr id="261301171" name="Picture 261301171" descr="A close up of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close up of black text&#10;&#10;Description automatically generate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657350" cy="743585"/>
                    </a:xfrm>
                    <a:prstGeom prst="rect">
                      <a:avLst/>
                    </a:prstGeom>
                    <a:noFill/>
                  </pic:spPr>
                </pic:pic>
              </a:graphicData>
            </a:graphic>
          </wp:anchor>
        </w:drawing>
      </w:r>
    </w:p>
    <w:p w14:paraId="792B3790" w14:textId="77777777" w:rsidR="00B2205B" w:rsidRDefault="00B2205B" w:rsidP="00B2205B">
      <w:pPr>
        <w:jc w:val="right"/>
      </w:pPr>
    </w:p>
    <w:p w14:paraId="09FF906B" w14:textId="77777777" w:rsidR="00B2205B" w:rsidRPr="00093C62" w:rsidRDefault="00B2205B" w:rsidP="00B2205B">
      <w:r>
        <w:br w:type="textWrapping" w:clear="all"/>
      </w:r>
    </w:p>
    <w:p w14:paraId="2C540B26" w14:textId="77777777" w:rsidR="00B2205B" w:rsidRDefault="00B2205B" w:rsidP="00B2205B">
      <w:pPr>
        <w:spacing w:after="165" w:line="360" w:lineRule="auto"/>
        <w:jc w:val="center"/>
        <w:rPr>
          <w:rFonts w:cs="Times New Roman"/>
        </w:rPr>
      </w:pPr>
      <w:r>
        <w:rPr>
          <w:rFonts w:cs="Times New Roman"/>
        </w:rPr>
        <w:tab/>
      </w:r>
    </w:p>
    <w:p w14:paraId="2F3C8613" w14:textId="7D5C2A15" w:rsidR="00B2205B" w:rsidRPr="00F27031" w:rsidRDefault="00CA75A4" w:rsidP="00B2205B">
      <w:pPr>
        <w:spacing w:after="165" w:line="360" w:lineRule="auto"/>
        <w:jc w:val="center"/>
        <w:rPr>
          <w:rFonts w:ascii="Tahoma" w:eastAsia="Tahoma" w:hAnsi="Tahoma" w:cs="Tahoma"/>
          <w:color w:val="000000"/>
          <w:sz w:val="40"/>
          <w:szCs w:val="40"/>
          <w:lang w:eastAsia="zh-CN"/>
        </w:rPr>
      </w:pPr>
      <w:r w:rsidRPr="00CA75A4">
        <w:rPr>
          <w:rFonts w:ascii="Tahoma" w:eastAsia="Tahoma" w:hAnsi="Tahoma" w:cs="Tahoma"/>
          <w:b/>
          <w:bCs/>
          <w:color w:val="000000"/>
          <w:sz w:val="40"/>
          <w:szCs w:val="40"/>
          <w:lang w:eastAsia="zh-CN"/>
        </w:rPr>
        <w:t>MSC Engineering Project Management</w:t>
      </w:r>
      <w:r>
        <w:rPr>
          <w:rFonts w:ascii="Tahoma" w:eastAsia="Tahoma" w:hAnsi="Tahoma" w:cs="Tahoma"/>
          <w:b/>
          <w:bCs/>
          <w:color w:val="000000"/>
          <w:sz w:val="40"/>
          <w:szCs w:val="40"/>
          <w:lang w:eastAsia="zh-CN"/>
        </w:rPr>
        <w:t xml:space="preserve"> </w:t>
      </w:r>
      <w:r w:rsidR="00B2205B" w:rsidRPr="00F27031">
        <w:rPr>
          <w:rFonts w:ascii="Tahoma" w:eastAsia="Tahoma" w:hAnsi="Tahoma" w:cs="Tahoma"/>
          <w:color w:val="000000"/>
          <w:sz w:val="40"/>
          <w:szCs w:val="40"/>
          <w:lang w:eastAsia="zh-CN"/>
        </w:rPr>
        <w:t xml:space="preserve">Module Assignment Submission </w:t>
      </w:r>
      <w:r w:rsidR="00B2205B" w:rsidRPr="00F27031">
        <w:rPr>
          <w:rFonts w:ascii="Tahoma" w:eastAsia="Tahoma" w:hAnsi="Tahoma" w:cs="Tahoma"/>
          <w:color w:val="000000"/>
          <w:sz w:val="40"/>
          <w:szCs w:val="40"/>
          <w:lang w:eastAsia="zh-CN"/>
        </w:rPr>
        <w:br/>
      </w:r>
    </w:p>
    <w:tbl>
      <w:tblPr>
        <w:tblW w:w="9472"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3430"/>
        <w:gridCol w:w="6042"/>
      </w:tblGrid>
      <w:tr w:rsidR="00B2205B" w:rsidRPr="00F27031" w14:paraId="477CBC74" w14:textId="77777777" w:rsidTr="00CA75A4">
        <w:trPr>
          <w:trHeight w:val="717"/>
        </w:trPr>
        <w:tc>
          <w:tcPr>
            <w:tcW w:w="3430" w:type="dxa"/>
            <w:shd w:val="clear" w:color="auto" w:fill="D9D9D9"/>
          </w:tcPr>
          <w:p w14:paraId="3FF05581" w14:textId="77777777" w:rsidR="00B2205B" w:rsidRPr="00F27031" w:rsidRDefault="00B2205B" w:rsidP="006B3D70">
            <w:pPr>
              <w:spacing w:before="120" w:after="120" w:line="360" w:lineRule="auto"/>
              <w:rPr>
                <w:rFonts w:ascii="Tahoma" w:eastAsia="Tahoma" w:hAnsi="Tahoma" w:cs="Tahoma"/>
                <w:sz w:val="32"/>
                <w:szCs w:val="32"/>
                <w:lang w:eastAsia="zh-CN"/>
              </w:rPr>
            </w:pPr>
            <w:r w:rsidRPr="00F27031">
              <w:rPr>
                <w:rFonts w:ascii="Tahoma" w:eastAsia="Tahoma" w:hAnsi="Tahoma" w:cs="Tahoma"/>
                <w:sz w:val="32"/>
                <w:szCs w:val="32"/>
                <w:lang w:eastAsia="zh-CN"/>
              </w:rPr>
              <w:t>Student Name:</w:t>
            </w:r>
          </w:p>
        </w:tc>
        <w:tc>
          <w:tcPr>
            <w:tcW w:w="6042" w:type="dxa"/>
          </w:tcPr>
          <w:p w14:paraId="020CFE19" w14:textId="77777777" w:rsidR="00B2205B" w:rsidRPr="00F27031" w:rsidRDefault="00B2205B" w:rsidP="00CA75A4">
            <w:pPr>
              <w:spacing w:before="120" w:after="120" w:line="360" w:lineRule="auto"/>
              <w:jc w:val="center"/>
              <w:rPr>
                <w:rFonts w:ascii="Tahoma" w:eastAsia="Tahoma" w:hAnsi="Tahoma" w:cs="Tahoma"/>
                <w:sz w:val="32"/>
                <w:szCs w:val="32"/>
                <w:lang w:eastAsia="zh-CN"/>
              </w:rPr>
            </w:pPr>
            <w:r>
              <w:rPr>
                <w:rFonts w:ascii="Tahoma" w:eastAsia="Tahoma" w:hAnsi="Tahoma" w:cs="Tahoma"/>
                <w:sz w:val="32"/>
                <w:szCs w:val="32"/>
                <w:lang w:eastAsia="zh-CN"/>
              </w:rPr>
              <w:t>Armin Tiberiu Polyak</w:t>
            </w:r>
          </w:p>
        </w:tc>
      </w:tr>
      <w:tr w:rsidR="00B2205B" w:rsidRPr="00F27031" w14:paraId="2C9C513C" w14:textId="77777777" w:rsidTr="00CA75A4">
        <w:trPr>
          <w:trHeight w:val="717"/>
        </w:trPr>
        <w:tc>
          <w:tcPr>
            <w:tcW w:w="3430" w:type="dxa"/>
            <w:shd w:val="clear" w:color="auto" w:fill="D9D9D9"/>
          </w:tcPr>
          <w:p w14:paraId="175690E7" w14:textId="77777777" w:rsidR="00B2205B" w:rsidRPr="00F27031" w:rsidRDefault="00B2205B" w:rsidP="006B3D70">
            <w:pPr>
              <w:spacing w:before="120" w:after="120" w:line="360" w:lineRule="auto"/>
              <w:rPr>
                <w:rFonts w:ascii="Tahoma" w:eastAsia="Tahoma" w:hAnsi="Tahoma" w:cs="Tahoma"/>
                <w:sz w:val="32"/>
                <w:szCs w:val="32"/>
                <w:lang w:eastAsia="zh-CN"/>
              </w:rPr>
            </w:pPr>
            <w:r w:rsidRPr="00F27031">
              <w:rPr>
                <w:rFonts w:ascii="Tahoma" w:eastAsia="Tahoma" w:hAnsi="Tahoma" w:cs="Tahoma"/>
                <w:sz w:val="32"/>
                <w:szCs w:val="32"/>
                <w:lang w:eastAsia="zh-CN"/>
              </w:rPr>
              <w:t>Student Number:</w:t>
            </w:r>
          </w:p>
        </w:tc>
        <w:tc>
          <w:tcPr>
            <w:tcW w:w="6042" w:type="dxa"/>
          </w:tcPr>
          <w:p w14:paraId="6F01A177" w14:textId="77777777" w:rsidR="00B2205B" w:rsidRPr="00F27031" w:rsidRDefault="00B2205B" w:rsidP="00CA75A4">
            <w:pPr>
              <w:spacing w:before="120" w:after="120" w:line="360" w:lineRule="auto"/>
              <w:jc w:val="center"/>
              <w:rPr>
                <w:rFonts w:ascii="Tahoma" w:eastAsia="Tahoma" w:hAnsi="Tahoma" w:cs="Tahoma"/>
                <w:sz w:val="32"/>
                <w:szCs w:val="32"/>
                <w:lang w:eastAsia="zh-CN"/>
              </w:rPr>
            </w:pPr>
            <w:r>
              <w:rPr>
                <w:rFonts w:ascii="Tahoma" w:eastAsia="Tahoma" w:hAnsi="Tahoma" w:cs="Tahoma"/>
                <w:sz w:val="32"/>
                <w:szCs w:val="32"/>
                <w:lang w:eastAsia="zh-CN"/>
              </w:rPr>
              <w:t>1904920</w:t>
            </w:r>
          </w:p>
        </w:tc>
      </w:tr>
      <w:tr w:rsidR="00B2205B" w:rsidRPr="00F27031" w14:paraId="349FF66A" w14:textId="77777777" w:rsidTr="00CA75A4">
        <w:trPr>
          <w:trHeight w:val="717"/>
        </w:trPr>
        <w:tc>
          <w:tcPr>
            <w:tcW w:w="3430" w:type="dxa"/>
            <w:shd w:val="clear" w:color="auto" w:fill="D9D9D9"/>
          </w:tcPr>
          <w:p w14:paraId="03E54025" w14:textId="77777777" w:rsidR="00B2205B" w:rsidRPr="00F27031" w:rsidRDefault="00B2205B" w:rsidP="006B3D70">
            <w:pPr>
              <w:spacing w:before="120" w:after="120" w:line="360" w:lineRule="auto"/>
              <w:rPr>
                <w:rFonts w:ascii="Tahoma" w:eastAsia="Tahoma" w:hAnsi="Tahoma" w:cs="Tahoma"/>
                <w:sz w:val="32"/>
                <w:szCs w:val="32"/>
                <w:lang w:eastAsia="zh-CN"/>
              </w:rPr>
            </w:pPr>
            <w:r w:rsidRPr="00F27031">
              <w:rPr>
                <w:rFonts w:ascii="Tahoma" w:eastAsia="Tahoma" w:hAnsi="Tahoma" w:cs="Tahoma"/>
                <w:sz w:val="32"/>
                <w:szCs w:val="32"/>
                <w:lang w:eastAsia="zh-CN"/>
              </w:rPr>
              <w:t>Module No:</w:t>
            </w:r>
          </w:p>
        </w:tc>
        <w:tc>
          <w:tcPr>
            <w:tcW w:w="6042" w:type="dxa"/>
          </w:tcPr>
          <w:p w14:paraId="0CDA7AA6" w14:textId="144C5A0A" w:rsidR="00B2205B" w:rsidRPr="005A2916" w:rsidRDefault="00004908" w:rsidP="00CA75A4">
            <w:pPr>
              <w:spacing w:before="120" w:after="120" w:line="360" w:lineRule="auto"/>
              <w:jc w:val="center"/>
              <w:rPr>
                <w:rFonts w:ascii="Tahoma" w:eastAsia="Tahoma" w:hAnsi="Tahoma" w:cs="Tahoma"/>
                <w:color w:val="000000" w:themeColor="text1"/>
                <w:sz w:val="32"/>
                <w:szCs w:val="32"/>
                <w:lang w:eastAsia="zh-CN"/>
              </w:rPr>
            </w:pPr>
            <w:r>
              <w:rPr>
                <w:rFonts w:ascii="Tahoma" w:eastAsia="Tahoma" w:hAnsi="Tahoma" w:cs="Tahoma"/>
                <w:color w:val="000000" w:themeColor="text1"/>
                <w:sz w:val="32"/>
                <w:szCs w:val="32"/>
                <w:lang w:eastAsia="zh-CN"/>
              </w:rPr>
              <w:t>ACHA 7028</w:t>
            </w:r>
          </w:p>
        </w:tc>
      </w:tr>
      <w:tr w:rsidR="00B2205B" w:rsidRPr="00CA75A4" w14:paraId="68D68598" w14:textId="77777777" w:rsidTr="00CA75A4">
        <w:trPr>
          <w:trHeight w:val="361"/>
        </w:trPr>
        <w:tc>
          <w:tcPr>
            <w:tcW w:w="3430" w:type="dxa"/>
            <w:shd w:val="clear" w:color="auto" w:fill="D9D9D9"/>
          </w:tcPr>
          <w:p w14:paraId="77BD1E9D" w14:textId="77777777" w:rsidR="00B2205B" w:rsidRPr="00CA75A4" w:rsidRDefault="00B2205B" w:rsidP="006B3D70">
            <w:pPr>
              <w:spacing w:before="120" w:after="120" w:line="360" w:lineRule="auto"/>
              <w:rPr>
                <w:rFonts w:ascii="Times New Roman" w:eastAsia="Tahoma" w:hAnsi="Times New Roman" w:cs="Times New Roman"/>
                <w:sz w:val="32"/>
                <w:szCs w:val="32"/>
                <w:lang w:eastAsia="zh-CN"/>
              </w:rPr>
            </w:pPr>
            <w:r w:rsidRPr="00CA75A4">
              <w:rPr>
                <w:rFonts w:ascii="Times New Roman" w:eastAsia="Tahoma" w:hAnsi="Times New Roman" w:cs="Times New Roman"/>
                <w:sz w:val="32"/>
                <w:szCs w:val="32"/>
                <w:lang w:eastAsia="zh-CN"/>
              </w:rPr>
              <w:t>Module Title:</w:t>
            </w:r>
          </w:p>
        </w:tc>
        <w:tc>
          <w:tcPr>
            <w:tcW w:w="6042" w:type="dxa"/>
          </w:tcPr>
          <w:p w14:paraId="596584A8" w14:textId="77777777" w:rsidR="00CA75A4" w:rsidRDefault="00CA75A4" w:rsidP="00CA75A4">
            <w:pPr>
              <w:spacing w:after="0" w:line="240" w:lineRule="auto"/>
              <w:jc w:val="center"/>
              <w:rPr>
                <w:rFonts w:ascii="Times New Roman" w:eastAsia="Times New Roman" w:hAnsi="Times New Roman" w:cs="Times New Roman"/>
                <w:sz w:val="36"/>
                <w:szCs w:val="36"/>
              </w:rPr>
            </w:pPr>
            <w:r w:rsidRPr="00CA75A4">
              <w:rPr>
                <w:rFonts w:ascii="Times New Roman" w:eastAsia="Times New Roman" w:hAnsi="Times New Roman" w:cs="Times New Roman"/>
                <w:sz w:val="36"/>
                <w:szCs w:val="36"/>
              </w:rPr>
              <w:t xml:space="preserve">Resourcing and Financial Management </w:t>
            </w:r>
          </w:p>
          <w:p w14:paraId="3F1BCB61" w14:textId="77777777" w:rsidR="00CA75A4" w:rsidRDefault="00CA75A4" w:rsidP="00CA75A4">
            <w:pPr>
              <w:spacing w:after="0" w:line="240" w:lineRule="auto"/>
              <w:jc w:val="center"/>
              <w:rPr>
                <w:rFonts w:ascii="Times New Roman" w:eastAsia="Times New Roman" w:hAnsi="Times New Roman" w:cs="Times New Roman"/>
                <w:sz w:val="36"/>
                <w:szCs w:val="36"/>
              </w:rPr>
            </w:pPr>
          </w:p>
          <w:p w14:paraId="61DD0DA3" w14:textId="269F0F54" w:rsidR="00CA75A4" w:rsidRPr="00CA75A4" w:rsidRDefault="00CA75A4" w:rsidP="00CA75A4">
            <w:pPr>
              <w:spacing w:after="0" w:line="240" w:lineRule="auto"/>
              <w:jc w:val="center"/>
              <w:rPr>
                <w:rFonts w:ascii="Times New Roman" w:eastAsia="Times New Roman" w:hAnsi="Times New Roman" w:cs="Times New Roman"/>
                <w:sz w:val="36"/>
                <w:szCs w:val="36"/>
              </w:rPr>
            </w:pPr>
            <w:r w:rsidRPr="00CA75A4">
              <w:rPr>
                <w:rFonts w:ascii="Times New Roman" w:eastAsia="Times New Roman" w:hAnsi="Times New Roman" w:cs="Times New Roman"/>
                <w:sz w:val="36"/>
                <w:szCs w:val="36"/>
              </w:rPr>
              <w:t>for Projects</w:t>
            </w:r>
          </w:p>
          <w:p w14:paraId="2D4C72A2" w14:textId="40F04C79" w:rsidR="00B2205B" w:rsidRPr="00CA75A4" w:rsidRDefault="00B2205B" w:rsidP="006B3D70">
            <w:pPr>
              <w:spacing w:before="200" w:line="360" w:lineRule="auto"/>
              <w:rPr>
                <w:rFonts w:ascii="Times New Roman" w:eastAsia="Tahoma" w:hAnsi="Times New Roman" w:cs="Times New Roman"/>
                <w:color w:val="000000" w:themeColor="text1"/>
                <w:sz w:val="32"/>
                <w:szCs w:val="32"/>
                <w:lang w:eastAsia="zh-CN"/>
              </w:rPr>
            </w:pPr>
          </w:p>
        </w:tc>
      </w:tr>
    </w:tbl>
    <w:p w14:paraId="08D002C5" w14:textId="77777777" w:rsidR="00B2205B" w:rsidRPr="00CA75A4" w:rsidRDefault="00B2205B" w:rsidP="00B2205B">
      <w:pPr>
        <w:spacing w:before="120" w:after="120" w:line="360" w:lineRule="auto"/>
        <w:rPr>
          <w:rFonts w:ascii="Times New Roman" w:eastAsia="Calibri" w:hAnsi="Times New Roman" w:cs="Times New Roman"/>
          <w:color w:val="FF0000"/>
          <w:sz w:val="32"/>
          <w:szCs w:val="32"/>
          <w:lang w:eastAsia="zh-CN"/>
        </w:rPr>
      </w:pPr>
    </w:p>
    <w:p w14:paraId="0C3600F1" w14:textId="649664B8" w:rsidR="00004908" w:rsidRPr="00004908" w:rsidRDefault="00CA75A4" w:rsidP="00004908">
      <w:pPr>
        <w:spacing w:after="0" w:line="240" w:lineRule="auto"/>
        <w:textAlignment w:val="baseline"/>
        <w:rPr>
          <w:rFonts w:ascii="Times New Roman" w:eastAsia="Times New Roman" w:hAnsi="Times New Roman" w:cs="Times New Roman"/>
          <w:sz w:val="24"/>
          <w:szCs w:val="24"/>
        </w:rPr>
      </w:pPr>
      <w:r>
        <w:rPr>
          <w:rFonts w:ascii="Tahoma" w:eastAsia="Tahoma" w:hAnsi="Tahoma" w:cs="Tahoma"/>
          <w:bCs/>
          <w:color w:val="000000"/>
          <w:lang w:eastAsia="zh-CN"/>
        </w:rPr>
        <w:t xml:space="preserve">         </w:t>
      </w:r>
      <w:r w:rsidR="00004908">
        <w:rPr>
          <w:rFonts w:ascii="Times New Roman" w:eastAsia="Times New Roman" w:hAnsi="Times New Roman" w:cs="Times New Roman"/>
          <w:sz w:val="24"/>
          <w:szCs w:val="24"/>
        </w:rPr>
        <w:t xml:space="preserve"> </w:t>
      </w:r>
      <w:r w:rsidR="00004908" w:rsidRPr="00004908">
        <w:rPr>
          <w:rFonts w:ascii="Times New Roman" w:eastAsia="Times New Roman" w:hAnsi="Times New Roman" w:cs="Times New Roman"/>
          <w:sz w:val="24"/>
          <w:szCs w:val="24"/>
        </w:rPr>
        <w:t>AI Acknowledgement</w:t>
      </w:r>
    </w:p>
    <w:p w14:paraId="0ECECF3B" w14:textId="625CFC01" w:rsidR="00004908" w:rsidRPr="00004908" w:rsidRDefault="00004908" w:rsidP="00004908">
      <w:pPr>
        <w:spacing w:after="0" w:line="240" w:lineRule="auto"/>
        <w:ind w:left="720"/>
        <w:textAlignment w:val="baseline"/>
        <w:rPr>
          <w:rFonts w:ascii="Times New Roman" w:eastAsia="Times New Roman" w:hAnsi="Times New Roman" w:cs="Times New Roman"/>
          <w:sz w:val="24"/>
          <w:szCs w:val="24"/>
        </w:rPr>
      </w:pPr>
    </w:p>
    <w:p w14:paraId="2EF0CE52" w14:textId="243C9592" w:rsidR="00004908" w:rsidRPr="00004908" w:rsidRDefault="00004908" w:rsidP="00004908">
      <w:pPr>
        <w:spacing w:after="0" w:line="240" w:lineRule="auto"/>
        <w:ind w:left="720"/>
        <w:textAlignment w:val="baseline"/>
        <w:rPr>
          <w:rFonts w:ascii="Times New Roman" w:eastAsia="Times New Roman" w:hAnsi="Times New Roman" w:cs="Times New Roman"/>
          <w:sz w:val="24"/>
          <w:szCs w:val="24"/>
        </w:rPr>
      </w:pPr>
      <w:r w:rsidRPr="00004908">
        <w:rPr>
          <w:rFonts w:ascii="Times New Roman" w:eastAsia="Times New Roman" w:hAnsi="Times New Roman" w:cs="Times New Roman"/>
          <w:sz w:val="24"/>
          <w:szCs w:val="24"/>
        </w:rPr>
        <w:t>I confirm that I have not present any AI-generated materials as my own work in this portfolio.</w:t>
      </w:r>
    </w:p>
    <w:p w14:paraId="6727E8FE" w14:textId="4342C866" w:rsidR="00004908" w:rsidRPr="00004908" w:rsidRDefault="00004908" w:rsidP="00004908">
      <w:pPr>
        <w:spacing w:after="0" w:line="240" w:lineRule="auto"/>
        <w:ind w:left="720"/>
        <w:textAlignment w:val="baseline"/>
        <w:rPr>
          <w:rFonts w:ascii="Times New Roman" w:eastAsia="Times New Roman" w:hAnsi="Times New Roman" w:cs="Times New Roman"/>
          <w:sz w:val="24"/>
          <w:szCs w:val="24"/>
        </w:rPr>
      </w:pPr>
    </w:p>
    <w:p w14:paraId="012243E0" w14:textId="740EBA08" w:rsidR="00004908" w:rsidRPr="00004908" w:rsidRDefault="00004908" w:rsidP="00004908">
      <w:pPr>
        <w:spacing w:after="0" w:line="240" w:lineRule="auto"/>
        <w:ind w:left="720"/>
        <w:textAlignment w:val="baseline"/>
        <w:rPr>
          <w:rFonts w:ascii="Times New Roman" w:eastAsia="Times New Roman" w:hAnsi="Times New Roman" w:cs="Times New Roman"/>
          <w:sz w:val="24"/>
          <w:szCs w:val="24"/>
        </w:rPr>
      </w:pPr>
      <w:r w:rsidRPr="00004908">
        <w:rPr>
          <w:rFonts w:ascii="Times New Roman" w:eastAsia="Times New Roman" w:hAnsi="Times New Roman" w:cs="Times New Roman"/>
          <w:sz w:val="24"/>
          <w:szCs w:val="24"/>
        </w:rPr>
        <w:t>However, I acknowledge that I have used or may have used the AI in the research and proofreading of my portfolio.</w:t>
      </w:r>
    </w:p>
    <w:p w14:paraId="1A92958F" w14:textId="7403C1F5" w:rsidR="00004908" w:rsidRPr="00004908" w:rsidRDefault="00004908" w:rsidP="00004908">
      <w:pPr>
        <w:spacing w:after="0" w:line="240" w:lineRule="auto"/>
        <w:ind w:left="720"/>
        <w:textAlignment w:val="baseline"/>
        <w:rPr>
          <w:rFonts w:ascii="Times New Roman" w:eastAsia="Times New Roman" w:hAnsi="Times New Roman" w:cs="Times New Roman"/>
          <w:sz w:val="24"/>
          <w:szCs w:val="24"/>
        </w:rPr>
      </w:pPr>
    </w:p>
    <w:p w14:paraId="048056BC" w14:textId="77777777" w:rsidR="00004908" w:rsidRPr="00004908" w:rsidRDefault="00004908" w:rsidP="00004908">
      <w:pPr>
        <w:spacing w:after="0" w:line="240" w:lineRule="auto"/>
        <w:ind w:left="720"/>
        <w:textAlignment w:val="baseline"/>
        <w:rPr>
          <w:rFonts w:ascii="Times New Roman" w:eastAsia="Times New Roman" w:hAnsi="Times New Roman" w:cs="Times New Roman"/>
          <w:sz w:val="24"/>
          <w:szCs w:val="24"/>
        </w:rPr>
      </w:pPr>
      <w:r w:rsidRPr="00004908">
        <w:rPr>
          <w:rFonts w:ascii="Times New Roman" w:eastAsia="Times New Roman" w:hAnsi="Times New Roman" w:cs="Times New Roman"/>
          <w:sz w:val="24"/>
          <w:szCs w:val="24"/>
        </w:rPr>
        <w:t>Name: Armin Polyak</w:t>
      </w:r>
    </w:p>
    <w:p w14:paraId="1717396E" w14:textId="67F27186" w:rsidR="003617AB" w:rsidRDefault="00004908" w:rsidP="00004908">
      <w:pPr>
        <w:spacing w:after="0" w:line="240" w:lineRule="auto"/>
        <w:ind w:left="720"/>
        <w:textAlignment w:val="baseline"/>
        <w:rPr>
          <w:rFonts w:ascii="Times New Roman" w:eastAsia="Times New Roman" w:hAnsi="Times New Roman" w:cs="Times New Roman"/>
          <w:sz w:val="24"/>
          <w:szCs w:val="24"/>
        </w:rPr>
      </w:pPr>
      <w:r w:rsidRPr="00004908">
        <w:rPr>
          <w:rFonts w:ascii="Times New Roman" w:eastAsia="Times New Roman" w:hAnsi="Times New Roman" w:cs="Times New Roman"/>
          <w:sz w:val="24"/>
          <w:szCs w:val="24"/>
        </w:rPr>
        <w:t>Student ID : 1904920</w:t>
      </w:r>
    </w:p>
    <w:p w14:paraId="440D6529" w14:textId="77777777" w:rsidR="00004908" w:rsidRDefault="00004908" w:rsidP="00004908">
      <w:pPr>
        <w:spacing w:after="0" w:line="240" w:lineRule="auto"/>
        <w:ind w:left="720"/>
        <w:textAlignment w:val="baseline"/>
        <w:rPr>
          <w:rFonts w:ascii="Times New Roman" w:eastAsia="Times New Roman" w:hAnsi="Times New Roman" w:cs="Times New Roman"/>
          <w:sz w:val="24"/>
          <w:szCs w:val="24"/>
        </w:rPr>
      </w:pPr>
    </w:p>
    <w:p w14:paraId="6ED5DC9B" w14:textId="77777777" w:rsidR="00004908" w:rsidRDefault="00004908" w:rsidP="00004908">
      <w:pPr>
        <w:spacing w:after="0" w:line="240" w:lineRule="auto"/>
        <w:ind w:left="720"/>
        <w:textAlignment w:val="baseline"/>
        <w:rPr>
          <w:rFonts w:ascii="Times New Roman" w:eastAsia="Times New Roman" w:hAnsi="Times New Roman" w:cs="Times New Roman"/>
          <w:sz w:val="24"/>
          <w:szCs w:val="24"/>
        </w:rPr>
      </w:pPr>
    </w:p>
    <w:p w14:paraId="63415819" w14:textId="77777777" w:rsidR="00004908" w:rsidRDefault="00004908" w:rsidP="00004908">
      <w:pPr>
        <w:spacing w:after="0" w:line="240" w:lineRule="auto"/>
        <w:ind w:left="720"/>
        <w:textAlignment w:val="baseline"/>
        <w:rPr>
          <w:rFonts w:ascii="Times New Roman" w:eastAsia="Times New Roman" w:hAnsi="Times New Roman" w:cs="Times New Roman"/>
          <w:sz w:val="24"/>
          <w:szCs w:val="24"/>
        </w:rPr>
      </w:pPr>
    </w:p>
    <w:p w14:paraId="3B7D9A5D" w14:textId="77777777" w:rsidR="00004908" w:rsidRPr="00004908" w:rsidRDefault="00004908" w:rsidP="00004908">
      <w:pPr>
        <w:spacing w:after="0" w:line="240" w:lineRule="auto"/>
        <w:ind w:left="720"/>
        <w:textAlignment w:val="baseline"/>
        <w:rPr>
          <w:rFonts w:ascii="Times New Roman" w:eastAsia="Times New Roman" w:hAnsi="Times New Roman" w:cs="Times New Roman"/>
          <w:sz w:val="24"/>
          <w:szCs w:val="24"/>
        </w:rPr>
      </w:pPr>
    </w:p>
    <w:p w14:paraId="17082E1A" w14:textId="05D64056" w:rsidR="003617AB" w:rsidRPr="00CA75A4" w:rsidRDefault="003617AB" w:rsidP="00CB674A">
      <w:pPr>
        <w:rPr>
          <w:rFonts w:ascii="Times New Roman" w:hAnsi="Times New Roman" w:cs="Times New Roman"/>
          <w:b/>
          <w:bCs/>
          <w:sz w:val="32"/>
          <w:szCs w:val="32"/>
          <w:u w:val="single"/>
        </w:rPr>
      </w:pPr>
      <w:r w:rsidRPr="00CA75A4">
        <w:rPr>
          <w:rFonts w:ascii="Times New Roman" w:hAnsi="Times New Roman" w:cs="Times New Roman"/>
          <w:b/>
          <w:bCs/>
          <w:sz w:val="32"/>
          <w:szCs w:val="32"/>
          <w:u w:val="single"/>
        </w:rPr>
        <w:lastRenderedPageBreak/>
        <w:t>Executive Summary</w:t>
      </w:r>
    </w:p>
    <w:p w14:paraId="5C9BD231" w14:textId="77777777" w:rsidR="003617AB" w:rsidRDefault="003617AB" w:rsidP="00CB674A"/>
    <w:p w14:paraId="13C6EAA8" w14:textId="77777777" w:rsidR="003617AB" w:rsidRDefault="003617AB" w:rsidP="00CB674A"/>
    <w:p w14:paraId="104BB8CE" w14:textId="77777777" w:rsidR="003617AB" w:rsidRDefault="003617AB" w:rsidP="00CB674A"/>
    <w:p w14:paraId="10144ECC" w14:textId="7102E495" w:rsidR="00CB674A" w:rsidRPr="00CB674A" w:rsidRDefault="00CB674A" w:rsidP="00CB674A">
      <w:r w:rsidRPr="00CB674A">
        <w:t>This report critically evaluates the financial feasibility and management structure of a proposed £50 million renewable energy project. The analysis identifies an optimal financing structure comprising 60% debt, 25% equity, and 15% green finance, balancing cost efficiency, risk distribution, and sustainability objectives.</w:t>
      </w:r>
    </w:p>
    <w:p w14:paraId="761F9C7B" w14:textId="24C71960" w:rsidR="00CB674A" w:rsidRPr="00CB674A" w:rsidRDefault="00CB674A" w:rsidP="00CB674A">
      <w:r w:rsidRPr="00CB674A">
        <w:t xml:space="preserve">Capital investment appraisal indicates a positive Net Present Value (NPV) of approximately £2.4 million and an Internal Rate of Return (IRR) of 9.8%, marginally exceeding the 9% cost of capital. While these results suggest that the project is financially feasible under base-case conditions, the </w:t>
      </w:r>
      <w:r w:rsidR="002A3E79" w:rsidRPr="00CB674A">
        <w:t>low</w:t>
      </w:r>
      <w:r w:rsidRPr="00CB674A">
        <w:t xml:space="preserve"> surplus highlights limited value creation and raises concerns regarding its resilience to financial uncertainty.</w:t>
      </w:r>
    </w:p>
    <w:p w14:paraId="35C3199D" w14:textId="77777777" w:rsidR="00CB674A" w:rsidRPr="00CB674A" w:rsidRDefault="00CB674A" w:rsidP="00CB674A">
      <w:r w:rsidRPr="00CB674A">
        <w:t>Financial control mechanisms, including Earned Value Management (CPI: 0.84; SPI: 0.92), contingency reserves, and structured governance frameworks, provide a foundation for monitoring performance. However, current indicators reveal cost inefficiencies and schedule delays, emphasising the need for timely corrective actions to prevent further deviations.</w:t>
      </w:r>
    </w:p>
    <w:p w14:paraId="18BA6A7D" w14:textId="77777777" w:rsidR="00CB674A" w:rsidRDefault="00CB674A" w:rsidP="00CB674A">
      <w:r w:rsidRPr="00CB674A">
        <w:t>Furthermore, the financial reporting framework enhances transparency and supports informed decision-making through KPI monitoring and integrated systems. Overall, the project is considered conditionally acceptable, with its success dependent on effective cost control, risk mitigation, and improved financial robustness.</w:t>
      </w:r>
    </w:p>
    <w:p w14:paraId="36325D87" w14:textId="77777777" w:rsidR="00CB674A" w:rsidRDefault="00CB674A" w:rsidP="00CB674A"/>
    <w:p w14:paraId="7F5ECD43" w14:textId="77777777" w:rsidR="00CB674A" w:rsidRDefault="00CB674A" w:rsidP="00CB674A"/>
    <w:p w14:paraId="4C7A0336" w14:textId="77777777" w:rsidR="00CB674A" w:rsidRDefault="00CB674A" w:rsidP="00CB674A"/>
    <w:p w14:paraId="69864D8E" w14:textId="77777777" w:rsidR="00CB674A" w:rsidRDefault="00CB674A" w:rsidP="00CB674A"/>
    <w:p w14:paraId="7E43FBC8" w14:textId="77777777" w:rsidR="00CB674A" w:rsidRDefault="00CB674A" w:rsidP="00CB674A"/>
    <w:p w14:paraId="70635608" w14:textId="77777777" w:rsidR="00CB674A" w:rsidRDefault="00CB674A" w:rsidP="00CB674A"/>
    <w:p w14:paraId="4BB44DAC" w14:textId="77777777" w:rsidR="00CB674A" w:rsidRDefault="00CB674A" w:rsidP="00CB674A"/>
    <w:p w14:paraId="368C9CD5" w14:textId="77777777" w:rsidR="00CB674A" w:rsidRDefault="00CB674A" w:rsidP="00CB674A"/>
    <w:p w14:paraId="3C97C563" w14:textId="77777777" w:rsidR="003617AB" w:rsidRDefault="003617AB" w:rsidP="00CB674A"/>
    <w:p w14:paraId="2A61B56C" w14:textId="77777777" w:rsidR="003617AB" w:rsidRDefault="003617AB" w:rsidP="00CB674A"/>
    <w:p w14:paraId="38B187EB" w14:textId="77777777" w:rsidR="003617AB" w:rsidRDefault="003617AB" w:rsidP="00CB674A"/>
    <w:p w14:paraId="6BD158BC" w14:textId="77777777" w:rsidR="003617AB" w:rsidRDefault="003617AB" w:rsidP="00CB674A"/>
    <w:p w14:paraId="6DE2AE7F" w14:textId="77777777" w:rsidR="003617AB" w:rsidRDefault="003617AB" w:rsidP="00CB674A"/>
    <w:sdt>
      <w:sdtPr>
        <w:rPr>
          <w:rFonts w:ascii="Times New Roman" w:eastAsiaTheme="minorHAnsi" w:hAnsi="Times New Roman" w:cstheme="minorBidi"/>
          <w:b/>
          <w:color w:val="auto"/>
          <w:kern w:val="2"/>
          <w:sz w:val="24"/>
          <w:szCs w:val="22"/>
          <w:lang w:val="en-GB"/>
          <w14:ligatures w14:val="standardContextual"/>
        </w:rPr>
        <w:id w:val="-1119142786"/>
        <w:docPartObj>
          <w:docPartGallery w:val="Table of Contents"/>
          <w:docPartUnique/>
        </w:docPartObj>
      </w:sdtPr>
      <w:sdtEndPr>
        <w:rPr>
          <w:rFonts w:asciiTheme="minorHAnsi" w:hAnsiTheme="minorHAnsi"/>
          <w:bCs/>
          <w:noProof/>
          <w:sz w:val="22"/>
        </w:rPr>
      </w:sdtEndPr>
      <w:sdtContent>
        <w:p w14:paraId="62DD8790" w14:textId="77777777" w:rsidR="00B2205B" w:rsidRPr="0092215D" w:rsidRDefault="00B2205B" w:rsidP="00B2205B">
          <w:pPr>
            <w:pStyle w:val="TOCHeading"/>
            <w:spacing w:line="360" w:lineRule="auto"/>
            <w:rPr>
              <w:rFonts w:ascii="Times New Roman" w:hAnsi="Times New Roman"/>
              <w:b/>
              <w:color w:val="auto"/>
            </w:rPr>
          </w:pPr>
          <w:r w:rsidRPr="0092215D">
            <w:rPr>
              <w:rFonts w:ascii="Times New Roman" w:hAnsi="Times New Roman"/>
              <w:b/>
              <w:color w:val="auto"/>
            </w:rPr>
            <w:t>Table of Contents</w:t>
          </w:r>
        </w:p>
        <w:p w14:paraId="5CDE1D82" w14:textId="2904695F" w:rsidR="00AE358D" w:rsidRDefault="00B2205B">
          <w:pPr>
            <w:pStyle w:val="TOC1"/>
            <w:tabs>
              <w:tab w:val="right" w:leader="dot" w:pos="9016"/>
            </w:tabs>
            <w:rPr>
              <w:rFonts w:asciiTheme="minorHAnsi" w:eastAsiaTheme="minorEastAsia" w:hAnsiTheme="minorHAnsi"/>
              <w:noProof/>
              <w:kern w:val="2"/>
              <w:szCs w:val="24"/>
              <w:lang w:eastAsia="en-GB"/>
              <w14:ligatures w14:val="standardContextual"/>
            </w:rPr>
          </w:pPr>
          <w:r>
            <w:fldChar w:fldCharType="begin"/>
          </w:r>
          <w:r>
            <w:instrText xml:space="preserve"> TOC \o "1-3" \h \z \u </w:instrText>
          </w:r>
          <w:r>
            <w:fldChar w:fldCharType="separate"/>
          </w:r>
          <w:hyperlink w:anchor="_Toc225194574" w:history="1">
            <w:r w:rsidR="00AE358D" w:rsidRPr="00194098">
              <w:rPr>
                <w:rStyle w:val="Hyperlink"/>
                <w:rFonts w:cs="Times New Roman"/>
                <w:noProof/>
              </w:rPr>
              <w:t>2. Introduction &amp; Project Overview</w:t>
            </w:r>
            <w:r w:rsidR="00AE358D">
              <w:rPr>
                <w:noProof/>
                <w:webHidden/>
              </w:rPr>
              <w:tab/>
            </w:r>
            <w:r w:rsidR="00AE358D">
              <w:rPr>
                <w:noProof/>
                <w:webHidden/>
              </w:rPr>
              <w:fldChar w:fldCharType="begin"/>
            </w:r>
            <w:r w:rsidR="00AE358D">
              <w:rPr>
                <w:noProof/>
                <w:webHidden/>
              </w:rPr>
              <w:instrText xml:space="preserve"> PAGEREF _Toc225194574 \h </w:instrText>
            </w:r>
            <w:r w:rsidR="00AE358D">
              <w:rPr>
                <w:noProof/>
                <w:webHidden/>
              </w:rPr>
            </w:r>
            <w:r w:rsidR="00AE358D">
              <w:rPr>
                <w:noProof/>
                <w:webHidden/>
              </w:rPr>
              <w:fldChar w:fldCharType="separate"/>
            </w:r>
            <w:r w:rsidR="00AE358D">
              <w:rPr>
                <w:noProof/>
                <w:webHidden/>
              </w:rPr>
              <w:t>5</w:t>
            </w:r>
            <w:r w:rsidR="00AE358D">
              <w:rPr>
                <w:noProof/>
                <w:webHidden/>
              </w:rPr>
              <w:fldChar w:fldCharType="end"/>
            </w:r>
          </w:hyperlink>
        </w:p>
        <w:p w14:paraId="501EE987" w14:textId="43BE198F" w:rsidR="00AE358D" w:rsidRDefault="00AE358D">
          <w:pPr>
            <w:pStyle w:val="TOC1"/>
            <w:tabs>
              <w:tab w:val="right" w:leader="dot" w:pos="9016"/>
            </w:tabs>
            <w:rPr>
              <w:rFonts w:asciiTheme="minorHAnsi" w:eastAsiaTheme="minorEastAsia" w:hAnsiTheme="minorHAnsi"/>
              <w:noProof/>
              <w:kern w:val="2"/>
              <w:szCs w:val="24"/>
              <w:lang w:eastAsia="en-GB"/>
              <w14:ligatures w14:val="standardContextual"/>
            </w:rPr>
          </w:pPr>
          <w:hyperlink w:anchor="_Toc225194575" w:history="1">
            <w:r w:rsidRPr="00194098">
              <w:rPr>
                <w:rStyle w:val="Hyperlink"/>
                <w:rFonts w:cs="Times New Roman"/>
                <w:noProof/>
              </w:rPr>
              <w:t>3. Section A: Sources of Financing</w:t>
            </w:r>
            <w:r>
              <w:rPr>
                <w:noProof/>
                <w:webHidden/>
              </w:rPr>
              <w:tab/>
            </w:r>
            <w:r>
              <w:rPr>
                <w:noProof/>
                <w:webHidden/>
              </w:rPr>
              <w:fldChar w:fldCharType="begin"/>
            </w:r>
            <w:r>
              <w:rPr>
                <w:noProof/>
                <w:webHidden/>
              </w:rPr>
              <w:instrText xml:space="preserve"> PAGEREF _Toc225194575 \h </w:instrText>
            </w:r>
            <w:r>
              <w:rPr>
                <w:noProof/>
                <w:webHidden/>
              </w:rPr>
            </w:r>
            <w:r>
              <w:rPr>
                <w:noProof/>
                <w:webHidden/>
              </w:rPr>
              <w:fldChar w:fldCharType="separate"/>
            </w:r>
            <w:r>
              <w:rPr>
                <w:noProof/>
                <w:webHidden/>
              </w:rPr>
              <w:t>5</w:t>
            </w:r>
            <w:r>
              <w:rPr>
                <w:noProof/>
                <w:webHidden/>
              </w:rPr>
              <w:fldChar w:fldCharType="end"/>
            </w:r>
          </w:hyperlink>
        </w:p>
        <w:p w14:paraId="4CF1D00F" w14:textId="3F356828" w:rsidR="00AE358D" w:rsidRDefault="00AE358D">
          <w:pPr>
            <w:pStyle w:val="TOC2"/>
            <w:tabs>
              <w:tab w:val="right" w:leader="dot" w:pos="9016"/>
            </w:tabs>
            <w:rPr>
              <w:rFonts w:asciiTheme="minorHAnsi" w:eastAsiaTheme="minorEastAsia" w:hAnsiTheme="minorHAnsi"/>
              <w:noProof/>
              <w:kern w:val="2"/>
              <w:szCs w:val="24"/>
              <w:lang w:eastAsia="en-GB"/>
              <w14:ligatures w14:val="standardContextual"/>
            </w:rPr>
          </w:pPr>
          <w:hyperlink w:anchor="_Toc225194576" w:history="1">
            <w:r w:rsidRPr="00194098">
              <w:rPr>
                <w:rStyle w:val="Hyperlink"/>
                <w:rFonts w:cs="Times New Roman"/>
                <w:b/>
                <w:bCs/>
                <w:noProof/>
              </w:rPr>
              <w:t>A3. Comparative Evaluation</w:t>
            </w:r>
            <w:r>
              <w:rPr>
                <w:noProof/>
                <w:webHidden/>
              </w:rPr>
              <w:tab/>
            </w:r>
            <w:r>
              <w:rPr>
                <w:noProof/>
                <w:webHidden/>
              </w:rPr>
              <w:fldChar w:fldCharType="begin"/>
            </w:r>
            <w:r>
              <w:rPr>
                <w:noProof/>
                <w:webHidden/>
              </w:rPr>
              <w:instrText xml:space="preserve"> PAGEREF _Toc225194576 \h </w:instrText>
            </w:r>
            <w:r>
              <w:rPr>
                <w:noProof/>
                <w:webHidden/>
              </w:rPr>
            </w:r>
            <w:r>
              <w:rPr>
                <w:noProof/>
                <w:webHidden/>
              </w:rPr>
              <w:fldChar w:fldCharType="separate"/>
            </w:r>
            <w:r>
              <w:rPr>
                <w:noProof/>
                <w:webHidden/>
              </w:rPr>
              <w:t>9</w:t>
            </w:r>
            <w:r>
              <w:rPr>
                <w:noProof/>
                <w:webHidden/>
              </w:rPr>
              <w:fldChar w:fldCharType="end"/>
            </w:r>
          </w:hyperlink>
        </w:p>
        <w:p w14:paraId="73C7BE7D" w14:textId="61B4C576" w:rsidR="00AE358D" w:rsidRDefault="00AE358D">
          <w:pPr>
            <w:pStyle w:val="TOC1"/>
            <w:tabs>
              <w:tab w:val="right" w:leader="dot" w:pos="9016"/>
            </w:tabs>
            <w:rPr>
              <w:rFonts w:asciiTheme="minorHAnsi" w:eastAsiaTheme="minorEastAsia" w:hAnsiTheme="minorHAnsi"/>
              <w:noProof/>
              <w:kern w:val="2"/>
              <w:szCs w:val="24"/>
              <w:lang w:eastAsia="en-GB"/>
              <w14:ligatures w14:val="standardContextual"/>
            </w:rPr>
          </w:pPr>
          <w:hyperlink w:anchor="_Toc225194577" w:history="1">
            <w:r w:rsidRPr="00194098">
              <w:rPr>
                <w:rStyle w:val="Hyperlink"/>
                <w:rFonts w:cs="Times New Roman"/>
                <w:noProof/>
              </w:rPr>
              <w:t>4. Section B: Capital Investment Appraisal</w:t>
            </w:r>
            <w:r>
              <w:rPr>
                <w:noProof/>
                <w:webHidden/>
              </w:rPr>
              <w:tab/>
            </w:r>
            <w:r>
              <w:rPr>
                <w:noProof/>
                <w:webHidden/>
              </w:rPr>
              <w:fldChar w:fldCharType="begin"/>
            </w:r>
            <w:r>
              <w:rPr>
                <w:noProof/>
                <w:webHidden/>
              </w:rPr>
              <w:instrText xml:space="preserve"> PAGEREF _Toc225194577 \h </w:instrText>
            </w:r>
            <w:r>
              <w:rPr>
                <w:noProof/>
                <w:webHidden/>
              </w:rPr>
            </w:r>
            <w:r>
              <w:rPr>
                <w:noProof/>
                <w:webHidden/>
              </w:rPr>
              <w:fldChar w:fldCharType="separate"/>
            </w:r>
            <w:r>
              <w:rPr>
                <w:noProof/>
                <w:webHidden/>
              </w:rPr>
              <w:t>11</w:t>
            </w:r>
            <w:r>
              <w:rPr>
                <w:noProof/>
                <w:webHidden/>
              </w:rPr>
              <w:fldChar w:fldCharType="end"/>
            </w:r>
          </w:hyperlink>
        </w:p>
        <w:p w14:paraId="50E3C8F4" w14:textId="26B1F0B3" w:rsidR="00AE358D" w:rsidRDefault="00AE358D">
          <w:pPr>
            <w:pStyle w:val="TOC2"/>
            <w:tabs>
              <w:tab w:val="right" w:leader="dot" w:pos="9016"/>
            </w:tabs>
            <w:rPr>
              <w:rFonts w:asciiTheme="minorHAnsi" w:eastAsiaTheme="minorEastAsia" w:hAnsiTheme="minorHAnsi"/>
              <w:noProof/>
              <w:kern w:val="2"/>
              <w:szCs w:val="24"/>
              <w:lang w:eastAsia="en-GB"/>
              <w14:ligatures w14:val="standardContextual"/>
            </w:rPr>
          </w:pPr>
          <w:hyperlink w:anchor="_Toc225194578" w:history="1">
            <w:r w:rsidRPr="00194098">
              <w:rPr>
                <w:rStyle w:val="Hyperlink"/>
                <w:rFonts w:cs="Times New Roman"/>
                <w:noProof/>
              </w:rPr>
              <w:t>B1. Assumptions</w:t>
            </w:r>
            <w:r>
              <w:rPr>
                <w:noProof/>
                <w:webHidden/>
              </w:rPr>
              <w:tab/>
            </w:r>
            <w:r>
              <w:rPr>
                <w:noProof/>
                <w:webHidden/>
              </w:rPr>
              <w:fldChar w:fldCharType="begin"/>
            </w:r>
            <w:r>
              <w:rPr>
                <w:noProof/>
                <w:webHidden/>
              </w:rPr>
              <w:instrText xml:space="preserve"> PAGEREF _Toc225194578 \h </w:instrText>
            </w:r>
            <w:r>
              <w:rPr>
                <w:noProof/>
                <w:webHidden/>
              </w:rPr>
            </w:r>
            <w:r>
              <w:rPr>
                <w:noProof/>
                <w:webHidden/>
              </w:rPr>
              <w:fldChar w:fldCharType="separate"/>
            </w:r>
            <w:r>
              <w:rPr>
                <w:noProof/>
                <w:webHidden/>
              </w:rPr>
              <w:t>11</w:t>
            </w:r>
            <w:r>
              <w:rPr>
                <w:noProof/>
                <w:webHidden/>
              </w:rPr>
              <w:fldChar w:fldCharType="end"/>
            </w:r>
          </w:hyperlink>
        </w:p>
        <w:p w14:paraId="4DA1291C" w14:textId="2BB485F1" w:rsidR="00AE358D" w:rsidRDefault="00AE358D">
          <w:pPr>
            <w:pStyle w:val="TOC2"/>
            <w:tabs>
              <w:tab w:val="right" w:leader="dot" w:pos="9016"/>
            </w:tabs>
            <w:rPr>
              <w:rFonts w:asciiTheme="minorHAnsi" w:eastAsiaTheme="minorEastAsia" w:hAnsiTheme="minorHAnsi"/>
              <w:noProof/>
              <w:kern w:val="2"/>
              <w:szCs w:val="24"/>
              <w:lang w:eastAsia="en-GB"/>
              <w14:ligatures w14:val="standardContextual"/>
            </w:rPr>
          </w:pPr>
          <w:hyperlink w:anchor="_Toc225194579" w:history="1">
            <w:r w:rsidRPr="00194098">
              <w:rPr>
                <w:rStyle w:val="Hyperlink"/>
                <w:rFonts w:cs="Times New Roman"/>
                <w:noProof/>
              </w:rPr>
              <w:t>B2. Financial Calculations</w:t>
            </w:r>
            <w:r>
              <w:rPr>
                <w:noProof/>
                <w:webHidden/>
              </w:rPr>
              <w:tab/>
            </w:r>
            <w:r>
              <w:rPr>
                <w:noProof/>
                <w:webHidden/>
              </w:rPr>
              <w:fldChar w:fldCharType="begin"/>
            </w:r>
            <w:r>
              <w:rPr>
                <w:noProof/>
                <w:webHidden/>
              </w:rPr>
              <w:instrText xml:space="preserve"> PAGEREF _Toc225194579 \h </w:instrText>
            </w:r>
            <w:r>
              <w:rPr>
                <w:noProof/>
                <w:webHidden/>
              </w:rPr>
            </w:r>
            <w:r>
              <w:rPr>
                <w:noProof/>
                <w:webHidden/>
              </w:rPr>
              <w:fldChar w:fldCharType="separate"/>
            </w:r>
            <w:r>
              <w:rPr>
                <w:noProof/>
                <w:webHidden/>
              </w:rPr>
              <w:t>12</w:t>
            </w:r>
            <w:r>
              <w:rPr>
                <w:noProof/>
                <w:webHidden/>
              </w:rPr>
              <w:fldChar w:fldCharType="end"/>
            </w:r>
          </w:hyperlink>
        </w:p>
        <w:p w14:paraId="3AB2E34D" w14:textId="12773643" w:rsidR="00AE358D" w:rsidRDefault="00AE358D">
          <w:pPr>
            <w:pStyle w:val="TOC2"/>
            <w:tabs>
              <w:tab w:val="right" w:leader="dot" w:pos="9016"/>
            </w:tabs>
            <w:rPr>
              <w:rFonts w:asciiTheme="minorHAnsi" w:eastAsiaTheme="minorEastAsia" w:hAnsiTheme="minorHAnsi"/>
              <w:noProof/>
              <w:kern w:val="2"/>
              <w:szCs w:val="24"/>
              <w:lang w:eastAsia="en-GB"/>
              <w14:ligatures w14:val="standardContextual"/>
            </w:rPr>
          </w:pPr>
          <w:hyperlink w:anchor="_Toc225194580" w:history="1">
            <w:r w:rsidRPr="00194098">
              <w:rPr>
                <w:rStyle w:val="Hyperlink"/>
                <w:rFonts w:cs="Times New Roman"/>
                <w:noProof/>
              </w:rPr>
              <w:t>B3. Scenario Analysis</w:t>
            </w:r>
            <w:r>
              <w:rPr>
                <w:noProof/>
                <w:webHidden/>
              </w:rPr>
              <w:tab/>
            </w:r>
            <w:r>
              <w:rPr>
                <w:noProof/>
                <w:webHidden/>
              </w:rPr>
              <w:fldChar w:fldCharType="begin"/>
            </w:r>
            <w:r>
              <w:rPr>
                <w:noProof/>
                <w:webHidden/>
              </w:rPr>
              <w:instrText xml:space="preserve"> PAGEREF _Toc225194580 \h </w:instrText>
            </w:r>
            <w:r>
              <w:rPr>
                <w:noProof/>
                <w:webHidden/>
              </w:rPr>
            </w:r>
            <w:r>
              <w:rPr>
                <w:noProof/>
                <w:webHidden/>
              </w:rPr>
              <w:fldChar w:fldCharType="separate"/>
            </w:r>
            <w:r>
              <w:rPr>
                <w:noProof/>
                <w:webHidden/>
              </w:rPr>
              <w:t>15</w:t>
            </w:r>
            <w:r>
              <w:rPr>
                <w:noProof/>
                <w:webHidden/>
              </w:rPr>
              <w:fldChar w:fldCharType="end"/>
            </w:r>
          </w:hyperlink>
        </w:p>
        <w:p w14:paraId="7BC6C96D" w14:textId="201F2526" w:rsidR="00AE358D" w:rsidRDefault="00AE358D">
          <w:pPr>
            <w:pStyle w:val="TOC2"/>
            <w:tabs>
              <w:tab w:val="right" w:leader="dot" w:pos="9016"/>
            </w:tabs>
            <w:rPr>
              <w:rFonts w:asciiTheme="minorHAnsi" w:eastAsiaTheme="minorEastAsia" w:hAnsiTheme="minorHAnsi"/>
              <w:noProof/>
              <w:kern w:val="2"/>
              <w:szCs w:val="24"/>
              <w:lang w:eastAsia="en-GB"/>
              <w14:ligatures w14:val="standardContextual"/>
            </w:rPr>
          </w:pPr>
          <w:hyperlink w:anchor="_Toc225194581" w:history="1">
            <w:r w:rsidRPr="00194098">
              <w:rPr>
                <w:rStyle w:val="Hyperlink"/>
                <w:rFonts w:cs="Times New Roman"/>
                <w:noProof/>
              </w:rPr>
              <w:t>B4. Sensitivity Analysis</w:t>
            </w:r>
            <w:r>
              <w:rPr>
                <w:noProof/>
                <w:webHidden/>
              </w:rPr>
              <w:tab/>
            </w:r>
            <w:r>
              <w:rPr>
                <w:noProof/>
                <w:webHidden/>
              </w:rPr>
              <w:fldChar w:fldCharType="begin"/>
            </w:r>
            <w:r>
              <w:rPr>
                <w:noProof/>
                <w:webHidden/>
              </w:rPr>
              <w:instrText xml:space="preserve"> PAGEREF _Toc225194581 \h </w:instrText>
            </w:r>
            <w:r>
              <w:rPr>
                <w:noProof/>
                <w:webHidden/>
              </w:rPr>
            </w:r>
            <w:r>
              <w:rPr>
                <w:noProof/>
                <w:webHidden/>
              </w:rPr>
              <w:fldChar w:fldCharType="separate"/>
            </w:r>
            <w:r>
              <w:rPr>
                <w:noProof/>
                <w:webHidden/>
              </w:rPr>
              <w:t>16</w:t>
            </w:r>
            <w:r>
              <w:rPr>
                <w:noProof/>
                <w:webHidden/>
              </w:rPr>
              <w:fldChar w:fldCharType="end"/>
            </w:r>
          </w:hyperlink>
        </w:p>
        <w:p w14:paraId="142A4D3E" w14:textId="023AFAC7" w:rsidR="00AE358D" w:rsidRDefault="00AE358D">
          <w:pPr>
            <w:pStyle w:val="TOC1"/>
            <w:tabs>
              <w:tab w:val="right" w:leader="dot" w:pos="9016"/>
            </w:tabs>
            <w:rPr>
              <w:rFonts w:asciiTheme="minorHAnsi" w:eastAsiaTheme="minorEastAsia" w:hAnsiTheme="minorHAnsi"/>
              <w:noProof/>
              <w:kern w:val="2"/>
              <w:szCs w:val="24"/>
              <w:lang w:eastAsia="en-GB"/>
              <w14:ligatures w14:val="standardContextual"/>
            </w:rPr>
          </w:pPr>
          <w:hyperlink w:anchor="_Toc225194582" w:history="1">
            <w:r w:rsidRPr="00194098">
              <w:rPr>
                <w:rStyle w:val="Hyperlink"/>
                <w:rFonts w:cs="Times New Roman"/>
                <w:noProof/>
              </w:rPr>
              <w:t>5. Section C: Cost Control Mechanisms</w:t>
            </w:r>
            <w:r>
              <w:rPr>
                <w:noProof/>
                <w:webHidden/>
              </w:rPr>
              <w:tab/>
            </w:r>
            <w:r>
              <w:rPr>
                <w:noProof/>
                <w:webHidden/>
              </w:rPr>
              <w:fldChar w:fldCharType="begin"/>
            </w:r>
            <w:r>
              <w:rPr>
                <w:noProof/>
                <w:webHidden/>
              </w:rPr>
              <w:instrText xml:space="preserve"> PAGEREF _Toc225194582 \h </w:instrText>
            </w:r>
            <w:r>
              <w:rPr>
                <w:noProof/>
                <w:webHidden/>
              </w:rPr>
            </w:r>
            <w:r>
              <w:rPr>
                <w:noProof/>
                <w:webHidden/>
              </w:rPr>
              <w:fldChar w:fldCharType="separate"/>
            </w:r>
            <w:r>
              <w:rPr>
                <w:noProof/>
                <w:webHidden/>
              </w:rPr>
              <w:t>17</w:t>
            </w:r>
            <w:r>
              <w:rPr>
                <w:noProof/>
                <w:webHidden/>
              </w:rPr>
              <w:fldChar w:fldCharType="end"/>
            </w:r>
          </w:hyperlink>
        </w:p>
        <w:p w14:paraId="35E1F3B4" w14:textId="195D9C34" w:rsidR="00AE358D" w:rsidRDefault="00AE358D">
          <w:pPr>
            <w:pStyle w:val="TOC2"/>
            <w:tabs>
              <w:tab w:val="right" w:leader="dot" w:pos="9016"/>
            </w:tabs>
            <w:rPr>
              <w:rFonts w:asciiTheme="minorHAnsi" w:eastAsiaTheme="minorEastAsia" w:hAnsiTheme="minorHAnsi"/>
              <w:noProof/>
              <w:kern w:val="2"/>
              <w:szCs w:val="24"/>
              <w:lang w:eastAsia="en-GB"/>
              <w14:ligatures w14:val="standardContextual"/>
            </w:rPr>
          </w:pPr>
          <w:hyperlink w:anchor="_Toc225194583" w:history="1">
            <w:r w:rsidRPr="00194098">
              <w:rPr>
                <w:rStyle w:val="Hyperlink"/>
                <w:rFonts w:cs="Times New Roman"/>
                <w:noProof/>
              </w:rPr>
              <w:t>C1. Governance &amp; Structure</w:t>
            </w:r>
            <w:r>
              <w:rPr>
                <w:noProof/>
                <w:webHidden/>
              </w:rPr>
              <w:tab/>
            </w:r>
            <w:r>
              <w:rPr>
                <w:noProof/>
                <w:webHidden/>
              </w:rPr>
              <w:fldChar w:fldCharType="begin"/>
            </w:r>
            <w:r>
              <w:rPr>
                <w:noProof/>
                <w:webHidden/>
              </w:rPr>
              <w:instrText xml:space="preserve"> PAGEREF _Toc225194583 \h </w:instrText>
            </w:r>
            <w:r>
              <w:rPr>
                <w:noProof/>
                <w:webHidden/>
              </w:rPr>
            </w:r>
            <w:r>
              <w:rPr>
                <w:noProof/>
                <w:webHidden/>
              </w:rPr>
              <w:fldChar w:fldCharType="separate"/>
            </w:r>
            <w:r>
              <w:rPr>
                <w:noProof/>
                <w:webHidden/>
              </w:rPr>
              <w:t>18</w:t>
            </w:r>
            <w:r>
              <w:rPr>
                <w:noProof/>
                <w:webHidden/>
              </w:rPr>
              <w:fldChar w:fldCharType="end"/>
            </w:r>
          </w:hyperlink>
        </w:p>
        <w:p w14:paraId="384F125D" w14:textId="661D3321" w:rsidR="00AE358D" w:rsidRDefault="00AE358D">
          <w:pPr>
            <w:pStyle w:val="TOC2"/>
            <w:tabs>
              <w:tab w:val="right" w:leader="dot" w:pos="9016"/>
            </w:tabs>
            <w:rPr>
              <w:rFonts w:asciiTheme="minorHAnsi" w:eastAsiaTheme="minorEastAsia" w:hAnsiTheme="minorHAnsi"/>
              <w:noProof/>
              <w:kern w:val="2"/>
              <w:szCs w:val="24"/>
              <w:lang w:eastAsia="en-GB"/>
              <w14:ligatures w14:val="standardContextual"/>
            </w:rPr>
          </w:pPr>
          <w:hyperlink w:anchor="_Toc225194584" w:history="1">
            <w:r w:rsidRPr="00194098">
              <w:rPr>
                <w:rStyle w:val="Hyperlink"/>
                <w:rFonts w:cs="Times New Roman"/>
                <w:noProof/>
              </w:rPr>
              <w:t>C2. Cost Baseline System</w:t>
            </w:r>
            <w:r>
              <w:rPr>
                <w:noProof/>
                <w:webHidden/>
              </w:rPr>
              <w:tab/>
            </w:r>
            <w:r>
              <w:rPr>
                <w:noProof/>
                <w:webHidden/>
              </w:rPr>
              <w:fldChar w:fldCharType="begin"/>
            </w:r>
            <w:r>
              <w:rPr>
                <w:noProof/>
                <w:webHidden/>
              </w:rPr>
              <w:instrText xml:space="preserve"> PAGEREF _Toc225194584 \h </w:instrText>
            </w:r>
            <w:r>
              <w:rPr>
                <w:noProof/>
                <w:webHidden/>
              </w:rPr>
            </w:r>
            <w:r>
              <w:rPr>
                <w:noProof/>
                <w:webHidden/>
              </w:rPr>
              <w:fldChar w:fldCharType="separate"/>
            </w:r>
            <w:r>
              <w:rPr>
                <w:noProof/>
                <w:webHidden/>
              </w:rPr>
              <w:t>18</w:t>
            </w:r>
            <w:r>
              <w:rPr>
                <w:noProof/>
                <w:webHidden/>
              </w:rPr>
              <w:fldChar w:fldCharType="end"/>
            </w:r>
          </w:hyperlink>
        </w:p>
        <w:p w14:paraId="4C8048AF" w14:textId="6180F0D6" w:rsidR="00AE358D" w:rsidRDefault="00AE358D">
          <w:pPr>
            <w:pStyle w:val="TOC2"/>
            <w:tabs>
              <w:tab w:val="right" w:leader="dot" w:pos="9016"/>
            </w:tabs>
            <w:rPr>
              <w:rFonts w:asciiTheme="minorHAnsi" w:eastAsiaTheme="minorEastAsia" w:hAnsiTheme="minorHAnsi"/>
              <w:noProof/>
              <w:kern w:val="2"/>
              <w:szCs w:val="24"/>
              <w:lang w:eastAsia="en-GB"/>
              <w14:ligatures w14:val="standardContextual"/>
            </w:rPr>
          </w:pPr>
          <w:hyperlink w:anchor="_Toc225194585" w:history="1">
            <w:r w:rsidRPr="00194098">
              <w:rPr>
                <w:rStyle w:val="Hyperlink"/>
                <w:rFonts w:cs="Times New Roman"/>
                <w:noProof/>
              </w:rPr>
              <w:t>C3. Contingency Budgeting</w:t>
            </w:r>
            <w:r>
              <w:rPr>
                <w:noProof/>
                <w:webHidden/>
              </w:rPr>
              <w:tab/>
            </w:r>
            <w:r>
              <w:rPr>
                <w:noProof/>
                <w:webHidden/>
              </w:rPr>
              <w:fldChar w:fldCharType="begin"/>
            </w:r>
            <w:r>
              <w:rPr>
                <w:noProof/>
                <w:webHidden/>
              </w:rPr>
              <w:instrText xml:space="preserve"> PAGEREF _Toc225194585 \h </w:instrText>
            </w:r>
            <w:r>
              <w:rPr>
                <w:noProof/>
                <w:webHidden/>
              </w:rPr>
            </w:r>
            <w:r>
              <w:rPr>
                <w:noProof/>
                <w:webHidden/>
              </w:rPr>
              <w:fldChar w:fldCharType="separate"/>
            </w:r>
            <w:r>
              <w:rPr>
                <w:noProof/>
                <w:webHidden/>
              </w:rPr>
              <w:t>19</w:t>
            </w:r>
            <w:r>
              <w:rPr>
                <w:noProof/>
                <w:webHidden/>
              </w:rPr>
              <w:fldChar w:fldCharType="end"/>
            </w:r>
          </w:hyperlink>
        </w:p>
        <w:p w14:paraId="707145AD" w14:textId="762764C3" w:rsidR="00AE358D" w:rsidRDefault="00AE358D">
          <w:pPr>
            <w:pStyle w:val="TOC2"/>
            <w:tabs>
              <w:tab w:val="right" w:leader="dot" w:pos="9016"/>
            </w:tabs>
            <w:rPr>
              <w:rFonts w:asciiTheme="minorHAnsi" w:eastAsiaTheme="minorEastAsia" w:hAnsiTheme="minorHAnsi"/>
              <w:noProof/>
              <w:kern w:val="2"/>
              <w:szCs w:val="24"/>
              <w:lang w:eastAsia="en-GB"/>
              <w14:ligatures w14:val="standardContextual"/>
            </w:rPr>
          </w:pPr>
          <w:hyperlink w:anchor="_Toc225194586" w:history="1">
            <w:r w:rsidRPr="00194098">
              <w:rPr>
                <w:rStyle w:val="Hyperlink"/>
                <w:rFonts w:cs="Times New Roman"/>
                <w:noProof/>
              </w:rPr>
              <w:t>C4. Earned Value Management (EVM)</w:t>
            </w:r>
            <w:r>
              <w:rPr>
                <w:noProof/>
                <w:webHidden/>
              </w:rPr>
              <w:tab/>
            </w:r>
            <w:r>
              <w:rPr>
                <w:noProof/>
                <w:webHidden/>
              </w:rPr>
              <w:fldChar w:fldCharType="begin"/>
            </w:r>
            <w:r>
              <w:rPr>
                <w:noProof/>
                <w:webHidden/>
              </w:rPr>
              <w:instrText xml:space="preserve"> PAGEREF _Toc225194586 \h </w:instrText>
            </w:r>
            <w:r>
              <w:rPr>
                <w:noProof/>
                <w:webHidden/>
              </w:rPr>
            </w:r>
            <w:r>
              <w:rPr>
                <w:noProof/>
                <w:webHidden/>
              </w:rPr>
              <w:fldChar w:fldCharType="separate"/>
            </w:r>
            <w:r>
              <w:rPr>
                <w:noProof/>
                <w:webHidden/>
              </w:rPr>
              <w:t>19</w:t>
            </w:r>
            <w:r>
              <w:rPr>
                <w:noProof/>
                <w:webHidden/>
              </w:rPr>
              <w:fldChar w:fldCharType="end"/>
            </w:r>
          </w:hyperlink>
        </w:p>
        <w:p w14:paraId="448AF176" w14:textId="31B406BB" w:rsidR="00AE358D" w:rsidRDefault="00AE358D">
          <w:pPr>
            <w:pStyle w:val="TOC2"/>
            <w:tabs>
              <w:tab w:val="right" w:leader="dot" w:pos="9016"/>
            </w:tabs>
            <w:rPr>
              <w:rFonts w:asciiTheme="minorHAnsi" w:eastAsiaTheme="minorEastAsia" w:hAnsiTheme="minorHAnsi"/>
              <w:noProof/>
              <w:kern w:val="2"/>
              <w:szCs w:val="24"/>
              <w:lang w:eastAsia="en-GB"/>
              <w14:ligatures w14:val="standardContextual"/>
            </w:rPr>
          </w:pPr>
          <w:hyperlink w:anchor="_Toc225194587" w:history="1">
            <w:r w:rsidRPr="00194098">
              <w:rPr>
                <w:rStyle w:val="Hyperlink"/>
                <w:rFonts w:cs="Times New Roman"/>
                <w:noProof/>
              </w:rPr>
              <w:t>C5. Cost Monitoring Process</w:t>
            </w:r>
            <w:r>
              <w:rPr>
                <w:noProof/>
                <w:webHidden/>
              </w:rPr>
              <w:tab/>
            </w:r>
            <w:r>
              <w:rPr>
                <w:noProof/>
                <w:webHidden/>
              </w:rPr>
              <w:fldChar w:fldCharType="begin"/>
            </w:r>
            <w:r>
              <w:rPr>
                <w:noProof/>
                <w:webHidden/>
              </w:rPr>
              <w:instrText xml:space="preserve"> PAGEREF _Toc225194587 \h </w:instrText>
            </w:r>
            <w:r>
              <w:rPr>
                <w:noProof/>
                <w:webHidden/>
              </w:rPr>
            </w:r>
            <w:r>
              <w:rPr>
                <w:noProof/>
                <w:webHidden/>
              </w:rPr>
              <w:fldChar w:fldCharType="separate"/>
            </w:r>
            <w:r>
              <w:rPr>
                <w:noProof/>
                <w:webHidden/>
              </w:rPr>
              <w:t>20</w:t>
            </w:r>
            <w:r>
              <w:rPr>
                <w:noProof/>
                <w:webHidden/>
              </w:rPr>
              <w:fldChar w:fldCharType="end"/>
            </w:r>
          </w:hyperlink>
        </w:p>
        <w:p w14:paraId="215E2033" w14:textId="6F9FBC3C" w:rsidR="00AE358D" w:rsidRDefault="00AE358D">
          <w:pPr>
            <w:pStyle w:val="TOC2"/>
            <w:tabs>
              <w:tab w:val="right" w:leader="dot" w:pos="9016"/>
            </w:tabs>
            <w:rPr>
              <w:rFonts w:asciiTheme="minorHAnsi" w:eastAsiaTheme="minorEastAsia" w:hAnsiTheme="minorHAnsi"/>
              <w:noProof/>
              <w:kern w:val="2"/>
              <w:szCs w:val="24"/>
              <w:lang w:eastAsia="en-GB"/>
              <w14:ligatures w14:val="standardContextual"/>
            </w:rPr>
          </w:pPr>
          <w:hyperlink w:anchor="_Toc225194588" w:history="1">
            <w:r w:rsidRPr="00194098">
              <w:rPr>
                <w:rStyle w:val="Hyperlink"/>
                <w:rFonts w:cs="Times New Roman"/>
                <w:noProof/>
              </w:rPr>
              <w:t>C6. Scope Creep Control</w:t>
            </w:r>
            <w:r>
              <w:rPr>
                <w:noProof/>
                <w:webHidden/>
              </w:rPr>
              <w:tab/>
            </w:r>
            <w:r>
              <w:rPr>
                <w:noProof/>
                <w:webHidden/>
              </w:rPr>
              <w:fldChar w:fldCharType="begin"/>
            </w:r>
            <w:r>
              <w:rPr>
                <w:noProof/>
                <w:webHidden/>
              </w:rPr>
              <w:instrText xml:space="preserve"> PAGEREF _Toc225194588 \h </w:instrText>
            </w:r>
            <w:r>
              <w:rPr>
                <w:noProof/>
                <w:webHidden/>
              </w:rPr>
            </w:r>
            <w:r>
              <w:rPr>
                <w:noProof/>
                <w:webHidden/>
              </w:rPr>
              <w:fldChar w:fldCharType="separate"/>
            </w:r>
            <w:r>
              <w:rPr>
                <w:noProof/>
                <w:webHidden/>
              </w:rPr>
              <w:t>20</w:t>
            </w:r>
            <w:r>
              <w:rPr>
                <w:noProof/>
                <w:webHidden/>
              </w:rPr>
              <w:fldChar w:fldCharType="end"/>
            </w:r>
          </w:hyperlink>
        </w:p>
        <w:p w14:paraId="33060052" w14:textId="07A2059E" w:rsidR="00AE358D" w:rsidRDefault="00AE358D">
          <w:pPr>
            <w:pStyle w:val="TOC2"/>
            <w:tabs>
              <w:tab w:val="right" w:leader="dot" w:pos="9016"/>
            </w:tabs>
            <w:rPr>
              <w:rFonts w:asciiTheme="minorHAnsi" w:eastAsiaTheme="minorEastAsia" w:hAnsiTheme="minorHAnsi"/>
              <w:noProof/>
              <w:kern w:val="2"/>
              <w:szCs w:val="24"/>
              <w:lang w:eastAsia="en-GB"/>
              <w14:ligatures w14:val="standardContextual"/>
            </w:rPr>
          </w:pPr>
          <w:hyperlink w:anchor="_Toc225194589" w:history="1">
            <w:r w:rsidRPr="00194098">
              <w:rPr>
                <w:rStyle w:val="Hyperlink"/>
                <w:rFonts w:cs="Times New Roman"/>
                <w:noProof/>
              </w:rPr>
              <w:t>C7. Risk Mitigation Strategies</w:t>
            </w:r>
            <w:r>
              <w:rPr>
                <w:noProof/>
                <w:webHidden/>
              </w:rPr>
              <w:tab/>
            </w:r>
            <w:r>
              <w:rPr>
                <w:noProof/>
                <w:webHidden/>
              </w:rPr>
              <w:fldChar w:fldCharType="begin"/>
            </w:r>
            <w:r>
              <w:rPr>
                <w:noProof/>
                <w:webHidden/>
              </w:rPr>
              <w:instrText xml:space="preserve"> PAGEREF _Toc225194589 \h </w:instrText>
            </w:r>
            <w:r>
              <w:rPr>
                <w:noProof/>
                <w:webHidden/>
              </w:rPr>
            </w:r>
            <w:r>
              <w:rPr>
                <w:noProof/>
                <w:webHidden/>
              </w:rPr>
              <w:fldChar w:fldCharType="separate"/>
            </w:r>
            <w:r>
              <w:rPr>
                <w:noProof/>
                <w:webHidden/>
              </w:rPr>
              <w:t>21</w:t>
            </w:r>
            <w:r>
              <w:rPr>
                <w:noProof/>
                <w:webHidden/>
              </w:rPr>
              <w:fldChar w:fldCharType="end"/>
            </w:r>
          </w:hyperlink>
        </w:p>
        <w:p w14:paraId="084721AF" w14:textId="32DFE351" w:rsidR="00AE358D" w:rsidRDefault="00AE358D">
          <w:pPr>
            <w:pStyle w:val="TOC2"/>
            <w:tabs>
              <w:tab w:val="right" w:leader="dot" w:pos="9016"/>
            </w:tabs>
            <w:rPr>
              <w:rFonts w:asciiTheme="minorHAnsi" w:eastAsiaTheme="minorEastAsia" w:hAnsiTheme="minorHAnsi"/>
              <w:noProof/>
              <w:kern w:val="2"/>
              <w:szCs w:val="24"/>
              <w:lang w:eastAsia="en-GB"/>
              <w14:ligatures w14:val="standardContextual"/>
            </w:rPr>
          </w:pPr>
          <w:hyperlink w:anchor="_Toc225194590" w:history="1">
            <w:r w:rsidRPr="00194098">
              <w:rPr>
                <w:rStyle w:val="Hyperlink"/>
                <w:rFonts w:cs="Times New Roman"/>
                <w:noProof/>
              </w:rPr>
              <w:t>C8. Practical Dashboard</w:t>
            </w:r>
            <w:r>
              <w:rPr>
                <w:noProof/>
                <w:webHidden/>
              </w:rPr>
              <w:tab/>
            </w:r>
            <w:r>
              <w:rPr>
                <w:noProof/>
                <w:webHidden/>
              </w:rPr>
              <w:fldChar w:fldCharType="begin"/>
            </w:r>
            <w:r>
              <w:rPr>
                <w:noProof/>
                <w:webHidden/>
              </w:rPr>
              <w:instrText xml:space="preserve"> PAGEREF _Toc225194590 \h </w:instrText>
            </w:r>
            <w:r>
              <w:rPr>
                <w:noProof/>
                <w:webHidden/>
              </w:rPr>
            </w:r>
            <w:r>
              <w:rPr>
                <w:noProof/>
                <w:webHidden/>
              </w:rPr>
              <w:fldChar w:fldCharType="separate"/>
            </w:r>
            <w:r>
              <w:rPr>
                <w:noProof/>
                <w:webHidden/>
              </w:rPr>
              <w:t>21</w:t>
            </w:r>
            <w:r>
              <w:rPr>
                <w:noProof/>
                <w:webHidden/>
              </w:rPr>
              <w:fldChar w:fldCharType="end"/>
            </w:r>
          </w:hyperlink>
        </w:p>
        <w:p w14:paraId="2BE3EC86" w14:textId="421366A2" w:rsidR="00AE358D" w:rsidRDefault="00AE358D">
          <w:pPr>
            <w:pStyle w:val="TOC1"/>
            <w:tabs>
              <w:tab w:val="right" w:leader="dot" w:pos="9016"/>
            </w:tabs>
            <w:rPr>
              <w:rFonts w:asciiTheme="minorHAnsi" w:eastAsiaTheme="minorEastAsia" w:hAnsiTheme="minorHAnsi"/>
              <w:noProof/>
              <w:kern w:val="2"/>
              <w:szCs w:val="24"/>
              <w:lang w:eastAsia="en-GB"/>
              <w14:ligatures w14:val="standardContextual"/>
            </w:rPr>
          </w:pPr>
          <w:hyperlink w:anchor="_Toc225194591" w:history="1">
            <w:r w:rsidRPr="00194098">
              <w:rPr>
                <w:rStyle w:val="Hyperlink"/>
                <w:rFonts w:cs="Times New Roman"/>
                <w:noProof/>
              </w:rPr>
              <w:t>6. Section D: Financial Reporting Framework</w:t>
            </w:r>
            <w:r>
              <w:rPr>
                <w:noProof/>
                <w:webHidden/>
              </w:rPr>
              <w:tab/>
            </w:r>
            <w:r>
              <w:rPr>
                <w:noProof/>
                <w:webHidden/>
              </w:rPr>
              <w:fldChar w:fldCharType="begin"/>
            </w:r>
            <w:r>
              <w:rPr>
                <w:noProof/>
                <w:webHidden/>
              </w:rPr>
              <w:instrText xml:space="preserve"> PAGEREF _Toc225194591 \h </w:instrText>
            </w:r>
            <w:r>
              <w:rPr>
                <w:noProof/>
                <w:webHidden/>
              </w:rPr>
            </w:r>
            <w:r>
              <w:rPr>
                <w:noProof/>
                <w:webHidden/>
              </w:rPr>
              <w:fldChar w:fldCharType="separate"/>
            </w:r>
            <w:r>
              <w:rPr>
                <w:noProof/>
                <w:webHidden/>
              </w:rPr>
              <w:t>22</w:t>
            </w:r>
            <w:r>
              <w:rPr>
                <w:noProof/>
                <w:webHidden/>
              </w:rPr>
              <w:fldChar w:fldCharType="end"/>
            </w:r>
          </w:hyperlink>
        </w:p>
        <w:p w14:paraId="61F5A220" w14:textId="49180086" w:rsidR="00AE358D" w:rsidRDefault="00AE358D">
          <w:pPr>
            <w:pStyle w:val="TOC2"/>
            <w:tabs>
              <w:tab w:val="right" w:leader="dot" w:pos="9016"/>
            </w:tabs>
            <w:rPr>
              <w:rFonts w:asciiTheme="minorHAnsi" w:eastAsiaTheme="minorEastAsia" w:hAnsiTheme="minorHAnsi"/>
              <w:noProof/>
              <w:kern w:val="2"/>
              <w:szCs w:val="24"/>
              <w:lang w:eastAsia="en-GB"/>
              <w14:ligatures w14:val="standardContextual"/>
            </w:rPr>
          </w:pPr>
          <w:hyperlink w:anchor="_Toc225194592" w:history="1">
            <w:r w:rsidRPr="00194098">
              <w:rPr>
                <w:rStyle w:val="Hyperlink"/>
                <w:rFonts w:cs="Times New Roman"/>
                <w:noProof/>
              </w:rPr>
              <w:t>D1. Reporting Types &amp; Frequency</w:t>
            </w:r>
            <w:r>
              <w:rPr>
                <w:noProof/>
                <w:webHidden/>
              </w:rPr>
              <w:tab/>
            </w:r>
            <w:r>
              <w:rPr>
                <w:noProof/>
                <w:webHidden/>
              </w:rPr>
              <w:fldChar w:fldCharType="begin"/>
            </w:r>
            <w:r>
              <w:rPr>
                <w:noProof/>
                <w:webHidden/>
              </w:rPr>
              <w:instrText xml:space="preserve"> PAGEREF _Toc225194592 \h </w:instrText>
            </w:r>
            <w:r>
              <w:rPr>
                <w:noProof/>
                <w:webHidden/>
              </w:rPr>
            </w:r>
            <w:r>
              <w:rPr>
                <w:noProof/>
                <w:webHidden/>
              </w:rPr>
              <w:fldChar w:fldCharType="separate"/>
            </w:r>
            <w:r>
              <w:rPr>
                <w:noProof/>
                <w:webHidden/>
              </w:rPr>
              <w:t>22</w:t>
            </w:r>
            <w:r>
              <w:rPr>
                <w:noProof/>
                <w:webHidden/>
              </w:rPr>
              <w:fldChar w:fldCharType="end"/>
            </w:r>
          </w:hyperlink>
        </w:p>
        <w:p w14:paraId="27599079" w14:textId="743AC1E2" w:rsidR="00AE358D" w:rsidRDefault="00AE358D">
          <w:pPr>
            <w:pStyle w:val="TOC2"/>
            <w:tabs>
              <w:tab w:val="right" w:leader="dot" w:pos="9016"/>
            </w:tabs>
            <w:rPr>
              <w:rFonts w:asciiTheme="minorHAnsi" w:eastAsiaTheme="minorEastAsia" w:hAnsiTheme="minorHAnsi"/>
              <w:noProof/>
              <w:kern w:val="2"/>
              <w:szCs w:val="24"/>
              <w:lang w:eastAsia="en-GB"/>
              <w14:ligatures w14:val="standardContextual"/>
            </w:rPr>
          </w:pPr>
          <w:hyperlink w:anchor="_Toc225194593" w:history="1">
            <w:r w:rsidRPr="00194098">
              <w:rPr>
                <w:rStyle w:val="Hyperlink"/>
                <w:rFonts w:cs="Times New Roman"/>
                <w:noProof/>
              </w:rPr>
              <w:t>D2. Key KPIs</w:t>
            </w:r>
            <w:r>
              <w:rPr>
                <w:noProof/>
                <w:webHidden/>
              </w:rPr>
              <w:tab/>
            </w:r>
            <w:r>
              <w:rPr>
                <w:noProof/>
                <w:webHidden/>
              </w:rPr>
              <w:fldChar w:fldCharType="begin"/>
            </w:r>
            <w:r>
              <w:rPr>
                <w:noProof/>
                <w:webHidden/>
              </w:rPr>
              <w:instrText xml:space="preserve"> PAGEREF _Toc225194593 \h </w:instrText>
            </w:r>
            <w:r>
              <w:rPr>
                <w:noProof/>
                <w:webHidden/>
              </w:rPr>
            </w:r>
            <w:r>
              <w:rPr>
                <w:noProof/>
                <w:webHidden/>
              </w:rPr>
              <w:fldChar w:fldCharType="separate"/>
            </w:r>
            <w:r>
              <w:rPr>
                <w:noProof/>
                <w:webHidden/>
              </w:rPr>
              <w:t>22</w:t>
            </w:r>
            <w:r>
              <w:rPr>
                <w:noProof/>
                <w:webHidden/>
              </w:rPr>
              <w:fldChar w:fldCharType="end"/>
            </w:r>
          </w:hyperlink>
        </w:p>
        <w:p w14:paraId="32084C8C" w14:textId="10F3F99F" w:rsidR="00AE358D" w:rsidRDefault="00AE358D">
          <w:pPr>
            <w:pStyle w:val="TOC2"/>
            <w:tabs>
              <w:tab w:val="right" w:leader="dot" w:pos="9016"/>
            </w:tabs>
            <w:rPr>
              <w:rFonts w:asciiTheme="minorHAnsi" w:eastAsiaTheme="minorEastAsia" w:hAnsiTheme="minorHAnsi"/>
              <w:noProof/>
              <w:kern w:val="2"/>
              <w:szCs w:val="24"/>
              <w:lang w:eastAsia="en-GB"/>
              <w14:ligatures w14:val="standardContextual"/>
            </w:rPr>
          </w:pPr>
          <w:hyperlink w:anchor="_Toc225194594" w:history="1">
            <w:r w:rsidRPr="00194098">
              <w:rPr>
                <w:rStyle w:val="Hyperlink"/>
                <w:rFonts w:cs="Times New Roman"/>
                <w:noProof/>
              </w:rPr>
              <w:t>D3. Governance Structure</w:t>
            </w:r>
            <w:r>
              <w:rPr>
                <w:noProof/>
                <w:webHidden/>
              </w:rPr>
              <w:tab/>
            </w:r>
            <w:r>
              <w:rPr>
                <w:noProof/>
                <w:webHidden/>
              </w:rPr>
              <w:fldChar w:fldCharType="begin"/>
            </w:r>
            <w:r>
              <w:rPr>
                <w:noProof/>
                <w:webHidden/>
              </w:rPr>
              <w:instrText xml:space="preserve"> PAGEREF _Toc225194594 \h </w:instrText>
            </w:r>
            <w:r>
              <w:rPr>
                <w:noProof/>
                <w:webHidden/>
              </w:rPr>
            </w:r>
            <w:r>
              <w:rPr>
                <w:noProof/>
                <w:webHidden/>
              </w:rPr>
              <w:fldChar w:fldCharType="separate"/>
            </w:r>
            <w:r>
              <w:rPr>
                <w:noProof/>
                <w:webHidden/>
              </w:rPr>
              <w:t>23</w:t>
            </w:r>
            <w:r>
              <w:rPr>
                <w:noProof/>
                <w:webHidden/>
              </w:rPr>
              <w:fldChar w:fldCharType="end"/>
            </w:r>
          </w:hyperlink>
        </w:p>
        <w:p w14:paraId="036D617E" w14:textId="1A46D0A2" w:rsidR="00AE358D" w:rsidRDefault="00AE358D">
          <w:pPr>
            <w:pStyle w:val="TOC2"/>
            <w:tabs>
              <w:tab w:val="right" w:leader="dot" w:pos="9016"/>
            </w:tabs>
            <w:rPr>
              <w:rFonts w:asciiTheme="minorHAnsi" w:eastAsiaTheme="minorEastAsia" w:hAnsiTheme="minorHAnsi"/>
              <w:noProof/>
              <w:kern w:val="2"/>
              <w:szCs w:val="24"/>
              <w:lang w:eastAsia="en-GB"/>
              <w14:ligatures w14:val="standardContextual"/>
            </w:rPr>
          </w:pPr>
          <w:hyperlink w:anchor="_Toc225194595" w:history="1">
            <w:r w:rsidRPr="00194098">
              <w:rPr>
                <w:rStyle w:val="Hyperlink"/>
                <w:rFonts w:cs="Times New Roman"/>
                <w:noProof/>
              </w:rPr>
              <w:t>D4. Financial Tools</w:t>
            </w:r>
            <w:r>
              <w:rPr>
                <w:noProof/>
                <w:webHidden/>
              </w:rPr>
              <w:tab/>
            </w:r>
            <w:r>
              <w:rPr>
                <w:noProof/>
                <w:webHidden/>
              </w:rPr>
              <w:fldChar w:fldCharType="begin"/>
            </w:r>
            <w:r>
              <w:rPr>
                <w:noProof/>
                <w:webHidden/>
              </w:rPr>
              <w:instrText xml:space="preserve"> PAGEREF _Toc225194595 \h </w:instrText>
            </w:r>
            <w:r>
              <w:rPr>
                <w:noProof/>
                <w:webHidden/>
              </w:rPr>
            </w:r>
            <w:r>
              <w:rPr>
                <w:noProof/>
                <w:webHidden/>
              </w:rPr>
              <w:fldChar w:fldCharType="separate"/>
            </w:r>
            <w:r>
              <w:rPr>
                <w:noProof/>
                <w:webHidden/>
              </w:rPr>
              <w:t>23</w:t>
            </w:r>
            <w:r>
              <w:rPr>
                <w:noProof/>
                <w:webHidden/>
              </w:rPr>
              <w:fldChar w:fldCharType="end"/>
            </w:r>
          </w:hyperlink>
        </w:p>
        <w:p w14:paraId="1641CEF5" w14:textId="11D85BA2" w:rsidR="00AE358D" w:rsidRDefault="00AE358D">
          <w:pPr>
            <w:pStyle w:val="TOC2"/>
            <w:tabs>
              <w:tab w:val="right" w:leader="dot" w:pos="9016"/>
            </w:tabs>
            <w:rPr>
              <w:rFonts w:asciiTheme="minorHAnsi" w:eastAsiaTheme="minorEastAsia" w:hAnsiTheme="minorHAnsi"/>
              <w:noProof/>
              <w:kern w:val="2"/>
              <w:szCs w:val="24"/>
              <w:lang w:eastAsia="en-GB"/>
              <w14:ligatures w14:val="standardContextual"/>
            </w:rPr>
          </w:pPr>
          <w:hyperlink w:anchor="_Toc225194596" w:history="1">
            <w:r w:rsidRPr="00194098">
              <w:rPr>
                <w:rStyle w:val="Hyperlink"/>
                <w:rFonts w:cs="Times New Roman"/>
                <w:noProof/>
              </w:rPr>
              <w:t>D5. Reporting Benefits</w:t>
            </w:r>
            <w:r>
              <w:rPr>
                <w:noProof/>
                <w:webHidden/>
              </w:rPr>
              <w:tab/>
            </w:r>
            <w:r>
              <w:rPr>
                <w:noProof/>
                <w:webHidden/>
              </w:rPr>
              <w:fldChar w:fldCharType="begin"/>
            </w:r>
            <w:r>
              <w:rPr>
                <w:noProof/>
                <w:webHidden/>
              </w:rPr>
              <w:instrText xml:space="preserve"> PAGEREF _Toc225194596 \h </w:instrText>
            </w:r>
            <w:r>
              <w:rPr>
                <w:noProof/>
                <w:webHidden/>
              </w:rPr>
            </w:r>
            <w:r>
              <w:rPr>
                <w:noProof/>
                <w:webHidden/>
              </w:rPr>
              <w:fldChar w:fldCharType="separate"/>
            </w:r>
            <w:r>
              <w:rPr>
                <w:noProof/>
                <w:webHidden/>
              </w:rPr>
              <w:t>24</w:t>
            </w:r>
            <w:r>
              <w:rPr>
                <w:noProof/>
                <w:webHidden/>
              </w:rPr>
              <w:fldChar w:fldCharType="end"/>
            </w:r>
          </w:hyperlink>
        </w:p>
        <w:p w14:paraId="75AD389C" w14:textId="1984583D" w:rsidR="00AE358D" w:rsidRDefault="00AE358D">
          <w:pPr>
            <w:pStyle w:val="TOC1"/>
            <w:tabs>
              <w:tab w:val="right" w:leader="dot" w:pos="9016"/>
            </w:tabs>
            <w:rPr>
              <w:rFonts w:asciiTheme="minorHAnsi" w:eastAsiaTheme="minorEastAsia" w:hAnsiTheme="minorHAnsi"/>
              <w:noProof/>
              <w:kern w:val="2"/>
              <w:szCs w:val="24"/>
              <w:lang w:eastAsia="en-GB"/>
              <w14:ligatures w14:val="standardContextual"/>
            </w:rPr>
          </w:pPr>
          <w:hyperlink w:anchor="_Toc225194597" w:history="1">
            <w:r w:rsidRPr="00194098">
              <w:rPr>
                <w:rStyle w:val="Hyperlink"/>
                <w:rFonts w:cs="Times New Roman"/>
                <w:noProof/>
              </w:rPr>
              <w:t>7. Conclusion &amp; Recommendations</w:t>
            </w:r>
            <w:r>
              <w:rPr>
                <w:noProof/>
                <w:webHidden/>
              </w:rPr>
              <w:tab/>
            </w:r>
            <w:r>
              <w:rPr>
                <w:noProof/>
                <w:webHidden/>
              </w:rPr>
              <w:fldChar w:fldCharType="begin"/>
            </w:r>
            <w:r>
              <w:rPr>
                <w:noProof/>
                <w:webHidden/>
              </w:rPr>
              <w:instrText xml:space="preserve"> PAGEREF _Toc225194597 \h </w:instrText>
            </w:r>
            <w:r>
              <w:rPr>
                <w:noProof/>
                <w:webHidden/>
              </w:rPr>
            </w:r>
            <w:r>
              <w:rPr>
                <w:noProof/>
                <w:webHidden/>
              </w:rPr>
              <w:fldChar w:fldCharType="separate"/>
            </w:r>
            <w:r>
              <w:rPr>
                <w:noProof/>
                <w:webHidden/>
              </w:rPr>
              <w:t>25</w:t>
            </w:r>
            <w:r>
              <w:rPr>
                <w:noProof/>
                <w:webHidden/>
              </w:rPr>
              <w:fldChar w:fldCharType="end"/>
            </w:r>
          </w:hyperlink>
        </w:p>
        <w:p w14:paraId="1F4DD607" w14:textId="1161ADF0" w:rsidR="00B2205B" w:rsidRDefault="00B2205B" w:rsidP="00B2205B">
          <w:pPr>
            <w:spacing w:line="360" w:lineRule="auto"/>
          </w:pPr>
          <w:r>
            <w:rPr>
              <w:b/>
              <w:bCs/>
              <w:noProof/>
            </w:rPr>
            <w:fldChar w:fldCharType="end"/>
          </w:r>
        </w:p>
      </w:sdtContent>
    </w:sdt>
    <w:p w14:paraId="426DC4E5" w14:textId="77777777" w:rsidR="00B2205B" w:rsidRDefault="00B2205B" w:rsidP="00B2205B">
      <w:pPr>
        <w:pStyle w:val="TOCHeading"/>
        <w:spacing w:line="360" w:lineRule="auto"/>
        <w:rPr>
          <w:rFonts w:ascii="Times New Roman" w:hAnsi="Times New Roman"/>
          <w:b/>
          <w:color w:val="auto"/>
        </w:rPr>
      </w:pPr>
    </w:p>
    <w:p w14:paraId="07C6C78E" w14:textId="77777777" w:rsidR="00B2205B" w:rsidRDefault="00B2205B" w:rsidP="00B2205B">
      <w:pPr>
        <w:pStyle w:val="TOCHeading"/>
        <w:spacing w:line="360" w:lineRule="auto"/>
        <w:rPr>
          <w:rFonts w:ascii="Times New Roman" w:hAnsi="Times New Roman"/>
          <w:b/>
          <w:color w:val="auto"/>
        </w:rPr>
      </w:pPr>
    </w:p>
    <w:p w14:paraId="57E5B721" w14:textId="77777777" w:rsidR="00B2205B" w:rsidRDefault="00B2205B" w:rsidP="00B2205B">
      <w:pPr>
        <w:rPr>
          <w:lang w:val="en-US"/>
        </w:rPr>
      </w:pPr>
    </w:p>
    <w:p w14:paraId="399EC04B" w14:textId="77777777" w:rsidR="00B2205B" w:rsidRDefault="00B2205B" w:rsidP="00B2205B">
      <w:pPr>
        <w:rPr>
          <w:lang w:val="en-US"/>
        </w:rPr>
      </w:pPr>
    </w:p>
    <w:p w14:paraId="7F4E7B86" w14:textId="77777777" w:rsidR="003617AB" w:rsidRPr="00B2205B" w:rsidRDefault="003617AB" w:rsidP="00B2205B">
      <w:pPr>
        <w:rPr>
          <w:lang w:val="en-US"/>
        </w:rPr>
      </w:pPr>
    </w:p>
    <w:p w14:paraId="08189720" w14:textId="3727AA8D" w:rsidR="00B2205B" w:rsidRDefault="00B2205B" w:rsidP="00B2205B">
      <w:pPr>
        <w:pStyle w:val="TOCHeading"/>
        <w:spacing w:line="360" w:lineRule="auto"/>
        <w:rPr>
          <w:rFonts w:ascii="Times New Roman" w:hAnsi="Times New Roman"/>
          <w:b/>
          <w:color w:val="auto"/>
        </w:rPr>
      </w:pPr>
      <w:r w:rsidRPr="0092215D">
        <w:rPr>
          <w:rFonts w:ascii="Times New Roman" w:hAnsi="Times New Roman"/>
          <w:b/>
          <w:color w:val="auto"/>
        </w:rPr>
        <w:lastRenderedPageBreak/>
        <w:t xml:space="preserve">Table of </w:t>
      </w:r>
      <w:r>
        <w:rPr>
          <w:rFonts w:ascii="Times New Roman" w:hAnsi="Times New Roman"/>
          <w:b/>
          <w:color w:val="auto"/>
        </w:rPr>
        <w:t>Figures</w:t>
      </w:r>
    </w:p>
    <w:p w14:paraId="326A4C2A" w14:textId="77777777" w:rsidR="00B2205B" w:rsidRDefault="00B2205B" w:rsidP="00B2205B">
      <w:pPr>
        <w:pStyle w:val="TableofFigures"/>
        <w:tabs>
          <w:tab w:val="right" w:leader="dot" w:pos="9016"/>
        </w:tabs>
        <w:spacing w:line="360" w:lineRule="auto"/>
        <w:rPr>
          <w:rFonts w:asciiTheme="minorHAnsi" w:eastAsiaTheme="minorEastAsia" w:hAnsiTheme="minorHAnsi"/>
          <w:noProof/>
          <w:sz w:val="22"/>
          <w:lang w:val="en-IN" w:eastAsia="en-IN"/>
        </w:rPr>
      </w:pPr>
      <w:r>
        <w:rPr>
          <w:lang w:val="en-US"/>
        </w:rPr>
        <w:fldChar w:fldCharType="begin"/>
      </w:r>
      <w:r>
        <w:rPr>
          <w:lang w:val="en-US"/>
        </w:rPr>
        <w:instrText xml:space="preserve"> TOC \h \z \c "Figure" </w:instrText>
      </w:r>
      <w:r>
        <w:rPr>
          <w:lang w:val="en-US"/>
        </w:rPr>
        <w:fldChar w:fldCharType="separate"/>
      </w:r>
      <w:hyperlink w:anchor="_Toc225177766" w:history="1">
        <w:r w:rsidRPr="00E967FF">
          <w:rPr>
            <w:rStyle w:val="Hyperlink"/>
            <w:noProof/>
          </w:rPr>
          <w:t>Figure 1: Financing Requirement Breakdown Chart (Source: Author)</w:t>
        </w:r>
        <w:r>
          <w:rPr>
            <w:noProof/>
            <w:webHidden/>
          </w:rPr>
          <w:tab/>
        </w:r>
        <w:r>
          <w:rPr>
            <w:noProof/>
            <w:webHidden/>
          </w:rPr>
          <w:fldChar w:fldCharType="begin"/>
        </w:r>
        <w:r>
          <w:rPr>
            <w:noProof/>
            <w:webHidden/>
          </w:rPr>
          <w:instrText xml:space="preserve"> PAGEREF _Toc225177766 \h </w:instrText>
        </w:r>
        <w:r>
          <w:rPr>
            <w:noProof/>
            <w:webHidden/>
          </w:rPr>
        </w:r>
        <w:r>
          <w:rPr>
            <w:noProof/>
            <w:webHidden/>
          </w:rPr>
          <w:fldChar w:fldCharType="separate"/>
        </w:r>
        <w:r>
          <w:rPr>
            <w:noProof/>
            <w:webHidden/>
          </w:rPr>
          <w:t>8</w:t>
        </w:r>
        <w:r>
          <w:rPr>
            <w:noProof/>
            <w:webHidden/>
          </w:rPr>
          <w:fldChar w:fldCharType="end"/>
        </w:r>
      </w:hyperlink>
    </w:p>
    <w:p w14:paraId="32F8C12C" w14:textId="77777777" w:rsidR="00B2205B" w:rsidRDefault="00B2205B" w:rsidP="00B2205B">
      <w:pPr>
        <w:pStyle w:val="TableofFigures"/>
        <w:tabs>
          <w:tab w:val="right" w:leader="dot" w:pos="9016"/>
        </w:tabs>
        <w:spacing w:line="360" w:lineRule="auto"/>
        <w:rPr>
          <w:rFonts w:asciiTheme="minorHAnsi" w:eastAsiaTheme="minorEastAsia" w:hAnsiTheme="minorHAnsi"/>
          <w:noProof/>
          <w:sz w:val="22"/>
          <w:lang w:val="en-IN" w:eastAsia="en-IN"/>
        </w:rPr>
      </w:pPr>
      <w:hyperlink w:anchor="_Toc225177767" w:history="1">
        <w:r w:rsidRPr="00E967FF">
          <w:rPr>
            <w:rStyle w:val="Hyperlink"/>
            <w:noProof/>
          </w:rPr>
          <w:t>Figure 2: Cash Flow Timeline Diagram (Source: Author)</w:t>
        </w:r>
        <w:r>
          <w:rPr>
            <w:noProof/>
            <w:webHidden/>
          </w:rPr>
          <w:tab/>
        </w:r>
        <w:r>
          <w:rPr>
            <w:noProof/>
            <w:webHidden/>
          </w:rPr>
          <w:fldChar w:fldCharType="begin"/>
        </w:r>
        <w:r>
          <w:rPr>
            <w:noProof/>
            <w:webHidden/>
          </w:rPr>
          <w:instrText xml:space="preserve"> PAGEREF _Toc225177767 \h </w:instrText>
        </w:r>
        <w:r>
          <w:rPr>
            <w:noProof/>
            <w:webHidden/>
          </w:rPr>
        </w:r>
        <w:r>
          <w:rPr>
            <w:noProof/>
            <w:webHidden/>
          </w:rPr>
          <w:fldChar w:fldCharType="separate"/>
        </w:r>
        <w:r>
          <w:rPr>
            <w:noProof/>
            <w:webHidden/>
          </w:rPr>
          <w:t>8</w:t>
        </w:r>
        <w:r>
          <w:rPr>
            <w:noProof/>
            <w:webHidden/>
          </w:rPr>
          <w:fldChar w:fldCharType="end"/>
        </w:r>
      </w:hyperlink>
    </w:p>
    <w:p w14:paraId="0C178DA1" w14:textId="77777777" w:rsidR="00B2205B" w:rsidRDefault="00B2205B" w:rsidP="00B2205B">
      <w:pPr>
        <w:pStyle w:val="TableofFigures"/>
        <w:tabs>
          <w:tab w:val="right" w:leader="dot" w:pos="9016"/>
        </w:tabs>
        <w:spacing w:line="360" w:lineRule="auto"/>
        <w:rPr>
          <w:rFonts w:asciiTheme="minorHAnsi" w:eastAsiaTheme="minorEastAsia" w:hAnsiTheme="minorHAnsi"/>
          <w:noProof/>
          <w:sz w:val="22"/>
          <w:lang w:val="en-IN" w:eastAsia="en-IN"/>
        </w:rPr>
      </w:pPr>
      <w:hyperlink w:anchor="_Toc225177768" w:history="1">
        <w:r w:rsidRPr="00E967FF">
          <w:rPr>
            <w:rStyle w:val="Hyperlink"/>
            <w:noProof/>
          </w:rPr>
          <w:t>Figure 3: Comparative Table of Financing (Source: Author)</w:t>
        </w:r>
        <w:r>
          <w:rPr>
            <w:noProof/>
            <w:webHidden/>
          </w:rPr>
          <w:tab/>
        </w:r>
        <w:r>
          <w:rPr>
            <w:noProof/>
            <w:webHidden/>
          </w:rPr>
          <w:fldChar w:fldCharType="begin"/>
        </w:r>
        <w:r>
          <w:rPr>
            <w:noProof/>
            <w:webHidden/>
          </w:rPr>
          <w:instrText xml:space="preserve"> PAGEREF _Toc225177768 \h </w:instrText>
        </w:r>
        <w:r>
          <w:rPr>
            <w:noProof/>
            <w:webHidden/>
          </w:rPr>
        </w:r>
        <w:r>
          <w:rPr>
            <w:noProof/>
            <w:webHidden/>
          </w:rPr>
          <w:fldChar w:fldCharType="separate"/>
        </w:r>
        <w:r>
          <w:rPr>
            <w:noProof/>
            <w:webHidden/>
          </w:rPr>
          <w:t>10</w:t>
        </w:r>
        <w:r>
          <w:rPr>
            <w:noProof/>
            <w:webHidden/>
          </w:rPr>
          <w:fldChar w:fldCharType="end"/>
        </w:r>
      </w:hyperlink>
    </w:p>
    <w:p w14:paraId="7EA10864" w14:textId="77777777" w:rsidR="00B2205B" w:rsidRDefault="00B2205B" w:rsidP="00B2205B">
      <w:pPr>
        <w:pStyle w:val="TableofFigures"/>
        <w:tabs>
          <w:tab w:val="right" w:leader="dot" w:pos="9016"/>
        </w:tabs>
        <w:spacing w:line="360" w:lineRule="auto"/>
        <w:rPr>
          <w:rFonts w:asciiTheme="minorHAnsi" w:eastAsiaTheme="minorEastAsia" w:hAnsiTheme="minorHAnsi"/>
          <w:noProof/>
          <w:sz w:val="22"/>
          <w:lang w:val="en-IN" w:eastAsia="en-IN"/>
        </w:rPr>
      </w:pPr>
      <w:hyperlink w:anchor="_Toc225177769" w:history="1">
        <w:r w:rsidRPr="00E967FF">
          <w:rPr>
            <w:rStyle w:val="Hyperlink"/>
            <w:noProof/>
          </w:rPr>
          <w:t>Figure 4: Financing Mix Pie Chart; (Source: Author)</w:t>
        </w:r>
        <w:r>
          <w:rPr>
            <w:noProof/>
            <w:webHidden/>
          </w:rPr>
          <w:tab/>
        </w:r>
        <w:r>
          <w:rPr>
            <w:noProof/>
            <w:webHidden/>
          </w:rPr>
          <w:fldChar w:fldCharType="begin"/>
        </w:r>
        <w:r>
          <w:rPr>
            <w:noProof/>
            <w:webHidden/>
          </w:rPr>
          <w:instrText xml:space="preserve"> PAGEREF _Toc225177769 \h </w:instrText>
        </w:r>
        <w:r>
          <w:rPr>
            <w:noProof/>
            <w:webHidden/>
          </w:rPr>
        </w:r>
        <w:r>
          <w:rPr>
            <w:noProof/>
            <w:webHidden/>
          </w:rPr>
          <w:fldChar w:fldCharType="separate"/>
        </w:r>
        <w:r>
          <w:rPr>
            <w:noProof/>
            <w:webHidden/>
          </w:rPr>
          <w:t>10</w:t>
        </w:r>
        <w:r>
          <w:rPr>
            <w:noProof/>
            <w:webHidden/>
          </w:rPr>
          <w:fldChar w:fldCharType="end"/>
        </w:r>
      </w:hyperlink>
    </w:p>
    <w:p w14:paraId="02CBD94C" w14:textId="77777777" w:rsidR="00B2205B" w:rsidRDefault="00B2205B" w:rsidP="00B2205B">
      <w:pPr>
        <w:pStyle w:val="TableofFigures"/>
        <w:tabs>
          <w:tab w:val="right" w:leader="dot" w:pos="9016"/>
        </w:tabs>
        <w:spacing w:line="360" w:lineRule="auto"/>
        <w:rPr>
          <w:rFonts w:asciiTheme="minorHAnsi" w:eastAsiaTheme="minorEastAsia" w:hAnsiTheme="minorHAnsi"/>
          <w:noProof/>
          <w:sz w:val="22"/>
          <w:lang w:val="en-IN" w:eastAsia="en-IN"/>
        </w:rPr>
      </w:pPr>
      <w:hyperlink w:anchor="_Toc225177770" w:history="1">
        <w:r w:rsidRPr="00E967FF">
          <w:rPr>
            <w:rStyle w:val="Hyperlink"/>
            <w:noProof/>
          </w:rPr>
          <w:t>Figure 5: Payback Graph (Source: Author)</w:t>
        </w:r>
        <w:r>
          <w:rPr>
            <w:noProof/>
            <w:webHidden/>
          </w:rPr>
          <w:tab/>
        </w:r>
        <w:r>
          <w:rPr>
            <w:noProof/>
            <w:webHidden/>
          </w:rPr>
          <w:fldChar w:fldCharType="begin"/>
        </w:r>
        <w:r>
          <w:rPr>
            <w:noProof/>
            <w:webHidden/>
          </w:rPr>
          <w:instrText xml:space="preserve"> PAGEREF _Toc225177770 \h </w:instrText>
        </w:r>
        <w:r>
          <w:rPr>
            <w:noProof/>
            <w:webHidden/>
          </w:rPr>
        </w:r>
        <w:r>
          <w:rPr>
            <w:noProof/>
            <w:webHidden/>
          </w:rPr>
          <w:fldChar w:fldCharType="separate"/>
        </w:r>
        <w:r>
          <w:rPr>
            <w:noProof/>
            <w:webHidden/>
          </w:rPr>
          <w:t>14</w:t>
        </w:r>
        <w:r>
          <w:rPr>
            <w:noProof/>
            <w:webHidden/>
          </w:rPr>
          <w:fldChar w:fldCharType="end"/>
        </w:r>
      </w:hyperlink>
    </w:p>
    <w:p w14:paraId="615BDA8D" w14:textId="77777777" w:rsidR="00B2205B" w:rsidRDefault="00B2205B" w:rsidP="00B2205B">
      <w:pPr>
        <w:pStyle w:val="TableofFigures"/>
        <w:tabs>
          <w:tab w:val="right" w:leader="dot" w:pos="9016"/>
        </w:tabs>
        <w:spacing w:line="360" w:lineRule="auto"/>
        <w:rPr>
          <w:rFonts w:asciiTheme="minorHAnsi" w:eastAsiaTheme="minorEastAsia" w:hAnsiTheme="minorHAnsi"/>
          <w:noProof/>
          <w:sz w:val="22"/>
          <w:lang w:val="en-IN" w:eastAsia="en-IN"/>
        </w:rPr>
      </w:pPr>
      <w:hyperlink w:anchor="_Toc225177771" w:history="1">
        <w:r w:rsidRPr="00E967FF">
          <w:rPr>
            <w:rStyle w:val="Hyperlink"/>
            <w:noProof/>
          </w:rPr>
          <w:t>Figure 6: Sensitivity Analysis Chart (Source: Author)</w:t>
        </w:r>
        <w:r>
          <w:rPr>
            <w:noProof/>
            <w:webHidden/>
          </w:rPr>
          <w:tab/>
        </w:r>
        <w:r>
          <w:rPr>
            <w:noProof/>
            <w:webHidden/>
          </w:rPr>
          <w:fldChar w:fldCharType="begin"/>
        </w:r>
        <w:r>
          <w:rPr>
            <w:noProof/>
            <w:webHidden/>
          </w:rPr>
          <w:instrText xml:space="preserve"> PAGEREF _Toc225177771 \h </w:instrText>
        </w:r>
        <w:r>
          <w:rPr>
            <w:noProof/>
            <w:webHidden/>
          </w:rPr>
        </w:r>
        <w:r>
          <w:rPr>
            <w:noProof/>
            <w:webHidden/>
          </w:rPr>
          <w:fldChar w:fldCharType="separate"/>
        </w:r>
        <w:r>
          <w:rPr>
            <w:noProof/>
            <w:webHidden/>
          </w:rPr>
          <w:t>15</w:t>
        </w:r>
        <w:r>
          <w:rPr>
            <w:noProof/>
            <w:webHidden/>
          </w:rPr>
          <w:fldChar w:fldCharType="end"/>
        </w:r>
      </w:hyperlink>
    </w:p>
    <w:p w14:paraId="1BDC37EE" w14:textId="77777777" w:rsidR="00B2205B" w:rsidRDefault="00B2205B" w:rsidP="00B2205B">
      <w:pPr>
        <w:pStyle w:val="TableofFigures"/>
        <w:tabs>
          <w:tab w:val="right" w:leader="dot" w:pos="9016"/>
        </w:tabs>
        <w:spacing w:line="360" w:lineRule="auto"/>
        <w:rPr>
          <w:rFonts w:asciiTheme="minorHAnsi" w:eastAsiaTheme="minorEastAsia" w:hAnsiTheme="minorHAnsi"/>
          <w:noProof/>
          <w:sz w:val="22"/>
          <w:lang w:val="en-IN" w:eastAsia="en-IN"/>
        </w:rPr>
      </w:pPr>
      <w:hyperlink w:anchor="_Toc225177772" w:history="1">
        <w:r w:rsidRPr="00E967FF">
          <w:rPr>
            <w:rStyle w:val="Hyperlink"/>
            <w:noProof/>
          </w:rPr>
          <w:t>Figure 7: RACI Matrix (Project Financial Management); (Source: Author)</w:t>
        </w:r>
        <w:r>
          <w:rPr>
            <w:noProof/>
            <w:webHidden/>
          </w:rPr>
          <w:tab/>
        </w:r>
        <w:r>
          <w:rPr>
            <w:noProof/>
            <w:webHidden/>
          </w:rPr>
          <w:fldChar w:fldCharType="begin"/>
        </w:r>
        <w:r>
          <w:rPr>
            <w:noProof/>
            <w:webHidden/>
          </w:rPr>
          <w:instrText xml:space="preserve"> PAGEREF _Toc225177772 \h </w:instrText>
        </w:r>
        <w:r>
          <w:rPr>
            <w:noProof/>
            <w:webHidden/>
          </w:rPr>
        </w:r>
        <w:r>
          <w:rPr>
            <w:noProof/>
            <w:webHidden/>
          </w:rPr>
          <w:fldChar w:fldCharType="separate"/>
        </w:r>
        <w:r>
          <w:rPr>
            <w:noProof/>
            <w:webHidden/>
          </w:rPr>
          <w:t>18</w:t>
        </w:r>
        <w:r>
          <w:rPr>
            <w:noProof/>
            <w:webHidden/>
          </w:rPr>
          <w:fldChar w:fldCharType="end"/>
        </w:r>
      </w:hyperlink>
    </w:p>
    <w:p w14:paraId="6A5A74BC" w14:textId="77777777" w:rsidR="00B2205B" w:rsidRDefault="00B2205B" w:rsidP="00B2205B">
      <w:pPr>
        <w:pStyle w:val="TableofFigures"/>
        <w:tabs>
          <w:tab w:val="right" w:leader="dot" w:pos="9016"/>
        </w:tabs>
        <w:spacing w:line="360" w:lineRule="auto"/>
        <w:rPr>
          <w:rFonts w:asciiTheme="minorHAnsi" w:eastAsiaTheme="minorEastAsia" w:hAnsiTheme="minorHAnsi"/>
          <w:noProof/>
          <w:sz w:val="22"/>
          <w:lang w:val="en-IN" w:eastAsia="en-IN"/>
        </w:rPr>
      </w:pPr>
      <w:hyperlink w:anchor="_Toc225177773" w:history="1">
        <w:r w:rsidRPr="00E967FF">
          <w:rPr>
            <w:rStyle w:val="Hyperlink"/>
            <w:noProof/>
          </w:rPr>
          <w:t>Figure 8: Dashboard (Source: Author)</w:t>
        </w:r>
        <w:r>
          <w:rPr>
            <w:noProof/>
            <w:webHidden/>
          </w:rPr>
          <w:tab/>
        </w:r>
        <w:r>
          <w:rPr>
            <w:noProof/>
            <w:webHidden/>
          </w:rPr>
          <w:fldChar w:fldCharType="begin"/>
        </w:r>
        <w:r>
          <w:rPr>
            <w:noProof/>
            <w:webHidden/>
          </w:rPr>
          <w:instrText xml:space="preserve"> PAGEREF _Toc225177773 \h </w:instrText>
        </w:r>
        <w:r>
          <w:rPr>
            <w:noProof/>
            <w:webHidden/>
          </w:rPr>
        </w:r>
        <w:r>
          <w:rPr>
            <w:noProof/>
            <w:webHidden/>
          </w:rPr>
          <w:fldChar w:fldCharType="separate"/>
        </w:r>
        <w:r>
          <w:rPr>
            <w:noProof/>
            <w:webHidden/>
          </w:rPr>
          <w:t>21</w:t>
        </w:r>
        <w:r>
          <w:rPr>
            <w:noProof/>
            <w:webHidden/>
          </w:rPr>
          <w:fldChar w:fldCharType="end"/>
        </w:r>
      </w:hyperlink>
    </w:p>
    <w:p w14:paraId="2B3D30E2" w14:textId="77777777" w:rsidR="00B2205B" w:rsidRDefault="00B2205B" w:rsidP="00B2205B">
      <w:pPr>
        <w:pStyle w:val="TableofFigures"/>
        <w:tabs>
          <w:tab w:val="right" w:leader="dot" w:pos="9016"/>
        </w:tabs>
        <w:spacing w:line="360" w:lineRule="auto"/>
        <w:rPr>
          <w:rFonts w:asciiTheme="minorHAnsi" w:eastAsiaTheme="minorEastAsia" w:hAnsiTheme="minorHAnsi"/>
          <w:noProof/>
          <w:sz w:val="22"/>
          <w:lang w:val="en-IN" w:eastAsia="en-IN"/>
        </w:rPr>
      </w:pPr>
      <w:hyperlink w:anchor="_Toc225177774" w:history="1">
        <w:r w:rsidRPr="00E967FF">
          <w:rPr>
            <w:rStyle w:val="Hyperlink"/>
            <w:noProof/>
          </w:rPr>
          <w:t>Figure 9: Software Integration Diagram (Source: Author)</w:t>
        </w:r>
        <w:r>
          <w:rPr>
            <w:noProof/>
            <w:webHidden/>
          </w:rPr>
          <w:tab/>
        </w:r>
        <w:r>
          <w:rPr>
            <w:noProof/>
            <w:webHidden/>
          </w:rPr>
          <w:fldChar w:fldCharType="begin"/>
        </w:r>
        <w:r>
          <w:rPr>
            <w:noProof/>
            <w:webHidden/>
          </w:rPr>
          <w:instrText xml:space="preserve"> PAGEREF _Toc225177774 \h </w:instrText>
        </w:r>
        <w:r>
          <w:rPr>
            <w:noProof/>
            <w:webHidden/>
          </w:rPr>
        </w:r>
        <w:r>
          <w:rPr>
            <w:noProof/>
            <w:webHidden/>
          </w:rPr>
          <w:fldChar w:fldCharType="separate"/>
        </w:r>
        <w:r>
          <w:rPr>
            <w:noProof/>
            <w:webHidden/>
          </w:rPr>
          <w:t>23</w:t>
        </w:r>
        <w:r>
          <w:rPr>
            <w:noProof/>
            <w:webHidden/>
          </w:rPr>
          <w:fldChar w:fldCharType="end"/>
        </w:r>
      </w:hyperlink>
    </w:p>
    <w:p w14:paraId="23B10AFB" w14:textId="658906BF" w:rsidR="00CB674A" w:rsidRDefault="00B2205B" w:rsidP="00B2205B">
      <w:r>
        <w:rPr>
          <w:lang w:val="en-US"/>
        </w:rPr>
        <w:fldChar w:fldCharType="end"/>
      </w:r>
    </w:p>
    <w:p w14:paraId="25BB630A" w14:textId="77777777" w:rsidR="00CB674A" w:rsidRDefault="00CB674A" w:rsidP="00CB674A"/>
    <w:p w14:paraId="65C023C2" w14:textId="77777777" w:rsidR="00CB674A" w:rsidRDefault="00CB674A" w:rsidP="00CB674A"/>
    <w:p w14:paraId="0C9D1AC9" w14:textId="77777777" w:rsidR="00CB674A" w:rsidRDefault="00CB674A" w:rsidP="00CB674A"/>
    <w:p w14:paraId="1C4EE5DE" w14:textId="77777777" w:rsidR="00CB674A" w:rsidRDefault="00CB674A" w:rsidP="00CB674A"/>
    <w:p w14:paraId="21699B5F" w14:textId="77777777" w:rsidR="00CB674A" w:rsidRDefault="00CB674A" w:rsidP="00CB674A"/>
    <w:p w14:paraId="4E84026A" w14:textId="77777777" w:rsidR="00CB674A" w:rsidRDefault="00CB674A" w:rsidP="00CB674A"/>
    <w:p w14:paraId="52277F47" w14:textId="77777777" w:rsidR="00CB674A" w:rsidRDefault="00CB674A" w:rsidP="00CB674A"/>
    <w:p w14:paraId="5C515DE2" w14:textId="77777777" w:rsidR="00CB674A" w:rsidRDefault="00CB674A" w:rsidP="00CB674A"/>
    <w:p w14:paraId="5A0F7888" w14:textId="77777777" w:rsidR="00CB674A" w:rsidRDefault="00CB674A" w:rsidP="00CB674A"/>
    <w:p w14:paraId="12CF79B6" w14:textId="77777777" w:rsidR="00CB674A" w:rsidRDefault="00CB674A" w:rsidP="00CB674A"/>
    <w:p w14:paraId="213E7EDB" w14:textId="77777777" w:rsidR="00CB674A" w:rsidRDefault="00CB674A" w:rsidP="00CB674A"/>
    <w:p w14:paraId="7F437DB5" w14:textId="77777777" w:rsidR="00CB674A" w:rsidRDefault="00CB674A" w:rsidP="00CB674A"/>
    <w:p w14:paraId="7114E032" w14:textId="77777777" w:rsidR="00CB674A" w:rsidRDefault="00CB674A" w:rsidP="00CB674A"/>
    <w:p w14:paraId="4BAED461" w14:textId="77777777" w:rsidR="00CB674A" w:rsidRDefault="00CB674A" w:rsidP="00CB674A"/>
    <w:p w14:paraId="30F5CAFF" w14:textId="77777777" w:rsidR="00CB674A" w:rsidRDefault="00CB674A" w:rsidP="00CB674A"/>
    <w:p w14:paraId="2DADE98E" w14:textId="77777777" w:rsidR="00CB674A" w:rsidRDefault="00CB674A" w:rsidP="00CB674A"/>
    <w:p w14:paraId="1EB84F44" w14:textId="77777777" w:rsidR="00CB674A" w:rsidRDefault="00CB674A" w:rsidP="00CB674A"/>
    <w:p w14:paraId="7D9B4AF8" w14:textId="77777777" w:rsidR="00CB674A" w:rsidRDefault="00CB674A" w:rsidP="00CB674A"/>
    <w:p w14:paraId="69982BDE" w14:textId="77777777" w:rsidR="00CB674A" w:rsidRDefault="00CB674A" w:rsidP="00CB674A"/>
    <w:p w14:paraId="21798BE3" w14:textId="77777777" w:rsidR="00CB674A" w:rsidRPr="003617AB" w:rsidRDefault="00CB674A" w:rsidP="00CB674A">
      <w:pPr>
        <w:pStyle w:val="Heading1"/>
        <w:spacing w:line="360" w:lineRule="auto"/>
        <w:rPr>
          <w:rFonts w:ascii="Times New Roman" w:hAnsi="Times New Roman" w:cs="Times New Roman"/>
          <w:color w:val="auto"/>
          <w:sz w:val="28"/>
          <w:szCs w:val="28"/>
          <w:u w:val="single"/>
          <w:lang w:val="en-IN"/>
        </w:rPr>
      </w:pPr>
      <w:bookmarkStart w:id="0" w:name="_Toc225194574"/>
      <w:r w:rsidRPr="003617AB">
        <w:rPr>
          <w:rFonts w:ascii="Times New Roman" w:hAnsi="Times New Roman" w:cs="Times New Roman"/>
          <w:color w:val="auto"/>
          <w:sz w:val="28"/>
          <w:szCs w:val="28"/>
          <w:u w:val="single"/>
        </w:rPr>
        <w:lastRenderedPageBreak/>
        <w:t>2. Introduction &amp; Project Overview</w:t>
      </w:r>
      <w:bookmarkEnd w:id="0"/>
      <w:r w:rsidRPr="003617AB">
        <w:rPr>
          <w:rFonts w:ascii="Times New Roman" w:hAnsi="Times New Roman" w:cs="Times New Roman"/>
          <w:color w:val="auto"/>
          <w:sz w:val="28"/>
          <w:szCs w:val="28"/>
          <w:u w:val="single"/>
        </w:rPr>
        <w:t xml:space="preserve"> </w:t>
      </w:r>
    </w:p>
    <w:p w14:paraId="6385F7BE" w14:textId="77777777" w:rsidR="00CB674A" w:rsidRDefault="00CB674A" w:rsidP="00CB674A"/>
    <w:p w14:paraId="69D443BF" w14:textId="20BB4383" w:rsidR="00CB674A" w:rsidRPr="003617AB" w:rsidRDefault="00CB674A" w:rsidP="00CB674A">
      <w:pPr>
        <w:rPr>
          <w:rFonts w:ascii="Times New Roman" w:hAnsi="Times New Roman" w:cs="Times New Roman"/>
        </w:rPr>
      </w:pPr>
      <w:r w:rsidRPr="003617AB">
        <w:rPr>
          <w:rFonts w:ascii="Times New Roman" w:hAnsi="Times New Roman" w:cs="Times New Roman"/>
        </w:rPr>
        <w:t xml:space="preserve">Financial management plays a critical role in project delivery, particularly in large-scale capital investments where effective resource allocation, risk management, and financial control are essential to achieving project objectives. Infrastructure projects, such as renewable energy developments, are especially exposed to financial risks including cost overruns, liquidity constraints, inflationary pressures, and market volatility, all of which can significantly affect profitability and long-term viability. Therefore, effective decision-making must be supported by robust financial planning, accurate forecasting, and </w:t>
      </w:r>
      <w:r w:rsidR="002A3E79" w:rsidRPr="003617AB">
        <w:rPr>
          <w:rFonts w:ascii="Times New Roman" w:hAnsi="Times New Roman" w:cs="Times New Roman"/>
        </w:rPr>
        <w:t>initiative-taking</w:t>
      </w:r>
      <w:r w:rsidRPr="003617AB">
        <w:rPr>
          <w:rFonts w:ascii="Times New Roman" w:hAnsi="Times New Roman" w:cs="Times New Roman"/>
        </w:rPr>
        <w:t xml:space="preserve"> risk mitigation strategies.</w:t>
      </w:r>
    </w:p>
    <w:p w14:paraId="0F37E608" w14:textId="77777777" w:rsidR="00CB674A" w:rsidRPr="003617AB" w:rsidRDefault="00CB674A" w:rsidP="00CB674A">
      <w:pPr>
        <w:rPr>
          <w:rFonts w:ascii="Times New Roman" w:hAnsi="Times New Roman" w:cs="Times New Roman"/>
        </w:rPr>
      </w:pPr>
      <w:r w:rsidRPr="003617AB">
        <w:rPr>
          <w:rFonts w:ascii="Times New Roman" w:hAnsi="Times New Roman" w:cs="Times New Roman"/>
        </w:rPr>
        <w:t>This report critically evaluates the financial feasibility of a proposed £50 million utility-scale solar energy project. Given the capital-intensive nature and extended lifecycle of such projects, financial management becomes a key determinant of both short-term performance and long-term sustainability, particularly within an uncertain and evolving energy market.</w:t>
      </w:r>
    </w:p>
    <w:p w14:paraId="6E808D1B" w14:textId="77777777" w:rsidR="00CB674A" w:rsidRPr="003617AB" w:rsidRDefault="00CB674A" w:rsidP="00CB674A">
      <w:pPr>
        <w:rPr>
          <w:rFonts w:ascii="Times New Roman" w:hAnsi="Times New Roman" w:cs="Times New Roman"/>
        </w:rPr>
      </w:pPr>
      <w:r w:rsidRPr="003617AB">
        <w:rPr>
          <w:rFonts w:ascii="Times New Roman" w:hAnsi="Times New Roman" w:cs="Times New Roman"/>
        </w:rPr>
        <w:t>The report aims to assess the project’s financial viability through the application of capital budgeting techniques, while also evaluating alternative financing structures, cost control mechanisms, and financial reporting frameworks. In doing so, it applies key principles of Capital Budgeting, including the time value of money, to ensure that investment decisions are based on the present value of expected future cash flows.</w:t>
      </w:r>
    </w:p>
    <w:p w14:paraId="54B23A98" w14:textId="77777777" w:rsidR="00CB674A" w:rsidRPr="003617AB" w:rsidRDefault="00CB674A" w:rsidP="00CB674A">
      <w:pPr>
        <w:rPr>
          <w:rFonts w:ascii="Times New Roman" w:hAnsi="Times New Roman" w:cs="Times New Roman"/>
        </w:rPr>
      </w:pPr>
      <w:r w:rsidRPr="003617AB">
        <w:rPr>
          <w:rFonts w:ascii="Times New Roman" w:hAnsi="Times New Roman" w:cs="Times New Roman"/>
        </w:rPr>
        <w:t>In addition to determining feasibility, the analysis adopts a critical perspective by examining the reliability of underlying assumptions and the potential impact of financial uncertainty. This approach enables a more comprehensive evaluation of whether the project represents a strategically sound and efficient allocation of capital.</w:t>
      </w:r>
    </w:p>
    <w:p w14:paraId="0652A605" w14:textId="77777777" w:rsidR="00CB674A" w:rsidRPr="003617AB" w:rsidRDefault="00CB674A" w:rsidP="00CB674A">
      <w:pPr>
        <w:pStyle w:val="Heading1"/>
        <w:spacing w:line="360" w:lineRule="auto"/>
        <w:rPr>
          <w:rFonts w:ascii="Times New Roman" w:hAnsi="Times New Roman" w:cs="Times New Roman"/>
          <w:color w:val="auto"/>
          <w:sz w:val="28"/>
          <w:szCs w:val="28"/>
          <w:u w:val="single"/>
          <w:lang w:val="en-IN"/>
        </w:rPr>
      </w:pPr>
      <w:bookmarkStart w:id="1" w:name="_Toc225194575"/>
      <w:r w:rsidRPr="003617AB">
        <w:rPr>
          <w:rFonts w:ascii="Times New Roman" w:hAnsi="Times New Roman" w:cs="Times New Roman"/>
          <w:color w:val="auto"/>
          <w:sz w:val="28"/>
          <w:szCs w:val="28"/>
          <w:u w:val="single"/>
        </w:rPr>
        <w:t>3. Section A: Sources of Financing</w:t>
      </w:r>
      <w:bookmarkEnd w:id="1"/>
      <w:r w:rsidRPr="003617AB">
        <w:rPr>
          <w:rFonts w:ascii="Times New Roman" w:hAnsi="Times New Roman" w:cs="Times New Roman"/>
          <w:color w:val="auto"/>
          <w:sz w:val="28"/>
          <w:szCs w:val="28"/>
          <w:u w:val="single"/>
        </w:rPr>
        <w:t xml:space="preserve"> </w:t>
      </w:r>
    </w:p>
    <w:p w14:paraId="4F6D984D" w14:textId="17999A04" w:rsidR="00CB674A" w:rsidRPr="003617AB" w:rsidRDefault="00CB674A" w:rsidP="00CB674A">
      <w:pPr>
        <w:rPr>
          <w:rFonts w:ascii="Times New Roman" w:hAnsi="Times New Roman" w:cs="Times New Roman"/>
          <w:sz w:val="24"/>
          <w:szCs w:val="24"/>
        </w:rPr>
      </w:pPr>
      <w:r w:rsidRPr="003617AB">
        <w:rPr>
          <w:rFonts w:ascii="Times New Roman" w:hAnsi="Times New Roman" w:cs="Times New Roman"/>
          <w:sz w:val="24"/>
          <w:szCs w:val="24"/>
        </w:rPr>
        <w:t>Accurate estimation of financing requirements is fundamental to the successful planning and execution of the proposed £50 million renewable energy project, as it ensures that sufficient capital is available throughout the project lifecycle (Savila, 2025). In large-scale infrastructure projects, inadequate financial planning can lead to liquidity constraints, delays, or cost overruns, thereby compromising overall project viability.</w:t>
      </w:r>
    </w:p>
    <w:p w14:paraId="3A78A09C" w14:textId="77777777" w:rsidR="00CB674A" w:rsidRPr="003617AB" w:rsidRDefault="00CB674A" w:rsidP="00CB674A">
      <w:pPr>
        <w:rPr>
          <w:rFonts w:ascii="Times New Roman" w:hAnsi="Times New Roman" w:cs="Times New Roman"/>
          <w:sz w:val="24"/>
          <w:szCs w:val="24"/>
        </w:rPr>
      </w:pPr>
      <w:r w:rsidRPr="003617AB">
        <w:rPr>
          <w:rFonts w:ascii="Times New Roman" w:hAnsi="Times New Roman" w:cs="Times New Roman"/>
          <w:sz w:val="24"/>
          <w:szCs w:val="24"/>
        </w:rPr>
        <w:t>In line with established project financial management principles, the total project cost is determined using the following structure:</w:t>
      </w:r>
    </w:p>
    <w:p w14:paraId="40B643F5" w14:textId="77777777" w:rsidR="00CB674A" w:rsidRDefault="00CB674A" w:rsidP="00CB674A">
      <w:pPr>
        <w:rPr>
          <w:b/>
          <w:bCs/>
        </w:rPr>
      </w:pPr>
      <w:r w:rsidRPr="00CB674A">
        <w:rPr>
          <w:b/>
          <w:bCs/>
        </w:rPr>
        <w:t>Total Project Cost = CAPEX + OPEX + Working Capital + Contingency + Interest During Construction (IDC)</w:t>
      </w:r>
    </w:p>
    <w:p w14:paraId="621D4B3E" w14:textId="77777777" w:rsidR="00CB674A" w:rsidRDefault="00CB674A" w:rsidP="00CB674A">
      <w:pPr>
        <w:rPr>
          <w:b/>
          <w:bCs/>
        </w:rPr>
      </w:pPr>
    </w:p>
    <w:p w14:paraId="636D4108" w14:textId="77777777" w:rsidR="003617AB" w:rsidRDefault="003617AB" w:rsidP="00CB674A">
      <w:pPr>
        <w:rPr>
          <w:b/>
          <w:bCs/>
        </w:rPr>
      </w:pPr>
    </w:p>
    <w:p w14:paraId="406E97ED" w14:textId="77777777" w:rsidR="003617AB" w:rsidRDefault="003617AB" w:rsidP="00CB674A">
      <w:pPr>
        <w:rPr>
          <w:b/>
          <w:bCs/>
        </w:rPr>
      </w:pPr>
    </w:p>
    <w:p w14:paraId="716CEC71" w14:textId="77777777" w:rsidR="003617AB" w:rsidRDefault="003617AB" w:rsidP="00CB674A">
      <w:pPr>
        <w:rPr>
          <w:b/>
          <w:bCs/>
        </w:rPr>
      </w:pPr>
    </w:p>
    <w:p w14:paraId="48546D36" w14:textId="77777777" w:rsidR="003617AB" w:rsidRDefault="003617AB" w:rsidP="00CB674A">
      <w:pPr>
        <w:rPr>
          <w:b/>
          <w:bCs/>
        </w:rPr>
      </w:pPr>
    </w:p>
    <w:p w14:paraId="20C7B264" w14:textId="77777777" w:rsidR="00CB674A" w:rsidRDefault="00CB674A" w:rsidP="00CB674A">
      <w:pPr>
        <w:pStyle w:val="Caption"/>
        <w:keepNext/>
        <w:spacing w:line="360" w:lineRule="auto"/>
      </w:pPr>
      <w:bookmarkStart w:id="2" w:name="_Toc225172539"/>
      <w:r>
        <w:lastRenderedPageBreak/>
        <w:t xml:space="preserve">Table </w:t>
      </w:r>
      <w:r>
        <w:fldChar w:fldCharType="begin"/>
      </w:r>
      <w:r>
        <w:instrText xml:space="preserve"> SEQ Table \* ARABIC </w:instrText>
      </w:r>
      <w:r>
        <w:fldChar w:fldCharType="separate"/>
      </w:r>
      <w:r>
        <w:rPr>
          <w:noProof/>
        </w:rPr>
        <w:t>1</w:t>
      </w:r>
      <w:r>
        <w:rPr>
          <w:noProof/>
        </w:rPr>
        <w:fldChar w:fldCharType="end"/>
      </w:r>
      <w:r>
        <w:t xml:space="preserve">: </w:t>
      </w:r>
      <w:r w:rsidRPr="00C61459">
        <w:t>Financing Requirement Breakdown Table</w:t>
      </w:r>
      <w:r>
        <w:t xml:space="preserve"> (Source: Author)</w:t>
      </w:r>
      <w:bookmarkEnd w:id="2"/>
    </w:p>
    <w:tbl>
      <w:tblPr>
        <w:tblStyle w:val="TableGrid"/>
        <w:tblW w:w="5000" w:type="pct"/>
        <w:tblLook w:val="04A0" w:firstRow="1" w:lastRow="0" w:firstColumn="1" w:lastColumn="0" w:noHBand="0" w:noVBand="1"/>
      </w:tblPr>
      <w:tblGrid>
        <w:gridCol w:w="2151"/>
        <w:gridCol w:w="1884"/>
        <w:gridCol w:w="1562"/>
        <w:gridCol w:w="3419"/>
      </w:tblGrid>
      <w:tr w:rsidR="00CB674A" w:rsidRPr="00CD2DB8" w14:paraId="5F2FBFEF" w14:textId="77777777" w:rsidTr="006B3D70">
        <w:tc>
          <w:tcPr>
            <w:tcW w:w="1193" w:type="pct"/>
            <w:hideMark/>
          </w:tcPr>
          <w:p w14:paraId="28136EEF" w14:textId="77777777" w:rsidR="00CB674A" w:rsidRPr="00CD2DB8" w:rsidRDefault="00CB674A" w:rsidP="006B3D70">
            <w:pPr>
              <w:spacing w:line="360" w:lineRule="auto"/>
              <w:jc w:val="center"/>
              <w:rPr>
                <w:rFonts w:eastAsia="Times New Roman" w:cs="Times New Roman"/>
                <w:b/>
                <w:bCs/>
                <w:szCs w:val="24"/>
                <w:lang w:eastAsia="en-IN"/>
              </w:rPr>
            </w:pPr>
            <w:r w:rsidRPr="00CD2DB8">
              <w:rPr>
                <w:rFonts w:eastAsia="Times New Roman" w:cs="Times New Roman"/>
                <w:b/>
                <w:bCs/>
                <w:szCs w:val="24"/>
                <w:lang w:eastAsia="en-IN"/>
              </w:rPr>
              <w:t>Component</w:t>
            </w:r>
          </w:p>
        </w:tc>
        <w:tc>
          <w:tcPr>
            <w:tcW w:w="1045" w:type="pct"/>
            <w:hideMark/>
          </w:tcPr>
          <w:p w14:paraId="0C93A10B" w14:textId="77777777" w:rsidR="00CB674A" w:rsidRPr="00CD2DB8" w:rsidRDefault="00CB674A" w:rsidP="006B3D70">
            <w:pPr>
              <w:spacing w:line="360" w:lineRule="auto"/>
              <w:jc w:val="center"/>
              <w:rPr>
                <w:rFonts w:eastAsia="Times New Roman" w:cs="Times New Roman"/>
                <w:b/>
                <w:bCs/>
                <w:szCs w:val="24"/>
                <w:lang w:eastAsia="en-IN"/>
              </w:rPr>
            </w:pPr>
            <w:r w:rsidRPr="00CD2DB8">
              <w:rPr>
                <w:rFonts w:eastAsia="Times New Roman" w:cs="Times New Roman"/>
                <w:b/>
                <w:bCs/>
                <w:szCs w:val="24"/>
                <w:lang w:eastAsia="en-IN"/>
              </w:rPr>
              <w:t>Amount (£m)</w:t>
            </w:r>
          </w:p>
        </w:tc>
        <w:tc>
          <w:tcPr>
            <w:tcW w:w="866" w:type="pct"/>
            <w:hideMark/>
          </w:tcPr>
          <w:p w14:paraId="1695CAC9" w14:textId="77777777" w:rsidR="00CB674A" w:rsidRPr="00CD2DB8" w:rsidRDefault="00CB674A" w:rsidP="006B3D70">
            <w:pPr>
              <w:spacing w:line="360" w:lineRule="auto"/>
              <w:jc w:val="center"/>
              <w:rPr>
                <w:rFonts w:eastAsia="Times New Roman" w:cs="Times New Roman"/>
                <w:b/>
                <w:bCs/>
                <w:szCs w:val="24"/>
                <w:lang w:eastAsia="en-IN"/>
              </w:rPr>
            </w:pPr>
            <w:r w:rsidRPr="00CD2DB8">
              <w:rPr>
                <w:rFonts w:eastAsia="Times New Roman" w:cs="Times New Roman"/>
                <w:b/>
                <w:bCs/>
                <w:szCs w:val="24"/>
                <w:lang w:eastAsia="en-IN"/>
              </w:rPr>
              <w:t>% of Total</w:t>
            </w:r>
          </w:p>
        </w:tc>
        <w:tc>
          <w:tcPr>
            <w:tcW w:w="1896" w:type="pct"/>
            <w:hideMark/>
          </w:tcPr>
          <w:p w14:paraId="0B9145CF" w14:textId="77777777" w:rsidR="00CB674A" w:rsidRPr="00CD2DB8" w:rsidRDefault="00CB674A" w:rsidP="006B3D70">
            <w:pPr>
              <w:spacing w:line="360" w:lineRule="auto"/>
              <w:jc w:val="center"/>
              <w:rPr>
                <w:rFonts w:eastAsia="Times New Roman" w:cs="Times New Roman"/>
                <w:b/>
                <w:bCs/>
                <w:szCs w:val="24"/>
                <w:lang w:eastAsia="en-IN"/>
              </w:rPr>
            </w:pPr>
            <w:r w:rsidRPr="00CD2DB8">
              <w:rPr>
                <w:rFonts w:eastAsia="Times New Roman" w:cs="Times New Roman"/>
                <w:b/>
                <w:bCs/>
                <w:szCs w:val="24"/>
                <w:lang w:eastAsia="en-IN"/>
              </w:rPr>
              <w:t>Description</w:t>
            </w:r>
          </w:p>
        </w:tc>
      </w:tr>
      <w:tr w:rsidR="00CB674A" w:rsidRPr="00CD2DB8" w14:paraId="515CBC54" w14:textId="77777777" w:rsidTr="006B3D70">
        <w:tc>
          <w:tcPr>
            <w:tcW w:w="1193" w:type="pct"/>
            <w:hideMark/>
          </w:tcPr>
          <w:p w14:paraId="45E31455" w14:textId="77777777" w:rsidR="00CB674A" w:rsidRPr="00CD2DB8" w:rsidRDefault="00CB674A" w:rsidP="006B3D70">
            <w:pPr>
              <w:spacing w:line="360" w:lineRule="auto"/>
              <w:rPr>
                <w:rFonts w:eastAsia="Times New Roman" w:cs="Times New Roman"/>
                <w:szCs w:val="24"/>
                <w:lang w:eastAsia="en-IN"/>
              </w:rPr>
            </w:pPr>
            <w:r w:rsidRPr="00CD2DB8">
              <w:rPr>
                <w:rFonts w:eastAsia="Times New Roman" w:cs="Times New Roman"/>
                <w:szCs w:val="24"/>
                <w:lang w:eastAsia="en-IN"/>
              </w:rPr>
              <w:t>CAPEX</w:t>
            </w:r>
          </w:p>
        </w:tc>
        <w:tc>
          <w:tcPr>
            <w:tcW w:w="1045" w:type="pct"/>
            <w:hideMark/>
          </w:tcPr>
          <w:p w14:paraId="338FD8EC" w14:textId="77777777" w:rsidR="00CB674A" w:rsidRPr="00CD2DB8" w:rsidRDefault="00CB674A" w:rsidP="006B3D70">
            <w:pPr>
              <w:spacing w:line="360" w:lineRule="auto"/>
              <w:rPr>
                <w:rFonts w:eastAsia="Times New Roman" w:cs="Times New Roman"/>
                <w:szCs w:val="24"/>
                <w:lang w:eastAsia="en-IN"/>
              </w:rPr>
            </w:pPr>
            <w:r w:rsidRPr="00CD2DB8">
              <w:rPr>
                <w:rFonts w:eastAsia="Times New Roman" w:cs="Times New Roman"/>
                <w:szCs w:val="24"/>
                <w:lang w:eastAsia="en-IN"/>
              </w:rPr>
              <w:t>42</w:t>
            </w:r>
          </w:p>
        </w:tc>
        <w:tc>
          <w:tcPr>
            <w:tcW w:w="866" w:type="pct"/>
            <w:hideMark/>
          </w:tcPr>
          <w:p w14:paraId="3081999F" w14:textId="77777777" w:rsidR="00CB674A" w:rsidRPr="00CD2DB8" w:rsidRDefault="00CB674A" w:rsidP="006B3D70">
            <w:pPr>
              <w:spacing w:line="360" w:lineRule="auto"/>
              <w:rPr>
                <w:rFonts w:eastAsia="Times New Roman" w:cs="Times New Roman"/>
                <w:szCs w:val="24"/>
                <w:lang w:eastAsia="en-IN"/>
              </w:rPr>
            </w:pPr>
            <w:r w:rsidRPr="00CD2DB8">
              <w:rPr>
                <w:rFonts w:eastAsia="Times New Roman" w:cs="Times New Roman"/>
                <w:szCs w:val="24"/>
                <w:lang w:eastAsia="en-IN"/>
              </w:rPr>
              <w:t>84%</w:t>
            </w:r>
          </w:p>
        </w:tc>
        <w:tc>
          <w:tcPr>
            <w:tcW w:w="1896" w:type="pct"/>
            <w:hideMark/>
          </w:tcPr>
          <w:p w14:paraId="76EF31F7" w14:textId="77777777" w:rsidR="00CB674A" w:rsidRPr="00CD2DB8" w:rsidRDefault="00CB674A" w:rsidP="006B3D70">
            <w:pPr>
              <w:spacing w:line="360" w:lineRule="auto"/>
              <w:rPr>
                <w:rFonts w:eastAsia="Times New Roman" w:cs="Times New Roman"/>
                <w:szCs w:val="24"/>
                <w:lang w:eastAsia="en-IN"/>
              </w:rPr>
            </w:pPr>
            <w:r w:rsidRPr="00CD2DB8">
              <w:rPr>
                <w:rFonts w:eastAsia="Times New Roman" w:cs="Times New Roman"/>
                <w:szCs w:val="24"/>
                <w:lang w:eastAsia="en-IN"/>
              </w:rPr>
              <w:t>Infrastructure &amp; installation</w:t>
            </w:r>
          </w:p>
        </w:tc>
      </w:tr>
      <w:tr w:rsidR="00CB674A" w:rsidRPr="00CD2DB8" w14:paraId="21DDDAC7" w14:textId="77777777" w:rsidTr="006B3D70">
        <w:tc>
          <w:tcPr>
            <w:tcW w:w="1193" w:type="pct"/>
            <w:hideMark/>
          </w:tcPr>
          <w:p w14:paraId="6DB1B60F" w14:textId="77777777" w:rsidR="00CB674A" w:rsidRPr="00CD2DB8" w:rsidRDefault="00CB674A" w:rsidP="006B3D70">
            <w:pPr>
              <w:spacing w:line="360" w:lineRule="auto"/>
              <w:rPr>
                <w:rFonts w:eastAsia="Times New Roman" w:cs="Times New Roman"/>
                <w:szCs w:val="24"/>
                <w:lang w:eastAsia="en-IN"/>
              </w:rPr>
            </w:pPr>
            <w:r w:rsidRPr="00CD2DB8">
              <w:rPr>
                <w:rFonts w:eastAsia="Times New Roman" w:cs="Times New Roman"/>
                <w:szCs w:val="24"/>
                <w:lang w:eastAsia="en-IN"/>
              </w:rPr>
              <w:t>OPEX (Yearly)</w:t>
            </w:r>
          </w:p>
        </w:tc>
        <w:tc>
          <w:tcPr>
            <w:tcW w:w="1045" w:type="pct"/>
            <w:hideMark/>
          </w:tcPr>
          <w:p w14:paraId="55A24B98" w14:textId="77777777" w:rsidR="00CB674A" w:rsidRPr="00CD2DB8" w:rsidRDefault="00CB674A" w:rsidP="006B3D70">
            <w:pPr>
              <w:spacing w:line="360" w:lineRule="auto"/>
              <w:rPr>
                <w:rFonts w:eastAsia="Times New Roman" w:cs="Times New Roman"/>
                <w:szCs w:val="24"/>
                <w:lang w:eastAsia="en-IN"/>
              </w:rPr>
            </w:pPr>
            <w:r w:rsidRPr="00CD2DB8">
              <w:rPr>
                <w:rFonts w:eastAsia="Times New Roman" w:cs="Times New Roman"/>
                <w:szCs w:val="24"/>
                <w:lang w:eastAsia="en-IN"/>
              </w:rPr>
              <w:t>2</w:t>
            </w:r>
          </w:p>
        </w:tc>
        <w:tc>
          <w:tcPr>
            <w:tcW w:w="866" w:type="pct"/>
            <w:hideMark/>
          </w:tcPr>
          <w:p w14:paraId="4E3AE0A8" w14:textId="77777777" w:rsidR="00CB674A" w:rsidRPr="00CD2DB8" w:rsidRDefault="00CB674A" w:rsidP="006B3D70">
            <w:pPr>
              <w:spacing w:line="360" w:lineRule="auto"/>
              <w:rPr>
                <w:rFonts w:eastAsia="Times New Roman" w:cs="Times New Roman"/>
                <w:szCs w:val="24"/>
                <w:lang w:eastAsia="en-IN"/>
              </w:rPr>
            </w:pPr>
            <w:r w:rsidRPr="00CD2DB8">
              <w:rPr>
                <w:rFonts w:eastAsia="Times New Roman" w:cs="Times New Roman"/>
                <w:szCs w:val="24"/>
                <w:lang w:eastAsia="en-IN"/>
              </w:rPr>
              <w:t>—</w:t>
            </w:r>
          </w:p>
        </w:tc>
        <w:tc>
          <w:tcPr>
            <w:tcW w:w="1896" w:type="pct"/>
            <w:hideMark/>
          </w:tcPr>
          <w:p w14:paraId="43C97016" w14:textId="77777777" w:rsidR="00CB674A" w:rsidRPr="00CD2DB8" w:rsidRDefault="00CB674A" w:rsidP="006B3D70">
            <w:pPr>
              <w:spacing w:line="360" w:lineRule="auto"/>
              <w:rPr>
                <w:rFonts w:eastAsia="Times New Roman" w:cs="Times New Roman"/>
                <w:szCs w:val="24"/>
                <w:lang w:eastAsia="en-IN"/>
              </w:rPr>
            </w:pPr>
            <w:r w:rsidRPr="00CD2DB8">
              <w:rPr>
                <w:rFonts w:eastAsia="Times New Roman" w:cs="Times New Roman"/>
                <w:szCs w:val="24"/>
                <w:lang w:eastAsia="en-IN"/>
              </w:rPr>
              <w:t>Operating costs</w:t>
            </w:r>
          </w:p>
        </w:tc>
      </w:tr>
      <w:tr w:rsidR="00CB674A" w:rsidRPr="00CD2DB8" w14:paraId="36E69706" w14:textId="77777777" w:rsidTr="006B3D70">
        <w:tc>
          <w:tcPr>
            <w:tcW w:w="1193" w:type="pct"/>
            <w:hideMark/>
          </w:tcPr>
          <w:p w14:paraId="571ED584" w14:textId="77777777" w:rsidR="00CB674A" w:rsidRPr="00CD2DB8" w:rsidRDefault="00CB674A" w:rsidP="006B3D70">
            <w:pPr>
              <w:spacing w:line="360" w:lineRule="auto"/>
              <w:rPr>
                <w:rFonts w:eastAsia="Times New Roman" w:cs="Times New Roman"/>
                <w:szCs w:val="24"/>
                <w:lang w:eastAsia="en-IN"/>
              </w:rPr>
            </w:pPr>
            <w:r w:rsidRPr="00CD2DB8">
              <w:rPr>
                <w:rFonts w:eastAsia="Times New Roman" w:cs="Times New Roman"/>
                <w:szCs w:val="24"/>
                <w:lang w:eastAsia="en-IN"/>
              </w:rPr>
              <w:t>Working Capital</w:t>
            </w:r>
          </w:p>
        </w:tc>
        <w:tc>
          <w:tcPr>
            <w:tcW w:w="1045" w:type="pct"/>
            <w:hideMark/>
          </w:tcPr>
          <w:p w14:paraId="54F1FEE5" w14:textId="77777777" w:rsidR="00CB674A" w:rsidRPr="00CD2DB8" w:rsidRDefault="00CB674A" w:rsidP="006B3D70">
            <w:pPr>
              <w:spacing w:line="360" w:lineRule="auto"/>
              <w:rPr>
                <w:rFonts w:eastAsia="Times New Roman" w:cs="Times New Roman"/>
                <w:szCs w:val="24"/>
                <w:lang w:eastAsia="en-IN"/>
              </w:rPr>
            </w:pPr>
            <w:r w:rsidRPr="00CD2DB8">
              <w:rPr>
                <w:rFonts w:eastAsia="Times New Roman" w:cs="Times New Roman"/>
                <w:szCs w:val="24"/>
                <w:lang w:eastAsia="en-IN"/>
              </w:rPr>
              <w:t>0.2</w:t>
            </w:r>
          </w:p>
        </w:tc>
        <w:tc>
          <w:tcPr>
            <w:tcW w:w="866" w:type="pct"/>
            <w:hideMark/>
          </w:tcPr>
          <w:p w14:paraId="62CC7E24" w14:textId="77777777" w:rsidR="00CB674A" w:rsidRPr="00CD2DB8" w:rsidRDefault="00CB674A" w:rsidP="006B3D70">
            <w:pPr>
              <w:spacing w:line="360" w:lineRule="auto"/>
              <w:rPr>
                <w:rFonts w:eastAsia="Times New Roman" w:cs="Times New Roman"/>
                <w:szCs w:val="24"/>
                <w:lang w:eastAsia="en-IN"/>
              </w:rPr>
            </w:pPr>
            <w:r w:rsidRPr="00CD2DB8">
              <w:rPr>
                <w:rFonts w:eastAsia="Times New Roman" w:cs="Times New Roman"/>
                <w:szCs w:val="24"/>
                <w:lang w:eastAsia="en-IN"/>
              </w:rPr>
              <w:t>0.4%</w:t>
            </w:r>
          </w:p>
        </w:tc>
        <w:tc>
          <w:tcPr>
            <w:tcW w:w="1896" w:type="pct"/>
            <w:hideMark/>
          </w:tcPr>
          <w:p w14:paraId="5A101AF2" w14:textId="77777777" w:rsidR="00CB674A" w:rsidRPr="00CD2DB8" w:rsidRDefault="00CB674A" w:rsidP="006B3D70">
            <w:pPr>
              <w:spacing w:line="360" w:lineRule="auto"/>
              <w:rPr>
                <w:rFonts w:eastAsia="Times New Roman" w:cs="Times New Roman"/>
                <w:szCs w:val="24"/>
                <w:lang w:eastAsia="en-IN"/>
              </w:rPr>
            </w:pPr>
            <w:r w:rsidRPr="00CD2DB8">
              <w:rPr>
                <w:rFonts w:eastAsia="Times New Roman" w:cs="Times New Roman"/>
                <w:szCs w:val="24"/>
                <w:lang w:eastAsia="en-IN"/>
              </w:rPr>
              <w:t>Liquidity buffer</w:t>
            </w:r>
          </w:p>
        </w:tc>
      </w:tr>
      <w:tr w:rsidR="00CB674A" w:rsidRPr="00CD2DB8" w14:paraId="2751007A" w14:textId="77777777" w:rsidTr="006B3D70">
        <w:tc>
          <w:tcPr>
            <w:tcW w:w="1193" w:type="pct"/>
            <w:hideMark/>
          </w:tcPr>
          <w:p w14:paraId="473C843E" w14:textId="77777777" w:rsidR="00CB674A" w:rsidRPr="00CD2DB8" w:rsidRDefault="00CB674A" w:rsidP="006B3D70">
            <w:pPr>
              <w:spacing w:line="360" w:lineRule="auto"/>
              <w:rPr>
                <w:rFonts w:eastAsia="Times New Roman" w:cs="Times New Roman"/>
                <w:szCs w:val="24"/>
                <w:lang w:eastAsia="en-IN"/>
              </w:rPr>
            </w:pPr>
            <w:r w:rsidRPr="00CD2DB8">
              <w:rPr>
                <w:rFonts w:eastAsia="Times New Roman" w:cs="Times New Roman"/>
                <w:szCs w:val="24"/>
                <w:lang w:eastAsia="en-IN"/>
              </w:rPr>
              <w:t>Contingency</w:t>
            </w:r>
          </w:p>
        </w:tc>
        <w:tc>
          <w:tcPr>
            <w:tcW w:w="1045" w:type="pct"/>
            <w:hideMark/>
          </w:tcPr>
          <w:p w14:paraId="77AA07CD" w14:textId="77777777" w:rsidR="00CB674A" w:rsidRPr="00CD2DB8" w:rsidRDefault="00CB674A" w:rsidP="006B3D70">
            <w:pPr>
              <w:spacing w:line="360" w:lineRule="auto"/>
              <w:rPr>
                <w:rFonts w:eastAsia="Times New Roman" w:cs="Times New Roman"/>
                <w:szCs w:val="24"/>
                <w:lang w:eastAsia="en-IN"/>
              </w:rPr>
            </w:pPr>
            <w:r w:rsidRPr="00CD2DB8">
              <w:rPr>
                <w:rFonts w:eastAsia="Times New Roman" w:cs="Times New Roman"/>
                <w:szCs w:val="24"/>
                <w:lang w:eastAsia="en-IN"/>
              </w:rPr>
              <w:t>4.2</w:t>
            </w:r>
          </w:p>
        </w:tc>
        <w:tc>
          <w:tcPr>
            <w:tcW w:w="866" w:type="pct"/>
            <w:hideMark/>
          </w:tcPr>
          <w:p w14:paraId="50FA360A" w14:textId="77777777" w:rsidR="00CB674A" w:rsidRPr="00CD2DB8" w:rsidRDefault="00CB674A" w:rsidP="006B3D70">
            <w:pPr>
              <w:spacing w:line="360" w:lineRule="auto"/>
              <w:rPr>
                <w:rFonts w:eastAsia="Times New Roman" w:cs="Times New Roman"/>
                <w:szCs w:val="24"/>
                <w:lang w:eastAsia="en-IN"/>
              </w:rPr>
            </w:pPr>
            <w:r w:rsidRPr="00CD2DB8">
              <w:rPr>
                <w:rFonts w:eastAsia="Times New Roman" w:cs="Times New Roman"/>
                <w:szCs w:val="24"/>
                <w:lang w:eastAsia="en-IN"/>
              </w:rPr>
              <w:t>8.4%</w:t>
            </w:r>
          </w:p>
        </w:tc>
        <w:tc>
          <w:tcPr>
            <w:tcW w:w="1896" w:type="pct"/>
            <w:hideMark/>
          </w:tcPr>
          <w:p w14:paraId="29F7ED22" w14:textId="77777777" w:rsidR="00CB674A" w:rsidRPr="00CD2DB8" w:rsidRDefault="00CB674A" w:rsidP="006B3D70">
            <w:pPr>
              <w:spacing w:line="360" w:lineRule="auto"/>
              <w:rPr>
                <w:rFonts w:eastAsia="Times New Roman" w:cs="Times New Roman"/>
                <w:szCs w:val="24"/>
                <w:lang w:eastAsia="en-IN"/>
              </w:rPr>
            </w:pPr>
            <w:r w:rsidRPr="00CD2DB8">
              <w:rPr>
                <w:rFonts w:eastAsia="Times New Roman" w:cs="Times New Roman"/>
                <w:szCs w:val="24"/>
                <w:lang w:eastAsia="en-IN"/>
              </w:rPr>
              <w:t>Risk buffer</w:t>
            </w:r>
          </w:p>
        </w:tc>
      </w:tr>
      <w:tr w:rsidR="00CB674A" w:rsidRPr="00CD2DB8" w14:paraId="62C9EDBF" w14:textId="77777777" w:rsidTr="006B3D70">
        <w:tc>
          <w:tcPr>
            <w:tcW w:w="1193" w:type="pct"/>
            <w:hideMark/>
          </w:tcPr>
          <w:p w14:paraId="698C1AF7" w14:textId="77777777" w:rsidR="00CB674A" w:rsidRPr="00CD2DB8" w:rsidRDefault="00CB674A" w:rsidP="006B3D70">
            <w:pPr>
              <w:spacing w:line="360" w:lineRule="auto"/>
              <w:rPr>
                <w:rFonts w:eastAsia="Times New Roman" w:cs="Times New Roman"/>
                <w:szCs w:val="24"/>
                <w:lang w:eastAsia="en-IN"/>
              </w:rPr>
            </w:pPr>
            <w:r w:rsidRPr="00CD2DB8">
              <w:rPr>
                <w:rFonts w:eastAsia="Times New Roman" w:cs="Times New Roman"/>
                <w:szCs w:val="24"/>
                <w:lang w:eastAsia="en-IN"/>
              </w:rPr>
              <w:t>IDC</w:t>
            </w:r>
          </w:p>
        </w:tc>
        <w:tc>
          <w:tcPr>
            <w:tcW w:w="1045" w:type="pct"/>
            <w:hideMark/>
          </w:tcPr>
          <w:p w14:paraId="3EF35CFB" w14:textId="77777777" w:rsidR="00CB674A" w:rsidRPr="00CD2DB8" w:rsidRDefault="00CB674A" w:rsidP="006B3D70">
            <w:pPr>
              <w:spacing w:line="360" w:lineRule="auto"/>
              <w:rPr>
                <w:rFonts w:eastAsia="Times New Roman" w:cs="Times New Roman"/>
                <w:szCs w:val="24"/>
                <w:lang w:eastAsia="en-IN"/>
              </w:rPr>
            </w:pPr>
            <w:r w:rsidRPr="00CD2DB8">
              <w:rPr>
                <w:rFonts w:eastAsia="Times New Roman" w:cs="Times New Roman"/>
                <w:szCs w:val="24"/>
                <w:lang w:eastAsia="en-IN"/>
              </w:rPr>
              <w:t>1.6</w:t>
            </w:r>
          </w:p>
        </w:tc>
        <w:tc>
          <w:tcPr>
            <w:tcW w:w="866" w:type="pct"/>
            <w:hideMark/>
          </w:tcPr>
          <w:p w14:paraId="1942EE90" w14:textId="77777777" w:rsidR="00CB674A" w:rsidRPr="00CD2DB8" w:rsidRDefault="00CB674A" w:rsidP="006B3D70">
            <w:pPr>
              <w:spacing w:line="360" w:lineRule="auto"/>
              <w:rPr>
                <w:rFonts w:eastAsia="Times New Roman" w:cs="Times New Roman"/>
                <w:szCs w:val="24"/>
                <w:lang w:eastAsia="en-IN"/>
              </w:rPr>
            </w:pPr>
            <w:r w:rsidRPr="00CD2DB8">
              <w:rPr>
                <w:rFonts w:eastAsia="Times New Roman" w:cs="Times New Roman"/>
                <w:szCs w:val="24"/>
                <w:lang w:eastAsia="en-IN"/>
              </w:rPr>
              <w:t>3.2%</w:t>
            </w:r>
          </w:p>
        </w:tc>
        <w:tc>
          <w:tcPr>
            <w:tcW w:w="1896" w:type="pct"/>
            <w:hideMark/>
          </w:tcPr>
          <w:p w14:paraId="37C6DAF0" w14:textId="77777777" w:rsidR="00CB674A" w:rsidRPr="00CD2DB8" w:rsidRDefault="00CB674A" w:rsidP="006B3D70">
            <w:pPr>
              <w:spacing w:line="360" w:lineRule="auto"/>
              <w:rPr>
                <w:rFonts w:eastAsia="Times New Roman" w:cs="Times New Roman"/>
                <w:szCs w:val="24"/>
                <w:lang w:eastAsia="en-IN"/>
              </w:rPr>
            </w:pPr>
            <w:r w:rsidRPr="00CD2DB8">
              <w:rPr>
                <w:rFonts w:eastAsia="Times New Roman" w:cs="Times New Roman"/>
                <w:szCs w:val="24"/>
                <w:lang w:eastAsia="en-IN"/>
              </w:rPr>
              <w:t>Financing cost</w:t>
            </w:r>
          </w:p>
        </w:tc>
      </w:tr>
      <w:tr w:rsidR="00CB674A" w:rsidRPr="00CD2DB8" w14:paraId="1F3016F3" w14:textId="77777777" w:rsidTr="006B3D70">
        <w:tc>
          <w:tcPr>
            <w:tcW w:w="1193" w:type="pct"/>
            <w:hideMark/>
          </w:tcPr>
          <w:p w14:paraId="77B299F1" w14:textId="77777777" w:rsidR="00CB674A" w:rsidRPr="00CD2DB8" w:rsidRDefault="00CB674A" w:rsidP="006B3D70">
            <w:pPr>
              <w:spacing w:line="360" w:lineRule="auto"/>
              <w:rPr>
                <w:rFonts w:eastAsia="Times New Roman" w:cs="Times New Roman"/>
                <w:szCs w:val="24"/>
                <w:lang w:eastAsia="en-IN"/>
              </w:rPr>
            </w:pPr>
            <w:r w:rsidRPr="00CD2DB8">
              <w:rPr>
                <w:rFonts w:eastAsia="Times New Roman" w:cs="Times New Roman"/>
                <w:b/>
                <w:bCs/>
                <w:szCs w:val="24"/>
                <w:lang w:eastAsia="en-IN"/>
              </w:rPr>
              <w:t>Total</w:t>
            </w:r>
          </w:p>
        </w:tc>
        <w:tc>
          <w:tcPr>
            <w:tcW w:w="1045" w:type="pct"/>
            <w:hideMark/>
          </w:tcPr>
          <w:p w14:paraId="19C89F6D" w14:textId="77777777" w:rsidR="00CB674A" w:rsidRPr="00CD2DB8" w:rsidRDefault="00CB674A" w:rsidP="006B3D70">
            <w:pPr>
              <w:spacing w:line="360" w:lineRule="auto"/>
              <w:rPr>
                <w:rFonts w:eastAsia="Times New Roman" w:cs="Times New Roman"/>
                <w:szCs w:val="24"/>
                <w:lang w:eastAsia="en-IN"/>
              </w:rPr>
            </w:pPr>
            <w:r w:rsidRPr="00CD2DB8">
              <w:rPr>
                <w:rFonts w:eastAsia="Times New Roman" w:cs="Times New Roman"/>
                <w:b/>
                <w:bCs/>
                <w:szCs w:val="24"/>
                <w:lang w:eastAsia="en-IN"/>
              </w:rPr>
              <w:t>50</w:t>
            </w:r>
          </w:p>
        </w:tc>
        <w:tc>
          <w:tcPr>
            <w:tcW w:w="866" w:type="pct"/>
            <w:hideMark/>
          </w:tcPr>
          <w:p w14:paraId="4098C93A" w14:textId="77777777" w:rsidR="00CB674A" w:rsidRPr="00CD2DB8" w:rsidRDefault="00CB674A" w:rsidP="006B3D70">
            <w:pPr>
              <w:spacing w:line="360" w:lineRule="auto"/>
              <w:rPr>
                <w:rFonts w:eastAsia="Times New Roman" w:cs="Times New Roman"/>
                <w:szCs w:val="24"/>
                <w:lang w:eastAsia="en-IN"/>
              </w:rPr>
            </w:pPr>
            <w:r w:rsidRPr="00CD2DB8">
              <w:rPr>
                <w:rFonts w:eastAsia="Times New Roman" w:cs="Times New Roman"/>
                <w:b/>
                <w:bCs/>
                <w:szCs w:val="24"/>
                <w:lang w:eastAsia="en-IN"/>
              </w:rPr>
              <w:t>100%</w:t>
            </w:r>
          </w:p>
        </w:tc>
        <w:tc>
          <w:tcPr>
            <w:tcW w:w="1896" w:type="pct"/>
            <w:hideMark/>
          </w:tcPr>
          <w:p w14:paraId="406C8B7D" w14:textId="77777777" w:rsidR="00CB674A" w:rsidRPr="00CD2DB8" w:rsidRDefault="00CB674A" w:rsidP="006B3D70">
            <w:pPr>
              <w:spacing w:line="360" w:lineRule="auto"/>
              <w:rPr>
                <w:rFonts w:eastAsia="Times New Roman" w:cs="Times New Roman"/>
                <w:szCs w:val="24"/>
                <w:lang w:eastAsia="en-IN"/>
              </w:rPr>
            </w:pPr>
            <w:r w:rsidRPr="00CD2DB8">
              <w:rPr>
                <w:rFonts w:eastAsia="Times New Roman" w:cs="Times New Roman"/>
                <w:szCs w:val="24"/>
                <w:lang w:eastAsia="en-IN"/>
              </w:rPr>
              <w:t>—</w:t>
            </w:r>
          </w:p>
        </w:tc>
      </w:tr>
    </w:tbl>
    <w:p w14:paraId="59BFF9C0" w14:textId="77777777" w:rsidR="00CB674A" w:rsidRPr="00CB674A" w:rsidRDefault="00CB674A" w:rsidP="00CB674A"/>
    <w:p w14:paraId="2B59EC31" w14:textId="77777777" w:rsidR="00CB674A" w:rsidRPr="003617AB" w:rsidRDefault="00CB674A" w:rsidP="00CB674A">
      <w:pPr>
        <w:rPr>
          <w:rFonts w:ascii="Times New Roman" w:hAnsi="Times New Roman" w:cs="Times New Roman"/>
          <w:sz w:val="24"/>
          <w:szCs w:val="24"/>
        </w:rPr>
      </w:pPr>
      <w:r w:rsidRPr="003617AB">
        <w:rPr>
          <w:rFonts w:ascii="Times New Roman" w:hAnsi="Times New Roman" w:cs="Times New Roman"/>
          <w:sz w:val="24"/>
          <w:szCs w:val="24"/>
        </w:rPr>
        <w:t>This structured approach enables a comprehensive assessment of both direct and indirect financial requirements, supporting more accurate budgeting and resource allocation.</w:t>
      </w:r>
    </w:p>
    <w:p w14:paraId="33C6D3A4" w14:textId="77777777" w:rsidR="00CB674A" w:rsidRPr="003617AB" w:rsidRDefault="00CB674A" w:rsidP="00CB674A">
      <w:pPr>
        <w:rPr>
          <w:rFonts w:ascii="Times New Roman" w:hAnsi="Times New Roman" w:cs="Times New Roman"/>
          <w:sz w:val="24"/>
          <w:szCs w:val="24"/>
        </w:rPr>
      </w:pPr>
      <w:r w:rsidRPr="003617AB">
        <w:rPr>
          <w:rFonts w:ascii="Times New Roman" w:hAnsi="Times New Roman" w:cs="Times New Roman"/>
          <w:sz w:val="24"/>
          <w:szCs w:val="24"/>
        </w:rPr>
        <w:t>As illustrated in Table 1, capital expenditure (CAPEX) represents the largest proportion of total cost (£42 million, 84%), reflecting the capital-intensive nature of renewable energy infrastructure, including land acquisition, solar panel installation, and grid integration. Operating expenditure (OPEX), estimated at £2 million annually, covers ongoing costs such as maintenance, staffing, and system management.</w:t>
      </w:r>
    </w:p>
    <w:p w14:paraId="6DB20B20" w14:textId="77777777" w:rsidR="00CB674A" w:rsidRPr="003617AB" w:rsidRDefault="00CB674A" w:rsidP="00CB674A">
      <w:pPr>
        <w:rPr>
          <w:rFonts w:ascii="Times New Roman" w:hAnsi="Times New Roman" w:cs="Times New Roman"/>
          <w:sz w:val="24"/>
          <w:szCs w:val="24"/>
        </w:rPr>
      </w:pPr>
      <w:r w:rsidRPr="003617AB">
        <w:rPr>
          <w:rFonts w:ascii="Times New Roman" w:hAnsi="Times New Roman" w:cs="Times New Roman"/>
          <w:sz w:val="24"/>
          <w:szCs w:val="24"/>
        </w:rPr>
        <w:t>A contingency allocation of approximately 10% of CAPEX (£4.2 million) is incorporated to address potential uncertainties, including cost inflation, supply chain disruptions, and project delays. While this provides a financial buffer, it may also indicate underlying estimation risk, highlighting the importance of accurate forecasting and cost control.</w:t>
      </w:r>
    </w:p>
    <w:p w14:paraId="6261AE94" w14:textId="77777777" w:rsidR="00CB674A" w:rsidRPr="003617AB" w:rsidRDefault="00CB674A" w:rsidP="00CB674A">
      <w:pPr>
        <w:rPr>
          <w:rFonts w:ascii="Times New Roman" w:hAnsi="Times New Roman" w:cs="Times New Roman"/>
          <w:sz w:val="24"/>
          <w:szCs w:val="24"/>
        </w:rPr>
      </w:pPr>
      <w:r w:rsidRPr="003617AB">
        <w:rPr>
          <w:rFonts w:ascii="Times New Roman" w:hAnsi="Times New Roman" w:cs="Times New Roman"/>
          <w:sz w:val="24"/>
          <w:szCs w:val="24"/>
        </w:rPr>
        <w:t>Additionally, Interest During Construction (IDC) of £1.6 million reflects the cost of financing prior to revenue generation and reinforces the significance of the time value of money in project evaluation.</w:t>
      </w:r>
    </w:p>
    <w:p w14:paraId="58734998" w14:textId="77777777" w:rsidR="00CB674A" w:rsidRPr="003617AB" w:rsidRDefault="00CB674A" w:rsidP="00CB674A">
      <w:pPr>
        <w:rPr>
          <w:rFonts w:ascii="Times New Roman" w:hAnsi="Times New Roman" w:cs="Times New Roman"/>
          <w:sz w:val="24"/>
          <w:szCs w:val="24"/>
        </w:rPr>
      </w:pPr>
      <w:r w:rsidRPr="003617AB">
        <w:rPr>
          <w:rFonts w:ascii="Times New Roman" w:hAnsi="Times New Roman" w:cs="Times New Roman"/>
          <w:sz w:val="24"/>
          <w:szCs w:val="24"/>
        </w:rPr>
        <w:t>Overall, the financing requirement structure provides a comprehensive foundation for financial planning; however, its effectiveness is highly dependent on the accuracy of initial assumptions and the project’s ability to manage cost-related risks throughout its lifecycle.</w:t>
      </w:r>
    </w:p>
    <w:p w14:paraId="0C5BBD54" w14:textId="77777777" w:rsidR="00CB674A" w:rsidRDefault="00CB674A" w:rsidP="009E39CD">
      <w:r>
        <w:rPr>
          <w:noProof/>
        </w:rPr>
        <w:lastRenderedPageBreak/>
        <w:drawing>
          <wp:inline distT="0" distB="0" distL="0" distR="0" wp14:anchorId="11427794" wp14:editId="3DF21413">
            <wp:extent cx="4572000" cy="2743200"/>
            <wp:effectExtent l="0" t="0" r="0" b="0"/>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367AEB47" w14:textId="77777777" w:rsidR="00CB674A" w:rsidRPr="00004908" w:rsidRDefault="00CB674A" w:rsidP="009E39CD">
      <w:pPr>
        <w:rPr>
          <w:i/>
          <w:iCs/>
          <w:color w:val="156082" w:themeColor="accent1"/>
          <w:sz w:val="18"/>
          <w:szCs w:val="18"/>
        </w:rPr>
      </w:pPr>
      <w:bookmarkStart w:id="3" w:name="_Toc225177766"/>
      <w:r w:rsidRPr="00004908">
        <w:rPr>
          <w:i/>
          <w:iCs/>
          <w:color w:val="156082" w:themeColor="accent1"/>
          <w:sz w:val="18"/>
          <w:szCs w:val="18"/>
        </w:rPr>
        <w:t xml:space="preserve">Figure </w:t>
      </w:r>
      <w:r w:rsidRPr="00004908">
        <w:rPr>
          <w:i/>
          <w:iCs/>
          <w:color w:val="156082" w:themeColor="accent1"/>
          <w:sz w:val="18"/>
          <w:szCs w:val="18"/>
        </w:rPr>
        <w:fldChar w:fldCharType="begin"/>
      </w:r>
      <w:r w:rsidRPr="00004908">
        <w:rPr>
          <w:i/>
          <w:iCs/>
          <w:color w:val="156082" w:themeColor="accent1"/>
          <w:sz w:val="18"/>
          <w:szCs w:val="18"/>
        </w:rPr>
        <w:instrText xml:space="preserve"> SEQ Figure \* ARABIC </w:instrText>
      </w:r>
      <w:r w:rsidRPr="00004908">
        <w:rPr>
          <w:i/>
          <w:iCs/>
          <w:color w:val="156082" w:themeColor="accent1"/>
          <w:sz w:val="18"/>
          <w:szCs w:val="18"/>
        </w:rPr>
        <w:fldChar w:fldCharType="separate"/>
      </w:r>
      <w:r w:rsidRPr="00004908">
        <w:rPr>
          <w:i/>
          <w:iCs/>
          <w:noProof/>
          <w:color w:val="156082" w:themeColor="accent1"/>
          <w:sz w:val="18"/>
          <w:szCs w:val="18"/>
        </w:rPr>
        <w:t>1</w:t>
      </w:r>
      <w:r w:rsidRPr="00004908">
        <w:rPr>
          <w:i/>
          <w:iCs/>
          <w:color w:val="156082" w:themeColor="accent1"/>
          <w:sz w:val="18"/>
          <w:szCs w:val="18"/>
        </w:rPr>
        <w:fldChar w:fldCharType="end"/>
      </w:r>
      <w:r w:rsidRPr="00004908">
        <w:rPr>
          <w:i/>
          <w:iCs/>
          <w:color w:val="156082" w:themeColor="accent1"/>
          <w:sz w:val="18"/>
          <w:szCs w:val="18"/>
        </w:rPr>
        <w:t>: Financing Requirement Breakdown Chart (Source: Author)</w:t>
      </w:r>
      <w:bookmarkEnd w:id="3"/>
    </w:p>
    <w:p w14:paraId="46244706" w14:textId="77777777" w:rsidR="009E39CD" w:rsidRDefault="009E39CD" w:rsidP="009E39CD"/>
    <w:p w14:paraId="37D90FFD" w14:textId="148ED23E" w:rsidR="00CB674A" w:rsidRPr="00CB674A" w:rsidRDefault="00CB674A" w:rsidP="009E39CD">
      <w:r w:rsidRPr="00CB674A">
        <w:t>Cash flow forecasting is a critical component of project financial planning, as it determines not only the total funding requirement but also the timing of capital needs throughout the project lifecycle. In large-scale infrastructure projects, misalignment between cash inflows and outflows can lead to significant liquidity constraints, even where overall profitability is positive.</w:t>
      </w:r>
    </w:p>
    <w:p w14:paraId="1D472DAF" w14:textId="77777777" w:rsidR="00CB674A" w:rsidRPr="00CB674A" w:rsidRDefault="00CB674A" w:rsidP="009E39CD">
      <w:r w:rsidRPr="00CB674A">
        <w:t>As illustrated in Figure 2, cash outflows are heavily front-loaded during the construction phase, reflecting substantial upfront capital investment. In contrast, cash inflows only begin once the project becomes operational at the commissioning stage (Koopman and Cumberlege, 2021). This creates a temporary liquidity gap, where funding requirements peak before revenue generation begins.</w:t>
      </w:r>
    </w:p>
    <w:p w14:paraId="49C91A1C" w14:textId="77777777" w:rsidR="003617AB" w:rsidRDefault="003617AB" w:rsidP="009E39CD"/>
    <w:p w14:paraId="4EB06512" w14:textId="0C5C3E27" w:rsidR="00CB674A" w:rsidRPr="00CB674A" w:rsidRDefault="00CB674A" w:rsidP="009E39CD">
      <w:r w:rsidRPr="00CB674A">
        <w:t>From a financial management perspective, this mismatch introduces short-term financing risk, requiring careful alignment of funding sources with the project schedule. Failure to effectively manage this timing difference may result in delays, increased borrowing costs, or disruptions to project delivery.</w:t>
      </w:r>
    </w:p>
    <w:p w14:paraId="60223CDA" w14:textId="77777777" w:rsidR="00CB674A" w:rsidRPr="00CB674A" w:rsidRDefault="00CB674A" w:rsidP="009E39CD">
      <w:r w:rsidRPr="00CB674A">
        <w:t>Therefore, effective cash flow forecasting and financing structuring are essential to ensure liquidity is maintained throughout the construction phase and that financial obligations can be met without compromising project performance.</w:t>
      </w:r>
    </w:p>
    <w:p w14:paraId="48625DDA" w14:textId="77777777" w:rsidR="00CB674A" w:rsidRDefault="00CB674A" w:rsidP="00CB674A">
      <w:pPr>
        <w:pStyle w:val="NormalWeb"/>
        <w:keepNext/>
        <w:spacing w:line="360" w:lineRule="auto"/>
        <w:jc w:val="center"/>
      </w:pPr>
      <w:r>
        <w:rPr>
          <w:noProof/>
        </w:rPr>
        <w:lastRenderedPageBreak/>
        <w:drawing>
          <wp:inline distT="0" distB="0" distL="0" distR="0" wp14:anchorId="0AF901CC" wp14:editId="0DC6A5A9">
            <wp:extent cx="4572000" cy="2743200"/>
            <wp:effectExtent l="0" t="0" r="0" b="0"/>
            <wp:docPr id="2"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00B740ED" w14:textId="77777777" w:rsidR="00CB674A" w:rsidRDefault="00CB674A" w:rsidP="00CB674A">
      <w:pPr>
        <w:pStyle w:val="Caption"/>
        <w:spacing w:line="360" w:lineRule="auto"/>
        <w:jc w:val="center"/>
      </w:pPr>
      <w:bookmarkStart w:id="4" w:name="_Toc225177767"/>
      <w:r>
        <w:t xml:space="preserve">Figure </w:t>
      </w:r>
      <w:r>
        <w:fldChar w:fldCharType="begin"/>
      </w:r>
      <w:r>
        <w:instrText xml:space="preserve"> SEQ Figure \* ARABIC </w:instrText>
      </w:r>
      <w:r>
        <w:fldChar w:fldCharType="separate"/>
      </w:r>
      <w:r>
        <w:rPr>
          <w:noProof/>
        </w:rPr>
        <w:t>2</w:t>
      </w:r>
      <w:r>
        <w:rPr>
          <w:noProof/>
        </w:rPr>
        <w:fldChar w:fldCharType="end"/>
      </w:r>
      <w:r>
        <w:t xml:space="preserve">: </w:t>
      </w:r>
      <w:r w:rsidRPr="00A57604">
        <w:t>Cash Flow Timeline Diagram</w:t>
      </w:r>
      <w:r>
        <w:t xml:space="preserve"> (Source: Author)</w:t>
      </w:r>
      <w:bookmarkEnd w:id="4"/>
    </w:p>
    <w:p w14:paraId="6C562B7B" w14:textId="77777777" w:rsidR="00437FBC" w:rsidRDefault="00437FBC"/>
    <w:p w14:paraId="1022D02B" w14:textId="77777777" w:rsidR="00437FBC" w:rsidRPr="003617AB" w:rsidRDefault="00437FBC" w:rsidP="00437FBC">
      <w:pPr>
        <w:rPr>
          <w:rFonts w:ascii="Times New Roman" w:hAnsi="Times New Roman" w:cs="Times New Roman"/>
          <w:sz w:val="24"/>
          <w:szCs w:val="24"/>
        </w:rPr>
      </w:pPr>
      <w:r w:rsidRPr="003617AB">
        <w:rPr>
          <w:rFonts w:ascii="Times New Roman" w:hAnsi="Times New Roman" w:cs="Times New Roman"/>
          <w:sz w:val="24"/>
          <w:szCs w:val="24"/>
        </w:rPr>
        <w:t>The selection of an appropriate financing structure is a critical determinant of project viability, as it directly influences cost of capital, risk exposure, and financial flexibility. Three primary financing options are considered for the project: debt financing, equity financing, and green/project finance. Each presents distinct advantages and limitations that must be evaluated in relation to the project’s risk profile and long-term objectives.</w:t>
      </w:r>
    </w:p>
    <w:p w14:paraId="2298C176" w14:textId="26571F74" w:rsidR="00437FBC" w:rsidRPr="003617AB" w:rsidRDefault="00437FBC" w:rsidP="00437FBC">
      <w:pPr>
        <w:rPr>
          <w:rFonts w:ascii="Times New Roman" w:hAnsi="Times New Roman" w:cs="Times New Roman"/>
          <w:sz w:val="24"/>
          <w:szCs w:val="24"/>
        </w:rPr>
      </w:pPr>
      <w:r w:rsidRPr="003617AB">
        <w:rPr>
          <w:rFonts w:ascii="Times New Roman" w:hAnsi="Times New Roman" w:cs="Times New Roman"/>
          <w:b/>
          <w:bCs/>
          <w:sz w:val="24"/>
          <w:szCs w:val="24"/>
        </w:rPr>
        <w:t>Option 1: Debt Financing (Bank Loans)</w:t>
      </w:r>
      <w:r w:rsidRPr="003617AB">
        <w:rPr>
          <w:rFonts w:ascii="Times New Roman" w:hAnsi="Times New Roman" w:cs="Times New Roman"/>
          <w:sz w:val="24"/>
          <w:szCs w:val="24"/>
        </w:rPr>
        <w:br/>
        <w:t xml:space="preserve">Debt financing through commercial bank loans offers a </w:t>
      </w:r>
      <w:r w:rsidR="002A3E79" w:rsidRPr="003617AB">
        <w:rPr>
          <w:rFonts w:ascii="Times New Roman" w:hAnsi="Times New Roman" w:cs="Times New Roman"/>
          <w:sz w:val="24"/>
          <w:szCs w:val="24"/>
        </w:rPr>
        <w:t>low</w:t>
      </w:r>
      <w:r w:rsidRPr="003617AB">
        <w:rPr>
          <w:rFonts w:ascii="Times New Roman" w:hAnsi="Times New Roman" w:cs="Times New Roman"/>
          <w:sz w:val="24"/>
          <w:szCs w:val="24"/>
        </w:rPr>
        <w:t xml:space="preserve"> cost of capital, with interest rates typically ranging between 6–9% (Dema, 2024). This makes it an attractive option for reducing the overall weighted average cost of capital. However, the reliance on debt significantly increases financial risk due to fixed repayment obligations and exposure to interest rate fluctuations. In the early stages of the project, when cash inflows are limited, this may place considerable pressure on liquidity and increase the likelihood of financial distress.</w:t>
      </w:r>
    </w:p>
    <w:p w14:paraId="59429C6A" w14:textId="236AE45B" w:rsidR="00437FBC" w:rsidRPr="003617AB" w:rsidRDefault="00437FBC" w:rsidP="00437FBC">
      <w:pPr>
        <w:rPr>
          <w:rFonts w:ascii="Times New Roman" w:hAnsi="Times New Roman" w:cs="Times New Roman"/>
          <w:sz w:val="24"/>
          <w:szCs w:val="24"/>
        </w:rPr>
      </w:pPr>
      <w:r w:rsidRPr="003617AB">
        <w:rPr>
          <w:rFonts w:ascii="Times New Roman" w:hAnsi="Times New Roman" w:cs="Times New Roman"/>
          <w:b/>
          <w:bCs/>
          <w:sz w:val="24"/>
          <w:szCs w:val="24"/>
        </w:rPr>
        <w:t>Option 2: Equity Financing</w:t>
      </w:r>
      <w:r w:rsidRPr="003617AB">
        <w:rPr>
          <w:rFonts w:ascii="Times New Roman" w:hAnsi="Times New Roman" w:cs="Times New Roman"/>
          <w:sz w:val="24"/>
          <w:szCs w:val="24"/>
        </w:rPr>
        <w:br/>
        <w:t xml:space="preserve">Equity financing involves raising capital in exchange for ownership stakes, thereby eliminating the need for fixed </w:t>
      </w:r>
      <w:r w:rsidR="002A3E79" w:rsidRPr="003617AB">
        <w:rPr>
          <w:rFonts w:ascii="Times New Roman" w:hAnsi="Times New Roman" w:cs="Times New Roman"/>
          <w:sz w:val="24"/>
          <w:szCs w:val="24"/>
        </w:rPr>
        <w:t>repayments,</w:t>
      </w:r>
      <w:r w:rsidRPr="003617AB">
        <w:rPr>
          <w:rFonts w:ascii="Times New Roman" w:hAnsi="Times New Roman" w:cs="Times New Roman"/>
          <w:sz w:val="24"/>
          <w:szCs w:val="24"/>
        </w:rPr>
        <w:t xml:space="preserve"> and reducing short-term financial pressure. This enhances financial flexibility and provides a buffer against early-stage cash flow uncertainty. However, equity is typically more expensive, with expected returns often exceeding 12–15% (Desta, 2025), and results in dilution of ownership and potential loss of managerial control. From a strategic perspective, while equity reduces financial risk, it increases the overall cost of capital and may impact long-term returns to existing stakeholders.</w:t>
      </w:r>
    </w:p>
    <w:p w14:paraId="6B777276" w14:textId="77777777" w:rsidR="00437FBC" w:rsidRPr="003617AB" w:rsidRDefault="00437FBC" w:rsidP="00437FBC">
      <w:pPr>
        <w:rPr>
          <w:rFonts w:ascii="Times New Roman" w:hAnsi="Times New Roman" w:cs="Times New Roman"/>
          <w:sz w:val="24"/>
          <w:szCs w:val="24"/>
        </w:rPr>
      </w:pPr>
      <w:r w:rsidRPr="003617AB">
        <w:rPr>
          <w:rFonts w:ascii="Times New Roman" w:hAnsi="Times New Roman" w:cs="Times New Roman"/>
          <w:b/>
          <w:bCs/>
          <w:sz w:val="24"/>
          <w:szCs w:val="24"/>
        </w:rPr>
        <w:t>Option 3: Green Bonds / Project Finance</w:t>
      </w:r>
      <w:r w:rsidRPr="003617AB">
        <w:rPr>
          <w:rFonts w:ascii="Times New Roman" w:hAnsi="Times New Roman" w:cs="Times New Roman"/>
          <w:sz w:val="24"/>
          <w:szCs w:val="24"/>
        </w:rPr>
        <w:br/>
        <w:t xml:space="preserve">Green finance instruments, such as green bonds and structured project finance, are particularly suitable for renewable energy projects due to their alignment with sustainability objectives (Ning et al., 2022). These instruments can attract environmentally focused investors and may provide access to favourable financing conditions. Additionally, project </w:t>
      </w:r>
      <w:r w:rsidRPr="003617AB">
        <w:rPr>
          <w:rFonts w:ascii="Times New Roman" w:hAnsi="Times New Roman" w:cs="Times New Roman"/>
          <w:sz w:val="24"/>
          <w:szCs w:val="24"/>
        </w:rPr>
        <w:lastRenderedPageBreak/>
        <w:t>finance structures allow risk to be distributed among stakeholders, with repayments linked to project cash flows rather than the sponsor’s balance sheet.</w:t>
      </w:r>
    </w:p>
    <w:p w14:paraId="606EFE8B" w14:textId="77777777" w:rsidR="00437FBC" w:rsidRPr="003617AB" w:rsidRDefault="00437FBC" w:rsidP="00437FBC">
      <w:pPr>
        <w:rPr>
          <w:rFonts w:ascii="Times New Roman" w:hAnsi="Times New Roman" w:cs="Times New Roman"/>
          <w:sz w:val="24"/>
          <w:szCs w:val="24"/>
        </w:rPr>
      </w:pPr>
      <w:r w:rsidRPr="003617AB">
        <w:rPr>
          <w:rFonts w:ascii="Times New Roman" w:hAnsi="Times New Roman" w:cs="Times New Roman"/>
          <w:sz w:val="24"/>
          <w:szCs w:val="24"/>
        </w:rPr>
        <w:t>However, these financing mechanisms often involve increased complexity, including stringent environmental, social, and governance (ESG) requirements, higher transaction costs, and more demanding reporting obligations. As a result, while green finance enhances sustainability and risk-sharing, it may introduce operational and administrative challenges that must be carefully managed.</w:t>
      </w:r>
    </w:p>
    <w:p w14:paraId="1D280712" w14:textId="77777777" w:rsidR="00437FBC" w:rsidRPr="003617AB" w:rsidRDefault="00437FBC" w:rsidP="00437FBC">
      <w:pPr>
        <w:rPr>
          <w:rFonts w:ascii="Times New Roman" w:hAnsi="Times New Roman" w:cs="Times New Roman"/>
          <w:sz w:val="24"/>
          <w:szCs w:val="24"/>
        </w:rPr>
      </w:pPr>
      <w:r w:rsidRPr="003617AB">
        <w:rPr>
          <w:rFonts w:ascii="Times New Roman" w:hAnsi="Times New Roman" w:cs="Times New Roman"/>
          <w:sz w:val="24"/>
          <w:szCs w:val="24"/>
        </w:rPr>
        <w:t>Overall, each financing option presents a trade-off between cost, risk, and control, highlighting the importance of adopting a balanced approach that aligns with both financial and strategic project objectives.</w:t>
      </w:r>
    </w:p>
    <w:p w14:paraId="37491415" w14:textId="77777777" w:rsidR="003617AB" w:rsidRDefault="003617AB" w:rsidP="003617AB">
      <w:pPr>
        <w:pStyle w:val="Heading2"/>
        <w:spacing w:line="360" w:lineRule="auto"/>
        <w:rPr>
          <w:rFonts w:ascii="Times New Roman" w:hAnsi="Times New Roman" w:cs="Times New Roman"/>
          <w:b/>
          <w:bCs/>
          <w:color w:val="auto"/>
          <w:sz w:val="28"/>
          <w:szCs w:val="28"/>
          <w:u w:val="single"/>
        </w:rPr>
      </w:pPr>
    </w:p>
    <w:p w14:paraId="2F589396" w14:textId="7066EAC2" w:rsidR="003617AB" w:rsidRPr="003617AB" w:rsidRDefault="00EE0134" w:rsidP="003617AB">
      <w:pPr>
        <w:pStyle w:val="Heading2"/>
        <w:spacing w:line="360" w:lineRule="auto"/>
        <w:rPr>
          <w:rFonts w:ascii="Times New Roman" w:hAnsi="Times New Roman" w:cs="Times New Roman"/>
          <w:b/>
          <w:bCs/>
          <w:color w:val="auto"/>
          <w:sz w:val="28"/>
          <w:szCs w:val="28"/>
          <w:u w:val="single"/>
        </w:rPr>
      </w:pPr>
      <w:bookmarkStart w:id="5" w:name="_Toc225194576"/>
      <w:r w:rsidRPr="003617AB">
        <w:rPr>
          <w:rFonts w:ascii="Times New Roman" w:hAnsi="Times New Roman" w:cs="Times New Roman"/>
          <w:b/>
          <w:bCs/>
          <w:color w:val="auto"/>
          <w:sz w:val="28"/>
          <w:szCs w:val="28"/>
          <w:u w:val="single"/>
        </w:rPr>
        <w:t>A3. Comparative Evaluation</w:t>
      </w:r>
      <w:bookmarkEnd w:id="5"/>
    </w:p>
    <w:tbl>
      <w:tblPr>
        <w:tblStyle w:val="TableGrid"/>
        <w:tblW w:w="5000" w:type="pct"/>
        <w:tblLook w:val="04A0" w:firstRow="1" w:lastRow="0" w:firstColumn="1" w:lastColumn="0" w:noHBand="0" w:noVBand="1"/>
      </w:tblPr>
      <w:tblGrid>
        <w:gridCol w:w="1573"/>
        <w:gridCol w:w="916"/>
        <w:gridCol w:w="1208"/>
        <w:gridCol w:w="2234"/>
        <w:gridCol w:w="3085"/>
      </w:tblGrid>
      <w:tr w:rsidR="00EE0134" w:rsidRPr="00F11957" w14:paraId="57E49EE4" w14:textId="77777777" w:rsidTr="006B3D70">
        <w:tc>
          <w:tcPr>
            <w:tcW w:w="872" w:type="pct"/>
            <w:hideMark/>
          </w:tcPr>
          <w:p w14:paraId="713A9947" w14:textId="77777777" w:rsidR="00EE0134" w:rsidRPr="00F11957" w:rsidRDefault="00EE0134" w:rsidP="006B3D70">
            <w:pPr>
              <w:spacing w:line="360" w:lineRule="auto"/>
              <w:jc w:val="center"/>
              <w:rPr>
                <w:rFonts w:eastAsia="Times New Roman" w:cs="Times New Roman"/>
                <w:b/>
                <w:bCs/>
                <w:szCs w:val="24"/>
                <w:lang w:eastAsia="en-IN"/>
              </w:rPr>
            </w:pPr>
            <w:r w:rsidRPr="00F11957">
              <w:rPr>
                <w:rFonts w:eastAsia="Times New Roman" w:cs="Times New Roman"/>
                <w:b/>
                <w:bCs/>
                <w:szCs w:val="24"/>
                <w:lang w:eastAsia="en-IN"/>
              </w:rPr>
              <w:t>Criteria</w:t>
            </w:r>
          </w:p>
        </w:tc>
        <w:tc>
          <w:tcPr>
            <w:tcW w:w="508" w:type="pct"/>
            <w:hideMark/>
          </w:tcPr>
          <w:p w14:paraId="7017274F" w14:textId="77777777" w:rsidR="00EE0134" w:rsidRPr="00F11957" w:rsidRDefault="00EE0134" w:rsidP="006B3D70">
            <w:pPr>
              <w:spacing w:line="360" w:lineRule="auto"/>
              <w:jc w:val="center"/>
              <w:rPr>
                <w:rFonts w:eastAsia="Times New Roman" w:cs="Times New Roman"/>
                <w:b/>
                <w:bCs/>
                <w:szCs w:val="24"/>
                <w:lang w:eastAsia="en-IN"/>
              </w:rPr>
            </w:pPr>
            <w:r w:rsidRPr="00F11957">
              <w:rPr>
                <w:rFonts w:eastAsia="Times New Roman" w:cs="Times New Roman"/>
                <w:b/>
                <w:bCs/>
                <w:szCs w:val="24"/>
                <w:lang w:eastAsia="en-IN"/>
              </w:rPr>
              <w:t>Debt</w:t>
            </w:r>
          </w:p>
        </w:tc>
        <w:tc>
          <w:tcPr>
            <w:tcW w:w="670" w:type="pct"/>
            <w:hideMark/>
          </w:tcPr>
          <w:p w14:paraId="434BFEE8" w14:textId="77777777" w:rsidR="00EE0134" w:rsidRPr="00F11957" w:rsidRDefault="00EE0134" w:rsidP="006B3D70">
            <w:pPr>
              <w:spacing w:line="360" w:lineRule="auto"/>
              <w:jc w:val="center"/>
              <w:rPr>
                <w:rFonts w:eastAsia="Times New Roman" w:cs="Times New Roman"/>
                <w:b/>
                <w:bCs/>
                <w:szCs w:val="24"/>
                <w:lang w:eastAsia="en-IN"/>
              </w:rPr>
            </w:pPr>
            <w:r w:rsidRPr="00F11957">
              <w:rPr>
                <w:rFonts w:eastAsia="Times New Roman" w:cs="Times New Roman"/>
                <w:b/>
                <w:bCs/>
                <w:szCs w:val="24"/>
                <w:lang w:eastAsia="en-IN"/>
              </w:rPr>
              <w:t>Equity</w:t>
            </w:r>
          </w:p>
        </w:tc>
        <w:tc>
          <w:tcPr>
            <w:tcW w:w="1239" w:type="pct"/>
            <w:hideMark/>
          </w:tcPr>
          <w:p w14:paraId="557ED1D6" w14:textId="77777777" w:rsidR="00EE0134" w:rsidRPr="00F11957" w:rsidRDefault="00EE0134" w:rsidP="006B3D70">
            <w:pPr>
              <w:spacing w:line="360" w:lineRule="auto"/>
              <w:jc w:val="center"/>
              <w:rPr>
                <w:rFonts w:eastAsia="Times New Roman" w:cs="Times New Roman"/>
                <w:b/>
                <w:bCs/>
                <w:szCs w:val="24"/>
                <w:lang w:eastAsia="en-IN"/>
              </w:rPr>
            </w:pPr>
            <w:r w:rsidRPr="00F11957">
              <w:rPr>
                <w:rFonts w:eastAsia="Times New Roman" w:cs="Times New Roman"/>
                <w:b/>
                <w:bCs/>
                <w:szCs w:val="24"/>
                <w:lang w:eastAsia="en-IN"/>
              </w:rPr>
              <w:t>Green Finance</w:t>
            </w:r>
          </w:p>
        </w:tc>
        <w:tc>
          <w:tcPr>
            <w:tcW w:w="1711" w:type="pct"/>
            <w:hideMark/>
          </w:tcPr>
          <w:p w14:paraId="7D44EA7C" w14:textId="77777777" w:rsidR="00EE0134" w:rsidRPr="00F11957" w:rsidRDefault="00EE0134" w:rsidP="006B3D70">
            <w:pPr>
              <w:spacing w:line="360" w:lineRule="auto"/>
              <w:jc w:val="center"/>
              <w:rPr>
                <w:rFonts w:eastAsia="Times New Roman" w:cs="Times New Roman"/>
                <w:b/>
                <w:bCs/>
                <w:szCs w:val="24"/>
                <w:lang w:eastAsia="en-IN"/>
              </w:rPr>
            </w:pPr>
            <w:r w:rsidRPr="00F11957">
              <w:rPr>
                <w:rFonts w:eastAsia="Times New Roman" w:cs="Times New Roman"/>
                <w:b/>
                <w:bCs/>
                <w:szCs w:val="24"/>
                <w:lang w:eastAsia="en-IN"/>
              </w:rPr>
              <w:t>Evaluation Insight</w:t>
            </w:r>
          </w:p>
        </w:tc>
      </w:tr>
      <w:tr w:rsidR="00EE0134" w:rsidRPr="00F11957" w14:paraId="62F4A028" w14:textId="77777777" w:rsidTr="006B3D70">
        <w:tc>
          <w:tcPr>
            <w:tcW w:w="872" w:type="pct"/>
            <w:hideMark/>
          </w:tcPr>
          <w:p w14:paraId="78B076CD" w14:textId="77777777" w:rsidR="00EE0134" w:rsidRPr="00F11957" w:rsidRDefault="00EE0134" w:rsidP="006B3D70">
            <w:pPr>
              <w:spacing w:line="360" w:lineRule="auto"/>
              <w:rPr>
                <w:rFonts w:eastAsia="Times New Roman" w:cs="Times New Roman"/>
                <w:szCs w:val="24"/>
                <w:lang w:eastAsia="en-IN"/>
              </w:rPr>
            </w:pPr>
            <w:r w:rsidRPr="00F11957">
              <w:rPr>
                <w:rFonts w:eastAsia="Times New Roman" w:cs="Times New Roman"/>
                <w:szCs w:val="24"/>
                <w:lang w:eastAsia="en-IN"/>
              </w:rPr>
              <w:t>Cost</w:t>
            </w:r>
          </w:p>
        </w:tc>
        <w:tc>
          <w:tcPr>
            <w:tcW w:w="508" w:type="pct"/>
            <w:hideMark/>
          </w:tcPr>
          <w:p w14:paraId="24CA9ED8" w14:textId="77777777" w:rsidR="00EE0134" w:rsidRPr="00F11957" w:rsidRDefault="00EE0134" w:rsidP="006B3D70">
            <w:pPr>
              <w:spacing w:line="360" w:lineRule="auto"/>
              <w:rPr>
                <w:rFonts w:eastAsia="Times New Roman" w:cs="Times New Roman"/>
                <w:szCs w:val="24"/>
                <w:lang w:eastAsia="en-IN"/>
              </w:rPr>
            </w:pPr>
            <w:r w:rsidRPr="00F11957">
              <w:rPr>
                <w:rFonts w:eastAsia="Times New Roman" w:cs="Times New Roman"/>
                <w:szCs w:val="24"/>
                <w:lang w:eastAsia="en-IN"/>
              </w:rPr>
              <w:t>Low</w:t>
            </w:r>
          </w:p>
        </w:tc>
        <w:tc>
          <w:tcPr>
            <w:tcW w:w="670" w:type="pct"/>
            <w:hideMark/>
          </w:tcPr>
          <w:p w14:paraId="0C3C8E6D" w14:textId="77777777" w:rsidR="00EE0134" w:rsidRPr="00F11957" w:rsidRDefault="00EE0134" w:rsidP="006B3D70">
            <w:pPr>
              <w:spacing w:line="360" w:lineRule="auto"/>
              <w:rPr>
                <w:rFonts w:eastAsia="Times New Roman" w:cs="Times New Roman"/>
                <w:szCs w:val="24"/>
                <w:lang w:eastAsia="en-IN"/>
              </w:rPr>
            </w:pPr>
            <w:r w:rsidRPr="00F11957">
              <w:rPr>
                <w:rFonts w:eastAsia="Times New Roman" w:cs="Times New Roman"/>
                <w:szCs w:val="24"/>
                <w:lang w:eastAsia="en-IN"/>
              </w:rPr>
              <w:t>High</w:t>
            </w:r>
          </w:p>
        </w:tc>
        <w:tc>
          <w:tcPr>
            <w:tcW w:w="1239" w:type="pct"/>
            <w:hideMark/>
          </w:tcPr>
          <w:p w14:paraId="0A30A9CB" w14:textId="77777777" w:rsidR="00EE0134" w:rsidRPr="00F11957" w:rsidRDefault="00EE0134" w:rsidP="006B3D70">
            <w:pPr>
              <w:spacing w:line="360" w:lineRule="auto"/>
              <w:rPr>
                <w:rFonts w:eastAsia="Times New Roman" w:cs="Times New Roman"/>
                <w:szCs w:val="24"/>
                <w:lang w:eastAsia="en-IN"/>
              </w:rPr>
            </w:pPr>
            <w:r w:rsidRPr="00F11957">
              <w:rPr>
                <w:rFonts w:eastAsia="Times New Roman" w:cs="Times New Roman"/>
                <w:szCs w:val="24"/>
                <w:lang w:eastAsia="en-IN"/>
              </w:rPr>
              <w:t>Medium</w:t>
            </w:r>
          </w:p>
        </w:tc>
        <w:tc>
          <w:tcPr>
            <w:tcW w:w="1711" w:type="pct"/>
            <w:hideMark/>
          </w:tcPr>
          <w:p w14:paraId="07EE7B16" w14:textId="77777777" w:rsidR="00EE0134" w:rsidRPr="00F11957" w:rsidRDefault="00EE0134" w:rsidP="006B3D70">
            <w:pPr>
              <w:spacing w:line="360" w:lineRule="auto"/>
              <w:rPr>
                <w:rFonts w:eastAsia="Times New Roman" w:cs="Times New Roman"/>
                <w:szCs w:val="24"/>
                <w:lang w:eastAsia="en-IN"/>
              </w:rPr>
            </w:pPr>
            <w:r w:rsidRPr="00F11957">
              <w:rPr>
                <w:rFonts w:eastAsia="Times New Roman" w:cs="Times New Roman"/>
                <w:szCs w:val="24"/>
                <w:lang w:eastAsia="en-IN"/>
              </w:rPr>
              <w:t>Debt cheapest</w:t>
            </w:r>
          </w:p>
        </w:tc>
      </w:tr>
      <w:tr w:rsidR="00EE0134" w:rsidRPr="00F11957" w14:paraId="13563477" w14:textId="77777777" w:rsidTr="006B3D70">
        <w:tc>
          <w:tcPr>
            <w:tcW w:w="872" w:type="pct"/>
            <w:hideMark/>
          </w:tcPr>
          <w:p w14:paraId="5DB0FBF7" w14:textId="77777777" w:rsidR="00EE0134" w:rsidRPr="00F11957" w:rsidRDefault="00EE0134" w:rsidP="006B3D70">
            <w:pPr>
              <w:spacing w:line="360" w:lineRule="auto"/>
              <w:rPr>
                <w:rFonts w:eastAsia="Times New Roman" w:cs="Times New Roman"/>
                <w:szCs w:val="24"/>
                <w:lang w:eastAsia="en-IN"/>
              </w:rPr>
            </w:pPr>
            <w:r w:rsidRPr="00F11957">
              <w:rPr>
                <w:rFonts w:eastAsia="Times New Roman" w:cs="Times New Roman"/>
                <w:szCs w:val="24"/>
                <w:lang w:eastAsia="en-IN"/>
              </w:rPr>
              <w:t>Risk</w:t>
            </w:r>
          </w:p>
        </w:tc>
        <w:tc>
          <w:tcPr>
            <w:tcW w:w="508" w:type="pct"/>
            <w:hideMark/>
          </w:tcPr>
          <w:p w14:paraId="69BF1FF9" w14:textId="77777777" w:rsidR="00EE0134" w:rsidRPr="00F11957" w:rsidRDefault="00EE0134" w:rsidP="006B3D70">
            <w:pPr>
              <w:spacing w:line="360" w:lineRule="auto"/>
              <w:rPr>
                <w:rFonts w:eastAsia="Times New Roman" w:cs="Times New Roman"/>
                <w:szCs w:val="24"/>
                <w:lang w:eastAsia="en-IN"/>
              </w:rPr>
            </w:pPr>
            <w:r w:rsidRPr="00F11957">
              <w:rPr>
                <w:rFonts w:eastAsia="Times New Roman" w:cs="Times New Roman"/>
                <w:szCs w:val="24"/>
                <w:lang w:eastAsia="en-IN"/>
              </w:rPr>
              <w:t>High</w:t>
            </w:r>
          </w:p>
        </w:tc>
        <w:tc>
          <w:tcPr>
            <w:tcW w:w="670" w:type="pct"/>
            <w:hideMark/>
          </w:tcPr>
          <w:p w14:paraId="643A8D37" w14:textId="77777777" w:rsidR="00EE0134" w:rsidRPr="00F11957" w:rsidRDefault="00EE0134" w:rsidP="006B3D70">
            <w:pPr>
              <w:spacing w:line="360" w:lineRule="auto"/>
              <w:rPr>
                <w:rFonts w:eastAsia="Times New Roman" w:cs="Times New Roman"/>
                <w:szCs w:val="24"/>
                <w:lang w:eastAsia="en-IN"/>
              </w:rPr>
            </w:pPr>
            <w:r w:rsidRPr="00F11957">
              <w:rPr>
                <w:rFonts w:eastAsia="Times New Roman" w:cs="Times New Roman"/>
                <w:szCs w:val="24"/>
                <w:lang w:eastAsia="en-IN"/>
              </w:rPr>
              <w:t>Shared</w:t>
            </w:r>
          </w:p>
        </w:tc>
        <w:tc>
          <w:tcPr>
            <w:tcW w:w="1239" w:type="pct"/>
            <w:hideMark/>
          </w:tcPr>
          <w:p w14:paraId="35485730" w14:textId="77777777" w:rsidR="00EE0134" w:rsidRPr="00F11957" w:rsidRDefault="00EE0134" w:rsidP="006B3D70">
            <w:pPr>
              <w:spacing w:line="360" w:lineRule="auto"/>
              <w:rPr>
                <w:rFonts w:eastAsia="Times New Roman" w:cs="Times New Roman"/>
                <w:szCs w:val="24"/>
                <w:lang w:eastAsia="en-IN"/>
              </w:rPr>
            </w:pPr>
            <w:r w:rsidRPr="00F11957">
              <w:rPr>
                <w:rFonts w:eastAsia="Times New Roman" w:cs="Times New Roman"/>
                <w:szCs w:val="24"/>
                <w:lang w:eastAsia="en-IN"/>
              </w:rPr>
              <w:t>Medium</w:t>
            </w:r>
          </w:p>
        </w:tc>
        <w:tc>
          <w:tcPr>
            <w:tcW w:w="1711" w:type="pct"/>
            <w:hideMark/>
          </w:tcPr>
          <w:p w14:paraId="3345AEF8" w14:textId="77777777" w:rsidR="00EE0134" w:rsidRPr="00F11957" w:rsidRDefault="00EE0134" w:rsidP="006B3D70">
            <w:pPr>
              <w:spacing w:line="360" w:lineRule="auto"/>
              <w:rPr>
                <w:rFonts w:eastAsia="Times New Roman" w:cs="Times New Roman"/>
                <w:szCs w:val="24"/>
                <w:lang w:eastAsia="en-IN"/>
              </w:rPr>
            </w:pPr>
            <w:r w:rsidRPr="00F11957">
              <w:rPr>
                <w:rFonts w:eastAsia="Times New Roman" w:cs="Times New Roman"/>
                <w:szCs w:val="24"/>
                <w:lang w:eastAsia="en-IN"/>
              </w:rPr>
              <w:t>Equity absorbs risk</w:t>
            </w:r>
          </w:p>
        </w:tc>
      </w:tr>
      <w:tr w:rsidR="00EE0134" w:rsidRPr="00F11957" w14:paraId="12911550" w14:textId="77777777" w:rsidTr="006B3D70">
        <w:tc>
          <w:tcPr>
            <w:tcW w:w="872" w:type="pct"/>
            <w:hideMark/>
          </w:tcPr>
          <w:p w14:paraId="6D2780EF" w14:textId="77777777" w:rsidR="00EE0134" w:rsidRPr="00F11957" w:rsidRDefault="00EE0134" w:rsidP="006B3D70">
            <w:pPr>
              <w:spacing w:line="360" w:lineRule="auto"/>
              <w:rPr>
                <w:rFonts w:eastAsia="Times New Roman" w:cs="Times New Roman"/>
                <w:szCs w:val="24"/>
                <w:lang w:eastAsia="en-IN"/>
              </w:rPr>
            </w:pPr>
            <w:r w:rsidRPr="00F11957">
              <w:rPr>
                <w:rFonts w:eastAsia="Times New Roman" w:cs="Times New Roman"/>
                <w:szCs w:val="24"/>
                <w:lang w:eastAsia="en-IN"/>
              </w:rPr>
              <w:t>Control</w:t>
            </w:r>
          </w:p>
        </w:tc>
        <w:tc>
          <w:tcPr>
            <w:tcW w:w="508" w:type="pct"/>
            <w:hideMark/>
          </w:tcPr>
          <w:p w14:paraId="1F8A4A83" w14:textId="77777777" w:rsidR="00EE0134" w:rsidRPr="00F11957" w:rsidRDefault="00EE0134" w:rsidP="006B3D70">
            <w:pPr>
              <w:spacing w:line="360" w:lineRule="auto"/>
              <w:rPr>
                <w:rFonts w:eastAsia="Times New Roman" w:cs="Times New Roman"/>
                <w:szCs w:val="24"/>
                <w:lang w:eastAsia="en-IN"/>
              </w:rPr>
            </w:pPr>
            <w:r w:rsidRPr="00F11957">
              <w:rPr>
                <w:rFonts w:eastAsia="Times New Roman" w:cs="Times New Roman"/>
                <w:szCs w:val="24"/>
                <w:lang w:eastAsia="en-IN"/>
              </w:rPr>
              <w:t>Full</w:t>
            </w:r>
          </w:p>
        </w:tc>
        <w:tc>
          <w:tcPr>
            <w:tcW w:w="670" w:type="pct"/>
            <w:hideMark/>
          </w:tcPr>
          <w:p w14:paraId="17593678" w14:textId="77777777" w:rsidR="00EE0134" w:rsidRPr="00F11957" w:rsidRDefault="00EE0134" w:rsidP="006B3D70">
            <w:pPr>
              <w:spacing w:line="360" w:lineRule="auto"/>
              <w:rPr>
                <w:rFonts w:eastAsia="Times New Roman" w:cs="Times New Roman"/>
                <w:szCs w:val="24"/>
                <w:lang w:eastAsia="en-IN"/>
              </w:rPr>
            </w:pPr>
            <w:r w:rsidRPr="00F11957">
              <w:rPr>
                <w:rFonts w:eastAsia="Times New Roman" w:cs="Times New Roman"/>
                <w:szCs w:val="24"/>
                <w:lang w:eastAsia="en-IN"/>
              </w:rPr>
              <w:t>Diluted</w:t>
            </w:r>
          </w:p>
        </w:tc>
        <w:tc>
          <w:tcPr>
            <w:tcW w:w="1239" w:type="pct"/>
            <w:hideMark/>
          </w:tcPr>
          <w:p w14:paraId="548B59E2" w14:textId="77777777" w:rsidR="00EE0134" w:rsidRPr="00F11957" w:rsidRDefault="00EE0134" w:rsidP="006B3D70">
            <w:pPr>
              <w:spacing w:line="360" w:lineRule="auto"/>
              <w:rPr>
                <w:rFonts w:eastAsia="Times New Roman" w:cs="Times New Roman"/>
                <w:szCs w:val="24"/>
                <w:lang w:eastAsia="en-IN"/>
              </w:rPr>
            </w:pPr>
            <w:r w:rsidRPr="00F11957">
              <w:rPr>
                <w:rFonts w:eastAsia="Times New Roman" w:cs="Times New Roman"/>
                <w:szCs w:val="24"/>
                <w:lang w:eastAsia="en-IN"/>
              </w:rPr>
              <w:t>Full</w:t>
            </w:r>
          </w:p>
        </w:tc>
        <w:tc>
          <w:tcPr>
            <w:tcW w:w="1711" w:type="pct"/>
            <w:hideMark/>
          </w:tcPr>
          <w:p w14:paraId="0104071A" w14:textId="77777777" w:rsidR="00EE0134" w:rsidRPr="00F11957" w:rsidRDefault="00EE0134" w:rsidP="006B3D70">
            <w:pPr>
              <w:spacing w:line="360" w:lineRule="auto"/>
              <w:rPr>
                <w:rFonts w:eastAsia="Times New Roman" w:cs="Times New Roman"/>
                <w:szCs w:val="24"/>
                <w:lang w:eastAsia="en-IN"/>
              </w:rPr>
            </w:pPr>
            <w:r w:rsidRPr="00F11957">
              <w:rPr>
                <w:rFonts w:eastAsia="Times New Roman" w:cs="Times New Roman"/>
                <w:szCs w:val="24"/>
                <w:lang w:eastAsia="en-IN"/>
              </w:rPr>
              <w:t>Equity reduces control</w:t>
            </w:r>
          </w:p>
        </w:tc>
      </w:tr>
      <w:tr w:rsidR="00EE0134" w:rsidRPr="00F11957" w14:paraId="19C7E737" w14:textId="77777777" w:rsidTr="006B3D70">
        <w:tc>
          <w:tcPr>
            <w:tcW w:w="872" w:type="pct"/>
            <w:hideMark/>
          </w:tcPr>
          <w:p w14:paraId="62EB5FA0" w14:textId="77777777" w:rsidR="00EE0134" w:rsidRPr="00F11957" w:rsidRDefault="00EE0134" w:rsidP="006B3D70">
            <w:pPr>
              <w:spacing w:line="360" w:lineRule="auto"/>
              <w:rPr>
                <w:rFonts w:eastAsia="Times New Roman" w:cs="Times New Roman"/>
                <w:szCs w:val="24"/>
                <w:lang w:eastAsia="en-IN"/>
              </w:rPr>
            </w:pPr>
            <w:r w:rsidRPr="00F11957">
              <w:rPr>
                <w:rFonts w:eastAsia="Times New Roman" w:cs="Times New Roman"/>
                <w:szCs w:val="24"/>
                <w:lang w:eastAsia="en-IN"/>
              </w:rPr>
              <w:t>Flexibility</w:t>
            </w:r>
          </w:p>
        </w:tc>
        <w:tc>
          <w:tcPr>
            <w:tcW w:w="508" w:type="pct"/>
            <w:hideMark/>
          </w:tcPr>
          <w:p w14:paraId="7AC05FFD" w14:textId="77777777" w:rsidR="00EE0134" w:rsidRPr="00F11957" w:rsidRDefault="00EE0134" w:rsidP="006B3D70">
            <w:pPr>
              <w:spacing w:line="360" w:lineRule="auto"/>
              <w:rPr>
                <w:rFonts w:eastAsia="Times New Roman" w:cs="Times New Roman"/>
                <w:szCs w:val="24"/>
                <w:lang w:eastAsia="en-IN"/>
              </w:rPr>
            </w:pPr>
            <w:r w:rsidRPr="00F11957">
              <w:rPr>
                <w:rFonts w:eastAsia="Times New Roman" w:cs="Times New Roman"/>
                <w:szCs w:val="24"/>
                <w:lang w:eastAsia="en-IN"/>
              </w:rPr>
              <w:t>Low</w:t>
            </w:r>
          </w:p>
        </w:tc>
        <w:tc>
          <w:tcPr>
            <w:tcW w:w="670" w:type="pct"/>
            <w:hideMark/>
          </w:tcPr>
          <w:p w14:paraId="412F73C8" w14:textId="77777777" w:rsidR="00EE0134" w:rsidRPr="00F11957" w:rsidRDefault="00EE0134" w:rsidP="006B3D70">
            <w:pPr>
              <w:spacing w:line="360" w:lineRule="auto"/>
              <w:rPr>
                <w:rFonts w:eastAsia="Times New Roman" w:cs="Times New Roman"/>
                <w:szCs w:val="24"/>
                <w:lang w:eastAsia="en-IN"/>
              </w:rPr>
            </w:pPr>
            <w:r w:rsidRPr="00F11957">
              <w:rPr>
                <w:rFonts w:eastAsia="Times New Roman" w:cs="Times New Roman"/>
                <w:szCs w:val="24"/>
                <w:lang w:eastAsia="en-IN"/>
              </w:rPr>
              <w:t>High</w:t>
            </w:r>
          </w:p>
        </w:tc>
        <w:tc>
          <w:tcPr>
            <w:tcW w:w="1239" w:type="pct"/>
            <w:hideMark/>
          </w:tcPr>
          <w:p w14:paraId="547997B2" w14:textId="77777777" w:rsidR="00EE0134" w:rsidRPr="00F11957" w:rsidRDefault="00EE0134" w:rsidP="006B3D70">
            <w:pPr>
              <w:spacing w:line="360" w:lineRule="auto"/>
              <w:rPr>
                <w:rFonts w:eastAsia="Times New Roman" w:cs="Times New Roman"/>
                <w:szCs w:val="24"/>
                <w:lang w:eastAsia="en-IN"/>
              </w:rPr>
            </w:pPr>
            <w:r w:rsidRPr="00F11957">
              <w:rPr>
                <w:rFonts w:eastAsia="Times New Roman" w:cs="Times New Roman"/>
                <w:szCs w:val="24"/>
                <w:lang w:eastAsia="en-IN"/>
              </w:rPr>
              <w:t>Medium</w:t>
            </w:r>
          </w:p>
        </w:tc>
        <w:tc>
          <w:tcPr>
            <w:tcW w:w="1711" w:type="pct"/>
            <w:hideMark/>
          </w:tcPr>
          <w:p w14:paraId="57BD71E9" w14:textId="77777777" w:rsidR="00EE0134" w:rsidRPr="00F11957" w:rsidRDefault="00EE0134" w:rsidP="006B3D70">
            <w:pPr>
              <w:keepNext/>
              <w:spacing w:line="360" w:lineRule="auto"/>
              <w:rPr>
                <w:rFonts w:eastAsia="Times New Roman" w:cs="Times New Roman"/>
                <w:szCs w:val="24"/>
                <w:lang w:eastAsia="en-IN"/>
              </w:rPr>
            </w:pPr>
            <w:r w:rsidRPr="00F11957">
              <w:rPr>
                <w:rFonts w:eastAsia="Times New Roman" w:cs="Times New Roman"/>
                <w:szCs w:val="24"/>
                <w:lang w:eastAsia="en-IN"/>
              </w:rPr>
              <w:t>Equity most flexible</w:t>
            </w:r>
          </w:p>
        </w:tc>
      </w:tr>
    </w:tbl>
    <w:p w14:paraId="24FDEE37" w14:textId="77777777" w:rsidR="00EE0134" w:rsidRDefault="00EE0134" w:rsidP="00EE0134">
      <w:pPr>
        <w:pStyle w:val="Caption"/>
        <w:spacing w:line="360" w:lineRule="auto"/>
      </w:pPr>
      <w:bookmarkStart w:id="6" w:name="_Toc225177768"/>
      <w:r>
        <w:t xml:space="preserve">Figure </w:t>
      </w:r>
      <w:r>
        <w:fldChar w:fldCharType="begin"/>
      </w:r>
      <w:r>
        <w:instrText xml:space="preserve"> SEQ Figure \* ARABIC </w:instrText>
      </w:r>
      <w:r>
        <w:fldChar w:fldCharType="separate"/>
      </w:r>
      <w:r>
        <w:rPr>
          <w:noProof/>
        </w:rPr>
        <w:t>3</w:t>
      </w:r>
      <w:r>
        <w:rPr>
          <w:noProof/>
        </w:rPr>
        <w:fldChar w:fldCharType="end"/>
      </w:r>
      <w:r>
        <w:t xml:space="preserve">: </w:t>
      </w:r>
      <w:r w:rsidRPr="000C23B7">
        <w:t>Comparative Table</w:t>
      </w:r>
      <w:r>
        <w:rPr>
          <w:noProof/>
        </w:rPr>
        <w:t xml:space="preserve"> of Financing (Source: Author)</w:t>
      </w:r>
      <w:bookmarkEnd w:id="6"/>
    </w:p>
    <w:p w14:paraId="14FF07CD" w14:textId="77777777" w:rsidR="003617AB" w:rsidRDefault="003617AB" w:rsidP="00EE0134">
      <w:pPr>
        <w:rPr>
          <w:b/>
          <w:bCs/>
        </w:rPr>
      </w:pPr>
    </w:p>
    <w:p w14:paraId="36F8CC68" w14:textId="77777777" w:rsidR="00EE0134" w:rsidRPr="00EE0134" w:rsidRDefault="00EE0134" w:rsidP="00EE0134">
      <w:r w:rsidRPr="00EE0134">
        <w:t>The comparative analysis highlights that each financing option presents distinct trade-offs between cost, risk, control, and flexibility. While debt financing offers the lowest cost of capital, it significantly increases financial risk due to fixed repayment obligations and exposure to interest rate fluctuations. In contrast, equity financing enhances financial flexibility and risk absorption, but at the expense of higher cost and dilution of ownership.</w:t>
      </w:r>
    </w:p>
    <w:p w14:paraId="01C68495" w14:textId="77777777" w:rsidR="00EE0134" w:rsidRPr="00EE0134" w:rsidRDefault="00EE0134" w:rsidP="00EE0134">
      <w:r w:rsidRPr="00EE0134">
        <w:t>Green finance occupies a middle position, offering a balance between cost efficiency and risk sharing, while also aligning with sustainability objectives. However, its effectiveness is dependent on compliance with environmental, social, and governance (ESG) requirements, which may increase administrative complexity and reporting burdens.</w:t>
      </w:r>
    </w:p>
    <w:p w14:paraId="37D8F097" w14:textId="77777777" w:rsidR="00EE0134" w:rsidRPr="00EE0134" w:rsidRDefault="00EE0134" w:rsidP="00EE0134">
      <w:r w:rsidRPr="00EE0134">
        <w:t>From a strategic perspective, no single financing option is sufficient in isolation. Instead, an optimal solution requires balancing these trade-offs to minimise overall cost while maintaining financial stability and flexibility throughout the project lifecycle.</w:t>
      </w:r>
    </w:p>
    <w:p w14:paraId="1892ADFF" w14:textId="7917B367" w:rsidR="00EE0134" w:rsidRPr="003617AB" w:rsidRDefault="00EE0134" w:rsidP="00EE0134">
      <w:pPr>
        <w:rPr>
          <w:b/>
          <w:bCs/>
        </w:rPr>
      </w:pPr>
    </w:p>
    <w:p w14:paraId="037B5FEE" w14:textId="77777777" w:rsidR="003617AB" w:rsidRDefault="003617AB" w:rsidP="00EE0134">
      <w:pPr>
        <w:rPr>
          <w:rFonts w:ascii="Times New Roman" w:hAnsi="Times New Roman" w:cs="Times New Roman"/>
          <w:b/>
          <w:bCs/>
          <w:sz w:val="28"/>
          <w:szCs w:val="28"/>
          <w:u w:val="single"/>
        </w:rPr>
      </w:pPr>
    </w:p>
    <w:p w14:paraId="5A047AB4" w14:textId="77777777" w:rsidR="003617AB" w:rsidRDefault="003617AB" w:rsidP="00EE0134">
      <w:pPr>
        <w:rPr>
          <w:rFonts w:ascii="Times New Roman" w:hAnsi="Times New Roman" w:cs="Times New Roman"/>
          <w:b/>
          <w:bCs/>
          <w:sz w:val="28"/>
          <w:szCs w:val="28"/>
          <w:u w:val="single"/>
        </w:rPr>
      </w:pPr>
    </w:p>
    <w:p w14:paraId="69EB3B27" w14:textId="77777777" w:rsidR="003617AB" w:rsidRDefault="003617AB" w:rsidP="00EE0134">
      <w:pPr>
        <w:rPr>
          <w:rFonts w:ascii="Times New Roman" w:hAnsi="Times New Roman" w:cs="Times New Roman"/>
          <w:b/>
          <w:bCs/>
          <w:sz w:val="28"/>
          <w:szCs w:val="28"/>
          <w:u w:val="single"/>
        </w:rPr>
      </w:pPr>
    </w:p>
    <w:p w14:paraId="5F8AEF79" w14:textId="77777777" w:rsidR="00F36891" w:rsidRDefault="00F36891" w:rsidP="00EE0134">
      <w:pPr>
        <w:rPr>
          <w:rFonts w:ascii="Times New Roman" w:hAnsi="Times New Roman" w:cs="Times New Roman"/>
          <w:b/>
          <w:bCs/>
          <w:sz w:val="28"/>
          <w:szCs w:val="28"/>
          <w:u w:val="single"/>
        </w:rPr>
      </w:pPr>
    </w:p>
    <w:p w14:paraId="4E29D1A6" w14:textId="50E4407E" w:rsidR="00EE0134" w:rsidRPr="003617AB" w:rsidRDefault="00EE0134" w:rsidP="00EE0134">
      <w:pPr>
        <w:rPr>
          <w:rFonts w:ascii="Times New Roman" w:hAnsi="Times New Roman" w:cs="Times New Roman"/>
          <w:b/>
          <w:bCs/>
          <w:sz w:val="28"/>
          <w:szCs w:val="28"/>
          <w:u w:val="single"/>
        </w:rPr>
      </w:pPr>
      <w:r w:rsidRPr="003617AB">
        <w:rPr>
          <w:rFonts w:ascii="Times New Roman" w:hAnsi="Times New Roman" w:cs="Times New Roman"/>
          <w:b/>
          <w:bCs/>
          <w:sz w:val="28"/>
          <w:szCs w:val="28"/>
          <w:u w:val="single"/>
        </w:rPr>
        <w:lastRenderedPageBreak/>
        <w:t xml:space="preserve">A4. Recommended Financing Mix </w:t>
      </w:r>
    </w:p>
    <w:p w14:paraId="769471ED" w14:textId="77777777" w:rsidR="003617AB" w:rsidRPr="003617AB" w:rsidRDefault="003617AB" w:rsidP="00EE0134">
      <w:pPr>
        <w:rPr>
          <w:rFonts w:ascii="Times New Roman" w:hAnsi="Times New Roman" w:cs="Times New Roman"/>
          <w:sz w:val="28"/>
          <w:szCs w:val="28"/>
          <w:u w:val="single"/>
        </w:rPr>
      </w:pPr>
    </w:p>
    <w:p w14:paraId="355CA81E" w14:textId="77777777" w:rsidR="00EE0134" w:rsidRPr="00EE0134" w:rsidRDefault="00EE0134" w:rsidP="00EE0134">
      <w:r w:rsidRPr="00EE0134">
        <w:t>Based on the comparative evaluation, an optimal financing structure is proposed as follows:</w:t>
      </w:r>
    </w:p>
    <w:p w14:paraId="3EAA666F" w14:textId="77777777" w:rsidR="00EE0134" w:rsidRPr="00EE0134" w:rsidRDefault="00EE0134" w:rsidP="00EE0134">
      <w:r w:rsidRPr="00EE0134">
        <w:t>• 60% Debt Financing</w:t>
      </w:r>
      <w:r w:rsidRPr="00EE0134">
        <w:br/>
        <w:t>• 25% Equity Financing</w:t>
      </w:r>
      <w:r w:rsidRPr="00EE0134">
        <w:br/>
        <w:t>• 15% Green Finance</w:t>
      </w:r>
    </w:p>
    <w:p w14:paraId="2A287A81" w14:textId="77777777" w:rsidR="00EE0134" w:rsidRPr="00EE0134" w:rsidRDefault="00EE0134" w:rsidP="00EE0134">
      <w:r w:rsidRPr="00EE0134">
        <w:t>This blended financing approach aims to balance cost efficiency, risk exposure, and strategic flexibility. The high proportion of debt reduces the overall cost of capital, thereby enhancing project profitability. However, the inclusion of equity financing provides a critical buffer against early-stage financial risk by reducing fixed repayment pressure and improving liquidity.</w:t>
      </w:r>
    </w:p>
    <w:p w14:paraId="6DF079F5" w14:textId="77777777" w:rsidR="00EE0134" w:rsidRPr="00EE0134" w:rsidRDefault="00EE0134" w:rsidP="00EE0134">
      <w:r w:rsidRPr="00EE0134">
        <w:t>The integration of green finance further strengthens the structure by aligning the project with sustainability objectives and potentially improving access to favourable funding conditions. At the same time, it diversifies funding sources and distributes risk across multiple stakeholders.</w:t>
      </w:r>
    </w:p>
    <w:p w14:paraId="3D8396B4" w14:textId="77777777" w:rsidR="00EE0134" w:rsidRPr="00EE0134" w:rsidRDefault="00EE0134" w:rsidP="00EE0134">
      <w:r w:rsidRPr="00EE0134">
        <w:t>From a financial management perspective, this combination represents a balanced and resilient financing strategy. However, its effectiveness is contingent upon stable cash flows and disciplined financial control. Excessive reliance on debt may still expose the project to financial stress under adverse conditions, highlighting the importance of ongoing risk monitoring and adaptive financial management.</w:t>
      </w:r>
    </w:p>
    <w:p w14:paraId="7C39440A" w14:textId="77777777" w:rsidR="00EE0134" w:rsidRPr="00EE0134" w:rsidRDefault="00EE0134" w:rsidP="00EE0134">
      <w:r w:rsidRPr="00EE0134">
        <w:t>Overall, the proposed financing mix is considered strategically appropriate, as it aligns financial efficiency with risk mitigation and long-term project sustainability.</w:t>
      </w:r>
    </w:p>
    <w:p w14:paraId="3BD5A0B1" w14:textId="77777777" w:rsidR="00EE0134" w:rsidRPr="00437FBC" w:rsidRDefault="00EE0134" w:rsidP="00437FBC"/>
    <w:p w14:paraId="7982DC76" w14:textId="77777777" w:rsidR="00EE0134" w:rsidRDefault="00EE0134" w:rsidP="00EE0134">
      <w:pPr>
        <w:pStyle w:val="NormalWeb"/>
        <w:keepNext/>
        <w:spacing w:line="360" w:lineRule="auto"/>
        <w:jc w:val="center"/>
      </w:pPr>
      <w:r>
        <w:rPr>
          <w:noProof/>
        </w:rPr>
        <w:drawing>
          <wp:inline distT="0" distB="0" distL="0" distR="0" wp14:anchorId="2C509ED1" wp14:editId="2BE98CD2">
            <wp:extent cx="4572000" cy="2743200"/>
            <wp:effectExtent l="0" t="0" r="0" b="0"/>
            <wp:docPr id="3"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7E7FE178" w14:textId="77777777" w:rsidR="00EE0134" w:rsidRDefault="00EE0134" w:rsidP="00EE0134">
      <w:pPr>
        <w:pStyle w:val="Caption"/>
        <w:spacing w:line="360" w:lineRule="auto"/>
        <w:jc w:val="center"/>
      </w:pPr>
      <w:bookmarkStart w:id="7" w:name="_Toc225177769"/>
      <w:r>
        <w:t xml:space="preserve">Figure </w:t>
      </w:r>
      <w:r>
        <w:fldChar w:fldCharType="begin"/>
      </w:r>
      <w:r>
        <w:instrText xml:space="preserve"> SEQ Figure \* ARABIC </w:instrText>
      </w:r>
      <w:r>
        <w:fldChar w:fldCharType="separate"/>
      </w:r>
      <w:r>
        <w:rPr>
          <w:noProof/>
        </w:rPr>
        <w:t>4</w:t>
      </w:r>
      <w:r>
        <w:rPr>
          <w:noProof/>
        </w:rPr>
        <w:fldChar w:fldCharType="end"/>
      </w:r>
      <w:r>
        <w:t xml:space="preserve">: </w:t>
      </w:r>
      <w:r w:rsidRPr="005D04F1">
        <w:t>Financing Mix Pie Chart</w:t>
      </w:r>
      <w:r>
        <w:t>; (Source: Author)</w:t>
      </w:r>
      <w:bookmarkEnd w:id="7"/>
    </w:p>
    <w:p w14:paraId="60B16565" w14:textId="77777777" w:rsidR="00EE0134" w:rsidRDefault="00EE0134"/>
    <w:p w14:paraId="3F5D94F3" w14:textId="77777777" w:rsidR="00E722EE" w:rsidRPr="003617AB" w:rsidRDefault="00E722EE" w:rsidP="00E722EE">
      <w:pPr>
        <w:pStyle w:val="Heading1"/>
        <w:spacing w:line="360" w:lineRule="auto"/>
        <w:rPr>
          <w:rFonts w:ascii="Times New Roman" w:hAnsi="Times New Roman" w:cs="Times New Roman"/>
          <w:color w:val="auto"/>
          <w:sz w:val="28"/>
          <w:szCs w:val="28"/>
          <w:u w:val="single"/>
          <w:lang w:val="en-IN"/>
        </w:rPr>
      </w:pPr>
      <w:bookmarkStart w:id="8" w:name="_Toc225194577"/>
      <w:r w:rsidRPr="003617AB">
        <w:rPr>
          <w:rFonts w:ascii="Times New Roman" w:hAnsi="Times New Roman" w:cs="Times New Roman"/>
          <w:color w:val="auto"/>
          <w:sz w:val="28"/>
          <w:szCs w:val="28"/>
          <w:u w:val="single"/>
        </w:rPr>
        <w:lastRenderedPageBreak/>
        <w:t>4. Section B: Capital Investment Appraisal</w:t>
      </w:r>
      <w:bookmarkEnd w:id="8"/>
      <w:r w:rsidRPr="003617AB">
        <w:rPr>
          <w:rFonts w:ascii="Times New Roman" w:hAnsi="Times New Roman" w:cs="Times New Roman"/>
          <w:color w:val="auto"/>
          <w:sz w:val="28"/>
          <w:szCs w:val="28"/>
          <w:u w:val="single"/>
        </w:rPr>
        <w:t xml:space="preserve"> </w:t>
      </w:r>
    </w:p>
    <w:p w14:paraId="0428136F" w14:textId="77777777" w:rsidR="00E722EE" w:rsidRPr="003617AB" w:rsidRDefault="00E722EE" w:rsidP="00E722EE">
      <w:pPr>
        <w:pStyle w:val="Heading2"/>
        <w:spacing w:line="360" w:lineRule="auto"/>
        <w:rPr>
          <w:rFonts w:ascii="Times New Roman" w:hAnsi="Times New Roman" w:cs="Times New Roman"/>
          <w:color w:val="auto"/>
          <w:sz w:val="28"/>
          <w:szCs w:val="28"/>
          <w:u w:val="single"/>
        </w:rPr>
      </w:pPr>
      <w:bookmarkStart w:id="9" w:name="_Toc225194578"/>
      <w:r w:rsidRPr="003617AB">
        <w:rPr>
          <w:rFonts w:ascii="Times New Roman" w:hAnsi="Times New Roman" w:cs="Times New Roman"/>
          <w:color w:val="auto"/>
          <w:sz w:val="28"/>
          <w:szCs w:val="28"/>
          <w:u w:val="single"/>
        </w:rPr>
        <w:t>B1. Assumptions</w:t>
      </w:r>
      <w:bookmarkEnd w:id="9"/>
    </w:p>
    <w:p w14:paraId="7825EF1D" w14:textId="77777777" w:rsidR="00EE0134" w:rsidRPr="00EE0134" w:rsidRDefault="00EE0134" w:rsidP="00EE0134">
      <w:r w:rsidRPr="00EE0134">
        <w:t>The financial evaluation of the £50 million renewable energy project is based on a set of key assumptions relating to capital budgeting and financial forecasting. These include a project lifespan of 15 years, annual cash inflows of £6.5 million, a discount rate (WACC) of 9%, and an inflation rate of 2.5%.</w:t>
      </w:r>
    </w:p>
    <w:p w14:paraId="625315B5" w14:textId="77777777" w:rsidR="00EE0134" w:rsidRPr="00EE0134" w:rsidRDefault="00EE0134" w:rsidP="00EE0134">
      <w:r w:rsidRPr="00EE0134">
        <w:t>While these assumptions provide a structured basis for analysis, their realism requires critical consideration. The assumption of stable annual cash flows, supported by long-term power purchase agreements, may reduce demand uncertainty; however, it does not fully eliminate exposure to market volatility, regulatory changes, or operational risks.</w:t>
      </w:r>
    </w:p>
    <w:p w14:paraId="2874A96E" w14:textId="77777777" w:rsidR="00EE0134" w:rsidRPr="00EE0134" w:rsidRDefault="00EE0134" w:rsidP="00EE0134">
      <w:r w:rsidRPr="00EE0134">
        <w:t>Furthermore, the chosen discount rate of 9% may underestimate the project’s true risk profile, particularly given its capital-intensive nature and long-term exposure to uncertain market conditions.</w:t>
      </w:r>
    </w:p>
    <w:p w14:paraId="1E94B149" w14:textId="77777777" w:rsidR="00EE0134" w:rsidRDefault="00EE0134" w:rsidP="00EE0134">
      <w:r w:rsidRPr="00EE0134">
        <w:t>Consequently, while these assumptions enable financial modelling, they may present an optimistic view of project performance, highlighting the importance of sensitivity analysis in assessing financial robustness.</w:t>
      </w:r>
    </w:p>
    <w:p w14:paraId="41D9DFA5" w14:textId="77777777" w:rsidR="00EE0134" w:rsidRPr="00EE0134" w:rsidRDefault="00EE0134" w:rsidP="00EE0134"/>
    <w:tbl>
      <w:tblPr>
        <w:tblStyle w:val="TableGrid"/>
        <w:tblW w:w="5000" w:type="pct"/>
        <w:tblLook w:val="04A0" w:firstRow="1" w:lastRow="0" w:firstColumn="1" w:lastColumn="0" w:noHBand="0" w:noVBand="1"/>
      </w:tblPr>
      <w:tblGrid>
        <w:gridCol w:w="5814"/>
        <w:gridCol w:w="3202"/>
      </w:tblGrid>
      <w:tr w:rsidR="00EE0134" w14:paraId="06015156" w14:textId="77777777" w:rsidTr="006B3D70">
        <w:tc>
          <w:tcPr>
            <w:tcW w:w="3224" w:type="pct"/>
            <w:hideMark/>
          </w:tcPr>
          <w:p w14:paraId="0A0A14DD" w14:textId="77777777" w:rsidR="00EE0134" w:rsidRDefault="00EE0134" w:rsidP="006B3D70">
            <w:pPr>
              <w:spacing w:line="360" w:lineRule="auto"/>
              <w:rPr>
                <w:b/>
                <w:bCs/>
              </w:rPr>
            </w:pPr>
            <w:r>
              <w:rPr>
                <w:b/>
                <w:bCs/>
              </w:rPr>
              <w:t>Variable</w:t>
            </w:r>
          </w:p>
        </w:tc>
        <w:tc>
          <w:tcPr>
            <w:tcW w:w="1776" w:type="pct"/>
            <w:hideMark/>
          </w:tcPr>
          <w:p w14:paraId="3FCF1264" w14:textId="77777777" w:rsidR="00EE0134" w:rsidRDefault="00EE0134" w:rsidP="006B3D70">
            <w:pPr>
              <w:spacing w:line="360" w:lineRule="auto"/>
              <w:rPr>
                <w:b/>
                <w:bCs/>
              </w:rPr>
            </w:pPr>
            <w:r>
              <w:rPr>
                <w:b/>
                <w:bCs/>
              </w:rPr>
              <w:t>Value</w:t>
            </w:r>
          </w:p>
        </w:tc>
      </w:tr>
      <w:tr w:rsidR="00EE0134" w14:paraId="41C0AC5E" w14:textId="77777777" w:rsidTr="006B3D70">
        <w:tc>
          <w:tcPr>
            <w:tcW w:w="3224" w:type="pct"/>
            <w:hideMark/>
          </w:tcPr>
          <w:p w14:paraId="7B99FCE5" w14:textId="77777777" w:rsidR="00EE0134" w:rsidRDefault="00EE0134" w:rsidP="006B3D70">
            <w:pPr>
              <w:spacing w:line="360" w:lineRule="auto"/>
            </w:pPr>
            <w:r>
              <w:t>Project Cost</w:t>
            </w:r>
          </w:p>
        </w:tc>
        <w:tc>
          <w:tcPr>
            <w:tcW w:w="1776" w:type="pct"/>
            <w:hideMark/>
          </w:tcPr>
          <w:p w14:paraId="5D87E748" w14:textId="77777777" w:rsidR="00EE0134" w:rsidRDefault="00EE0134" w:rsidP="006B3D70">
            <w:pPr>
              <w:spacing w:line="360" w:lineRule="auto"/>
            </w:pPr>
            <w:r>
              <w:t>£50 million</w:t>
            </w:r>
          </w:p>
        </w:tc>
      </w:tr>
      <w:tr w:rsidR="00EE0134" w14:paraId="6BAF0E10" w14:textId="77777777" w:rsidTr="006B3D70">
        <w:tc>
          <w:tcPr>
            <w:tcW w:w="3224" w:type="pct"/>
            <w:hideMark/>
          </w:tcPr>
          <w:p w14:paraId="17A16B9E" w14:textId="77777777" w:rsidR="00EE0134" w:rsidRDefault="00EE0134" w:rsidP="006B3D70">
            <w:pPr>
              <w:spacing w:line="360" w:lineRule="auto"/>
            </w:pPr>
            <w:r>
              <w:t>Project Life</w:t>
            </w:r>
          </w:p>
        </w:tc>
        <w:tc>
          <w:tcPr>
            <w:tcW w:w="1776" w:type="pct"/>
            <w:hideMark/>
          </w:tcPr>
          <w:p w14:paraId="26AA3B3B" w14:textId="77777777" w:rsidR="00EE0134" w:rsidRDefault="00EE0134" w:rsidP="006B3D70">
            <w:pPr>
              <w:spacing w:line="360" w:lineRule="auto"/>
            </w:pPr>
            <w:r>
              <w:t>15 years</w:t>
            </w:r>
          </w:p>
        </w:tc>
      </w:tr>
      <w:tr w:rsidR="00EE0134" w14:paraId="02144B92" w14:textId="77777777" w:rsidTr="006B3D70">
        <w:tc>
          <w:tcPr>
            <w:tcW w:w="3224" w:type="pct"/>
            <w:hideMark/>
          </w:tcPr>
          <w:p w14:paraId="35BB6E87" w14:textId="77777777" w:rsidR="00EE0134" w:rsidRDefault="00EE0134" w:rsidP="006B3D70">
            <w:pPr>
              <w:spacing w:line="360" w:lineRule="auto"/>
            </w:pPr>
            <w:r>
              <w:t>Discount Rate (WACC)</w:t>
            </w:r>
          </w:p>
        </w:tc>
        <w:tc>
          <w:tcPr>
            <w:tcW w:w="1776" w:type="pct"/>
            <w:hideMark/>
          </w:tcPr>
          <w:p w14:paraId="728C0E7A" w14:textId="77777777" w:rsidR="00EE0134" w:rsidRDefault="00EE0134" w:rsidP="006B3D70">
            <w:pPr>
              <w:spacing w:line="360" w:lineRule="auto"/>
            </w:pPr>
            <w:r>
              <w:t>9%</w:t>
            </w:r>
          </w:p>
        </w:tc>
      </w:tr>
      <w:tr w:rsidR="00EE0134" w14:paraId="14FF6BB4" w14:textId="77777777" w:rsidTr="006B3D70">
        <w:tc>
          <w:tcPr>
            <w:tcW w:w="3224" w:type="pct"/>
            <w:hideMark/>
          </w:tcPr>
          <w:p w14:paraId="5FA3CD38" w14:textId="77777777" w:rsidR="00EE0134" w:rsidRDefault="00EE0134" w:rsidP="006B3D70">
            <w:pPr>
              <w:spacing w:line="360" w:lineRule="auto"/>
            </w:pPr>
            <w:r>
              <w:t>Annual Cash Flow</w:t>
            </w:r>
          </w:p>
        </w:tc>
        <w:tc>
          <w:tcPr>
            <w:tcW w:w="1776" w:type="pct"/>
            <w:hideMark/>
          </w:tcPr>
          <w:p w14:paraId="2A04CB7E" w14:textId="77777777" w:rsidR="00EE0134" w:rsidRDefault="00EE0134" w:rsidP="006B3D70">
            <w:pPr>
              <w:spacing w:line="360" w:lineRule="auto"/>
            </w:pPr>
            <w:r>
              <w:t>£6.5 million</w:t>
            </w:r>
          </w:p>
        </w:tc>
      </w:tr>
      <w:tr w:rsidR="00EE0134" w14:paraId="3209F051" w14:textId="77777777" w:rsidTr="006B3D70">
        <w:tc>
          <w:tcPr>
            <w:tcW w:w="3224" w:type="pct"/>
            <w:hideMark/>
          </w:tcPr>
          <w:p w14:paraId="25D3A472" w14:textId="77777777" w:rsidR="00EE0134" w:rsidRDefault="00EE0134" w:rsidP="006B3D70">
            <w:pPr>
              <w:spacing w:line="360" w:lineRule="auto"/>
            </w:pPr>
            <w:r>
              <w:t>Inflation</w:t>
            </w:r>
          </w:p>
        </w:tc>
        <w:tc>
          <w:tcPr>
            <w:tcW w:w="1776" w:type="pct"/>
            <w:hideMark/>
          </w:tcPr>
          <w:p w14:paraId="43586AE7" w14:textId="77777777" w:rsidR="00EE0134" w:rsidRDefault="00EE0134" w:rsidP="006B3D70">
            <w:pPr>
              <w:spacing w:line="360" w:lineRule="auto"/>
            </w:pPr>
            <w:r>
              <w:t>2.5%</w:t>
            </w:r>
          </w:p>
        </w:tc>
      </w:tr>
      <w:tr w:rsidR="00EE0134" w14:paraId="6ED532D7" w14:textId="77777777" w:rsidTr="006B3D70">
        <w:tc>
          <w:tcPr>
            <w:tcW w:w="3224" w:type="pct"/>
            <w:hideMark/>
          </w:tcPr>
          <w:p w14:paraId="42552972" w14:textId="77777777" w:rsidR="00EE0134" w:rsidRDefault="00EE0134" w:rsidP="006B3D70">
            <w:pPr>
              <w:spacing w:line="360" w:lineRule="auto"/>
            </w:pPr>
            <w:r>
              <w:t>Tax Rate</w:t>
            </w:r>
          </w:p>
        </w:tc>
        <w:tc>
          <w:tcPr>
            <w:tcW w:w="1776" w:type="pct"/>
            <w:hideMark/>
          </w:tcPr>
          <w:p w14:paraId="5823C1F8" w14:textId="77777777" w:rsidR="00EE0134" w:rsidRDefault="00EE0134" w:rsidP="006B3D70">
            <w:pPr>
              <w:spacing w:line="360" w:lineRule="auto"/>
            </w:pPr>
            <w:r>
              <w:t>25%</w:t>
            </w:r>
          </w:p>
        </w:tc>
      </w:tr>
    </w:tbl>
    <w:p w14:paraId="0A107B45" w14:textId="77777777" w:rsidR="003617AB" w:rsidRDefault="003617AB" w:rsidP="00EE0134">
      <w:pPr>
        <w:rPr>
          <w:rFonts w:ascii="Times New Roman" w:hAnsi="Times New Roman" w:cs="Times New Roman"/>
          <w:b/>
          <w:bCs/>
          <w:sz w:val="28"/>
          <w:szCs w:val="28"/>
          <w:u w:val="single"/>
        </w:rPr>
      </w:pPr>
    </w:p>
    <w:p w14:paraId="70CC6287" w14:textId="77777777" w:rsidR="00E722EE" w:rsidRPr="00E722EE" w:rsidRDefault="00E722EE" w:rsidP="00E722EE"/>
    <w:p w14:paraId="36E6A235" w14:textId="77777777" w:rsidR="003617AB" w:rsidRDefault="003617AB" w:rsidP="00E722EE">
      <w:pPr>
        <w:pStyle w:val="Heading2"/>
        <w:spacing w:line="360" w:lineRule="auto"/>
        <w:rPr>
          <w:rFonts w:ascii="Times New Roman" w:hAnsi="Times New Roman" w:cs="Times New Roman"/>
          <w:color w:val="auto"/>
          <w:sz w:val="28"/>
          <w:szCs w:val="28"/>
          <w:u w:val="single"/>
        </w:rPr>
      </w:pPr>
    </w:p>
    <w:p w14:paraId="47E7EA73" w14:textId="77777777" w:rsidR="003617AB" w:rsidRDefault="003617AB" w:rsidP="00E722EE">
      <w:pPr>
        <w:pStyle w:val="Heading2"/>
        <w:spacing w:line="360" w:lineRule="auto"/>
        <w:rPr>
          <w:rFonts w:ascii="Times New Roman" w:hAnsi="Times New Roman" w:cs="Times New Roman"/>
          <w:color w:val="auto"/>
          <w:sz w:val="28"/>
          <w:szCs w:val="28"/>
          <w:u w:val="single"/>
        </w:rPr>
      </w:pPr>
    </w:p>
    <w:p w14:paraId="2E8D3FA2" w14:textId="77777777" w:rsidR="003617AB" w:rsidRDefault="003617AB" w:rsidP="00E722EE">
      <w:pPr>
        <w:pStyle w:val="Heading2"/>
        <w:spacing w:line="360" w:lineRule="auto"/>
        <w:rPr>
          <w:rFonts w:ascii="Times New Roman" w:hAnsi="Times New Roman" w:cs="Times New Roman"/>
          <w:color w:val="auto"/>
          <w:sz w:val="28"/>
          <w:szCs w:val="28"/>
          <w:u w:val="single"/>
        </w:rPr>
      </w:pPr>
    </w:p>
    <w:p w14:paraId="4D8BA8F7" w14:textId="77777777" w:rsidR="003617AB" w:rsidRDefault="003617AB" w:rsidP="00E722EE">
      <w:pPr>
        <w:pStyle w:val="Heading2"/>
        <w:spacing w:line="360" w:lineRule="auto"/>
        <w:rPr>
          <w:rFonts w:ascii="Times New Roman" w:hAnsi="Times New Roman" w:cs="Times New Roman"/>
          <w:color w:val="auto"/>
          <w:sz w:val="28"/>
          <w:szCs w:val="28"/>
          <w:u w:val="single"/>
        </w:rPr>
      </w:pPr>
    </w:p>
    <w:p w14:paraId="3C157D2C" w14:textId="77777777" w:rsidR="003617AB" w:rsidRDefault="003617AB" w:rsidP="00E722EE">
      <w:pPr>
        <w:pStyle w:val="Heading2"/>
        <w:spacing w:line="360" w:lineRule="auto"/>
        <w:rPr>
          <w:rFonts w:ascii="Times New Roman" w:hAnsi="Times New Roman" w:cs="Times New Roman"/>
          <w:color w:val="auto"/>
          <w:sz w:val="28"/>
          <w:szCs w:val="28"/>
          <w:u w:val="single"/>
        </w:rPr>
      </w:pPr>
    </w:p>
    <w:p w14:paraId="5CCB94D6" w14:textId="77777777" w:rsidR="003617AB" w:rsidRDefault="003617AB"/>
    <w:p w14:paraId="2F9474F5" w14:textId="77777777" w:rsidR="003617AB" w:rsidRPr="0031743F" w:rsidRDefault="003617AB" w:rsidP="003617AB">
      <w:pPr>
        <w:pStyle w:val="Heading2"/>
        <w:spacing w:line="360" w:lineRule="auto"/>
        <w:rPr>
          <w:rFonts w:ascii="Times New Roman" w:hAnsi="Times New Roman" w:cs="Times New Roman"/>
          <w:color w:val="auto"/>
          <w:sz w:val="28"/>
          <w:szCs w:val="28"/>
          <w:u w:val="single"/>
        </w:rPr>
      </w:pPr>
      <w:bookmarkStart w:id="10" w:name="_Toc225194579"/>
      <w:r w:rsidRPr="0031743F">
        <w:rPr>
          <w:rFonts w:ascii="Times New Roman" w:hAnsi="Times New Roman" w:cs="Times New Roman"/>
          <w:color w:val="auto"/>
          <w:sz w:val="28"/>
          <w:szCs w:val="28"/>
          <w:u w:val="single"/>
        </w:rPr>
        <w:lastRenderedPageBreak/>
        <w:t>B2. Financial Calculations</w:t>
      </w:r>
      <w:bookmarkEnd w:id="10"/>
    </w:p>
    <w:p w14:paraId="1EEAC501" w14:textId="77777777" w:rsidR="003617AB" w:rsidRDefault="003617AB" w:rsidP="00E722EE">
      <w:pPr>
        <w:rPr>
          <w:b/>
          <w:bCs/>
        </w:rPr>
      </w:pPr>
    </w:p>
    <w:p w14:paraId="6CE26C15" w14:textId="45671704" w:rsidR="00E722EE" w:rsidRPr="00E722EE" w:rsidRDefault="00E722EE" w:rsidP="00E722EE">
      <w:pPr>
        <w:rPr>
          <w:b/>
          <w:bCs/>
        </w:rPr>
      </w:pPr>
      <w:r w:rsidRPr="00E722EE">
        <w:rPr>
          <w:b/>
          <w:bCs/>
        </w:rPr>
        <w:t>Net Present Value (NPV)</w:t>
      </w:r>
    </w:p>
    <w:p w14:paraId="45594549" w14:textId="77777777" w:rsidR="00E722EE" w:rsidRPr="00E722EE" w:rsidRDefault="00E722EE" w:rsidP="00E722EE">
      <w:r w:rsidRPr="00E722EE">
        <w:t>NPV evaluates the difference between the present value of inflows and the initial investment (Wang, 2021).</w:t>
      </w:r>
    </w:p>
    <w:p w14:paraId="3E7160B1" w14:textId="4791483C" w:rsidR="00E722EE" w:rsidRDefault="00E722EE" w:rsidP="00E722EE">
      <w:pPr>
        <w:pStyle w:val="NormalWeb"/>
        <w:spacing w:line="360" w:lineRule="auto"/>
        <w:jc w:val="both"/>
      </w:pPr>
      <w:r>
        <w:rPr>
          <w:rStyle w:val="Strong"/>
          <w:rFonts w:eastAsiaTheme="majorEastAsia"/>
        </w:rPr>
        <w:t>NPV Calculation Table (Simplified):</w:t>
      </w:r>
    </w:p>
    <w:tbl>
      <w:tblPr>
        <w:tblW w:w="5000" w:type="pct"/>
        <w:tblLook w:val="04A0" w:firstRow="1" w:lastRow="0" w:firstColumn="1" w:lastColumn="0" w:noHBand="0" w:noVBand="1"/>
      </w:tblPr>
      <w:tblGrid>
        <w:gridCol w:w="1758"/>
        <w:gridCol w:w="2509"/>
        <w:gridCol w:w="3273"/>
        <w:gridCol w:w="1466"/>
      </w:tblGrid>
      <w:tr w:rsidR="00E722EE" w:rsidRPr="007E3F0F" w14:paraId="2B7057A8" w14:textId="77777777" w:rsidTr="006B3D70">
        <w:trPr>
          <w:trHeight w:val="300"/>
        </w:trPr>
        <w:tc>
          <w:tcPr>
            <w:tcW w:w="5000" w:type="pct"/>
            <w:gridSpan w:val="4"/>
            <w:tcBorders>
              <w:top w:val="single" w:sz="8" w:space="0" w:color="auto"/>
              <w:left w:val="single" w:sz="8" w:space="0" w:color="auto"/>
              <w:bottom w:val="single" w:sz="8" w:space="0" w:color="auto"/>
              <w:right w:val="single" w:sz="8" w:space="0" w:color="000000"/>
            </w:tcBorders>
            <w:noWrap/>
            <w:vAlign w:val="bottom"/>
            <w:hideMark/>
          </w:tcPr>
          <w:p w14:paraId="1E973F9E" w14:textId="77777777" w:rsidR="00E722EE" w:rsidRPr="007E3F0F" w:rsidRDefault="00E722EE" w:rsidP="006B3D70">
            <w:pPr>
              <w:spacing w:after="0" w:line="360" w:lineRule="auto"/>
              <w:jc w:val="center"/>
              <w:rPr>
                <w:rFonts w:eastAsia="Times New Roman" w:cs="Times New Roman"/>
                <w:b/>
                <w:bCs/>
                <w:color w:val="000000"/>
                <w:szCs w:val="24"/>
                <w:lang w:val="en-IN" w:eastAsia="en-IN"/>
              </w:rPr>
            </w:pPr>
            <w:r w:rsidRPr="007E3F0F">
              <w:rPr>
                <w:rFonts w:eastAsia="Times New Roman" w:cs="Times New Roman"/>
                <w:b/>
                <w:bCs/>
                <w:color w:val="000000"/>
                <w:szCs w:val="24"/>
                <w:lang w:val="en-IN" w:eastAsia="en-IN"/>
              </w:rPr>
              <w:t>Net Present Value</w:t>
            </w:r>
          </w:p>
        </w:tc>
      </w:tr>
      <w:tr w:rsidR="00E722EE" w:rsidRPr="007E3F0F" w14:paraId="31D84AAE" w14:textId="77777777" w:rsidTr="006B3D70">
        <w:trPr>
          <w:trHeight w:val="300"/>
        </w:trPr>
        <w:tc>
          <w:tcPr>
            <w:tcW w:w="976" w:type="pct"/>
            <w:tcBorders>
              <w:top w:val="nil"/>
              <w:left w:val="single" w:sz="8" w:space="0" w:color="auto"/>
              <w:bottom w:val="single" w:sz="8" w:space="0" w:color="auto"/>
              <w:right w:val="nil"/>
            </w:tcBorders>
            <w:vAlign w:val="center"/>
            <w:hideMark/>
          </w:tcPr>
          <w:p w14:paraId="0FDF97E8" w14:textId="77777777" w:rsidR="00E722EE" w:rsidRPr="007E3F0F" w:rsidRDefault="00E722EE" w:rsidP="006B3D70">
            <w:pPr>
              <w:spacing w:after="0" w:line="360" w:lineRule="auto"/>
              <w:jc w:val="center"/>
              <w:rPr>
                <w:rFonts w:eastAsia="Times New Roman" w:cs="Times New Roman"/>
                <w:b/>
                <w:bCs/>
                <w:color w:val="000000"/>
                <w:szCs w:val="24"/>
                <w:lang w:val="en-IN" w:eastAsia="en-IN"/>
              </w:rPr>
            </w:pPr>
            <w:r w:rsidRPr="007E3F0F">
              <w:rPr>
                <w:rFonts w:eastAsia="Times New Roman" w:cs="Times New Roman"/>
                <w:b/>
                <w:bCs/>
                <w:color w:val="000000"/>
                <w:szCs w:val="24"/>
                <w:lang w:val="en-IN" w:eastAsia="en-IN"/>
              </w:rPr>
              <w:t>Year</w:t>
            </w:r>
          </w:p>
        </w:tc>
        <w:tc>
          <w:tcPr>
            <w:tcW w:w="1393" w:type="pct"/>
            <w:tcBorders>
              <w:top w:val="nil"/>
              <w:left w:val="single" w:sz="8" w:space="0" w:color="auto"/>
              <w:bottom w:val="single" w:sz="8" w:space="0" w:color="auto"/>
              <w:right w:val="single" w:sz="8" w:space="0" w:color="auto"/>
            </w:tcBorders>
            <w:vAlign w:val="center"/>
            <w:hideMark/>
          </w:tcPr>
          <w:p w14:paraId="0FD36AE3" w14:textId="77777777" w:rsidR="00E722EE" w:rsidRPr="007E3F0F" w:rsidRDefault="00E722EE" w:rsidP="006B3D70">
            <w:pPr>
              <w:spacing w:after="0" w:line="360" w:lineRule="auto"/>
              <w:jc w:val="center"/>
              <w:rPr>
                <w:rFonts w:eastAsia="Times New Roman" w:cs="Times New Roman"/>
                <w:b/>
                <w:bCs/>
                <w:color w:val="000000"/>
                <w:szCs w:val="24"/>
                <w:lang w:val="en-IN" w:eastAsia="en-IN"/>
              </w:rPr>
            </w:pPr>
            <w:r w:rsidRPr="007E3F0F">
              <w:rPr>
                <w:rFonts w:eastAsia="Times New Roman" w:cs="Times New Roman"/>
                <w:b/>
                <w:bCs/>
                <w:color w:val="000000"/>
                <w:szCs w:val="24"/>
                <w:lang w:val="en-IN" w:eastAsia="en-IN"/>
              </w:rPr>
              <w:t>Cash Flow (£m)</w:t>
            </w:r>
          </w:p>
        </w:tc>
        <w:tc>
          <w:tcPr>
            <w:tcW w:w="1817" w:type="pct"/>
            <w:tcBorders>
              <w:top w:val="nil"/>
              <w:left w:val="nil"/>
              <w:bottom w:val="single" w:sz="8" w:space="0" w:color="auto"/>
              <w:right w:val="nil"/>
            </w:tcBorders>
            <w:vAlign w:val="center"/>
            <w:hideMark/>
          </w:tcPr>
          <w:p w14:paraId="3CB84482" w14:textId="77777777" w:rsidR="00E722EE" w:rsidRPr="007E3F0F" w:rsidRDefault="00E722EE" w:rsidP="006B3D70">
            <w:pPr>
              <w:spacing w:after="0" w:line="360" w:lineRule="auto"/>
              <w:jc w:val="center"/>
              <w:rPr>
                <w:rFonts w:eastAsia="Times New Roman" w:cs="Times New Roman"/>
                <w:b/>
                <w:bCs/>
                <w:color w:val="000000"/>
                <w:szCs w:val="24"/>
                <w:lang w:val="en-IN" w:eastAsia="en-IN"/>
              </w:rPr>
            </w:pPr>
            <w:r w:rsidRPr="007E3F0F">
              <w:rPr>
                <w:rFonts w:eastAsia="Times New Roman" w:cs="Times New Roman"/>
                <w:b/>
                <w:bCs/>
                <w:color w:val="000000"/>
                <w:szCs w:val="24"/>
                <w:lang w:val="en-IN" w:eastAsia="en-IN"/>
              </w:rPr>
              <w:t>Discount Factor (9%)</w:t>
            </w:r>
          </w:p>
        </w:tc>
        <w:tc>
          <w:tcPr>
            <w:tcW w:w="813" w:type="pct"/>
            <w:tcBorders>
              <w:top w:val="nil"/>
              <w:left w:val="single" w:sz="8" w:space="0" w:color="auto"/>
              <w:bottom w:val="single" w:sz="8" w:space="0" w:color="auto"/>
              <w:right w:val="single" w:sz="8" w:space="0" w:color="auto"/>
            </w:tcBorders>
            <w:vAlign w:val="center"/>
            <w:hideMark/>
          </w:tcPr>
          <w:p w14:paraId="0428F1FE" w14:textId="77777777" w:rsidR="00E722EE" w:rsidRPr="007E3F0F" w:rsidRDefault="00E722EE" w:rsidP="006B3D70">
            <w:pPr>
              <w:spacing w:after="0" w:line="360" w:lineRule="auto"/>
              <w:jc w:val="center"/>
              <w:rPr>
                <w:rFonts w:eastAsia="Times New Roman" w:cs="Times New Roman"/>
                <w:b/>
                <w:bCs/>
                <w:color w:val="000000"/>
                <w:szCs w:val="24"/>
                <w:lang w:val="en-IN" w:eastAsia="en-IN"/>
              </w:rPr>
            </w:pPr>
            <w:r w:rsidRPr="007E3F0F">
              <w:rPr>
                <w:rFonts w:eastAsia="Times New Roman" w:cs="Times New Roman"/>
                <w:b/>
                <w:bCs/>
                <w:color w:val="000000"/>
                <w:szCs w:val="24"/>
                <w:lang w:val="en-IN" w:eastAsia="en-IN"/>
              </w:rPr>
              <w:t>PV (£m)</w:t>
            </w:r>
          </w:p>
        </w:tc>
      </w:tr>
      <w:tr w:rsidR="00E722EE" w:rsidRPr="007E3F0F" w14:paraId="18108B56" w14:textId="77777777" w:rsidTr="006B3D70">
        <w:trPr>
          <w:trHeight w:val="288"/>
        </w:trPr>
        <w:tc>
          <w:tcPr>
            <w:tcW w:w="976" w:type="pct"/>
            <w:tcBorders>
              <w:top w:val="nil"/>
              <w:left w:val="single" w:sz="8" w:space="0" w:color="auto"/>
              <w:bottom w:val="single" w:sz="4" w:space="0" w:color="auto"/>
              <w:right w:val="nil"/>
            </w:tcBorders>
            <w:vAlign w:val="center"/>
            <w:hideMark/>
          </w:tcPr>
          <w:p w14:paraId="51B5D1E5" w14:textId="77777777" w:rsidR="00E722EE" w:rsidRPr="007E3F0F" w:rsidRDefault="00E722EE" w:rsidP="006B3D70">
            <w:pPr>
              <w:spacing w:after="0" w:line="360" w:lineRule="auto"/>
              <w:jc w:val="right"/>
              <w:rPr>
                <w:rFonts w:eastAsia="Times New Roman" w:cs="Times New Roman"/>
                <w:color w:val="000000"/>
                <w:szCs w:val="24"/>
                <w:lang w:val="en-IN" w:eastAsia="en-IN"/>
              </w:rPr>
            </w:pPr>
            <w:r w:rsidRPr="007E3F0F">
              <w:rPr>
                <w:rFonts w:eastAsia="Times New Roman" w:cs="Times New Roman"/>
                <w:color w:val="000000"/>
                <w:szCs w:val="24"/>
                <w:lang w:val="en-IN" w:eastAsia="en-IN"/>
              </w:rPr>
              <w:t>0</w:t>
            </w:r>
          </w:p>
        </w:tc>
        <w:tc>
          <w:tcPr>
            <w:tcW w:w="1393" w:type="pct"/>
            <w:tcBorders>
              <w:top w:val="nil"/>
              <w:left w:val="single" w:sz="8" w:space="0" w:color="auto"/>
              <w:bottom w:val="single" w:sz="4" w:space="0" w:color="auto"/>
              <w:right w:val="single" w:sz="8" w:space="0" w:color="auto"/>
            </w:tcBorders>
            <w:vAlign w:val="center"/>
            <w:hideMark/>
          </w:tcPr>
          <w:p w14:paraId="4742327B" w14:textId="77777777" w:rsidR="00E722EE" w:rsidRPr="007E3F0F" w:rsidRDefault="00E722EE" w:rsidP="006B3D70">
            <w:pPr>
              <w:spacing w:after="0" w:line="360" w:lineRule="auto"/>
              <w:jc w:val="right"/>
              <w:rPr>
                <w:rFonts w:eastAsia="Times New Roman" w:cs="Times New Roman"/>
                <w:color w:val="000000"/>
                <w:szCs w:val="24"/>
                <w:lang w:val="en-IN" w:eastAsia="en-IN"/>
              </w:rPr>
            </w:pPr>
            <w:r w:rsidRPr="007E3F0F">
              <w:rPr>
                <w:rFonts w:eastAsia="Times New Roman" w:cs="Times New Roman"/>
                <w:color w:val="000000"/>
                <w:szCs w:val="24"/>
                <w:lang w:val="en-IN" w:eastAsia="en-IN"/>
              </w:rPr>
              <w:t>-50</w:t>
            </w:r>
          </w:p>
        </w:tc>
        <w:tc>
          <w:tcPr>
            <w:tcW w:w="1817" w:type="pct"/>
            <w:tcBorders>
              <w:top w:val="nil"/>
              <w:left w:val="nil"/>
              <w:bottom w:val="single" w:sz="4" w:space="0" w:color="auto"/>
              <w:right w:val="nil"/>
            </w:tcBorders>
            <w:vAlign w:val="center"/>
            <w:hideMark/>
          </w:tcPr>
          <w:p w14:paraId="51976EED" w14:textId="77777777" w:rsidR="00E722EE" w:rsidRPr="007E3F0F" w:rsidRDefault="00E722EE" w:rsidP="006B3D70">
            <w:pPr>
              <w:spacing w:after="0" w:line="360" w:lineRule="auto"/>
              <w:jc w:val="right"/>
              <w:rPr>
                <w:rFonts w:eastAsia="Times New Roman" w:cs="Times New Roman"/>
                <w:color w:val="000000"/>
                <w:szCs w:val="24"/>
                <w:lang w:val="en-IN" w:eastAsia="en-IN"/>
              </w:rPr>
            </w:pPr>
            <w:r w:rsidRPr="007E3F0F">
              <w:rPr>
                <w:rFonts w:eastAsia="Times New Roman" w:cs="Times New Roman"/>
                <w:color w:val="000000"/>
                <w:szCs w:val="24"/>
                <w:lang w:val="en-IN" w:eastAsia="en-IN"/>
              </w:rPr>
              <w:t>1</w:t>
            </w:r>
          </w:p>
        </w:tc>
        <w:tc>
          <w:tcPr>
            <w:tcW w:w="813" w:type="pct"/>
            <w:tcBorders>
              <w:top w:val="nil"/>
              <w:left w:val="single" w:sz="8" w:space="0" w:color="auto"/>
              <w:bottom w:val="single" w:sz="4" w:space="0" w:color="auto"/>
              <w:right w:val="single" w:sz="8" w:space="0" w:color="auto"/>
            </w:tcBorders>
            <w:vAlign w:val="center"/>
            <w:hideMark/>
          </w:tcPr>
          <w:p w14:paraId="3987568F" w14:textId="77777777" w:rsidR="00E722EE" w:rsidRPr="007E3F0F" w:rsidRDefault="00E722EE" w:rsidP="006B3D70">
            <w:pPr>
              <w:spacing w:after="0" w:line="360" w:lineRule="auto"/>
              <w:jc w:val="right"/>
              <w:rPr>
                <w:rFonts w:eastAsia="Times New Roman" w:cs="Times New Roman"/>
                <w:color w:val="000000"/>
                <w:szCs w:val="24"/>
                <w:lang w:val="en-IN" w:eastAsia="en-IN"/>
              </w:rPr>
            </w:pPr>
            <w:r w:rsidRPr="007E3F0F">
              <w:rPr>
                <w:rFonts w:eastAsia="Times New Roman" w:cs="Times New Roman"/>
                <w:color w:val="000000"/>
                <w:szCs w:val="24"/>
                <w:lang w:val="en-IN" w:eastAsia="en-IN"/>
              </w:rPr>
              <w:t>-50</w:t>
            </w:r>
          </w:p>
        </w:tc>
      </w:tr>
      <w:tr w:rsidR="00E722EE" w:rsidRPr="007E3F0F" w14:paraId="6DC38016" w14:textId="77777777" w:rsidTr="006B3D70">
        <w:trPr>
          <w:trHeight w:val="288"/>
        </w:trPr>
        <w:tc>
          <w:tcPr>
            <w:tcW w:w="976" w:type="pct"/>
            <w:tcBorders>
              <w:top w:val="nil"/>
              <w:left w:val="single" w:sz="8" w:space="0" w:color="auto"/>
              <w:bottom w:val="single" w:sz="4" w:space="0" w:color="auto"/>
              <w:right w:val="nil"/>
            </w:tcBorders>
            <w:vAlign w:val="center"/>
            <w:hideMark/>
          </w:tcPr>
          <w:p w14:paraId="4DBE1E7C" w14:textId="77777777" w:rsidR="00E722EE" w:rsidRPr="007E3F0F" w:rsidRDefault="00E722EE" w:rsidP="006B3D70">
            <w:pPr>
              <w:spacing w:after="0" w:line="360" w:lineRule="auto"/>
              <w:jc w:val="right"/>
              <w:rPr>
                <w:rFonts w:eastAsia="Times New Roman" w:cs="Times New Roman"/>
                <w:color w:val="000000"/>
                <w:szCs w:val="24"/>
                <w:lang w:val="en-IN" w:eastAsia="en-IN"/>
              </w:rPr>
            </w:pPr>
            <w:r w:rsidRPr="007E3F0F">
              <w:rPr>
                <w:rFonts w:eastAsia="Times New Roman" w:cs="Times New Roman"/>
                <w:color w:val="000000"/>
                <w:szCs w:val="24"/>
                <w:lang w:val="en-IN" w:eastAsia="en-IN"/>
              </w:rPr>
              <w:t>1</w:t>
            </w:r>
          </w:p>
        </w:tc>
        <w:tc>
          <w:tcPr>
            <w:tcW w:w="1393" w:type="pct"/>
            <w:tcBorders>
              <w:top w:val="nil"/>
              <w:left w:val="single" w:sz="8" w:space="0" w:color="auto"/>
              <w:bottom w:val="single" w:sz="4" w:space="0" w:color="auto"/>
              <w:right w:val="single" w:sz="8" w:space="0" w:color="auto"/>
            </w:tcBorders>
            <w:vAlign w:val="center"/>
            <w:hideMark/>
          </w:tcPr>
          <w:p w14:paraId="11A45663" w14:textId="77777777" w:rsidR="00E722EE" w:rsidRPr="007E3F0F" w:rsidRDefault="00E722EE" w:rsidP="006B3D70">
            <w:pPr>
              <w:spacing w:after="0" w:line="360" w:lineRule="auto"/>
              <w:jc w:val="right"/>
              <w:rPr>
                <w:rFonts w:eastAsia="Times New Roman" w:cs="Times New Roman"/>
                <w:color w:val="000000"/>
                <w:szCs w:val="24"/>
                <w:lang w:val="en-IN" w:eastAsia="en-IN"/>
              </w:rPr>
            </w:pPr>
            <w:r w:rsidRPr="007E3F0F">
              <w:rPr>
                <w:rFonts w:eastAsia="Times New Roman" w:cs="Times New Roman"/>
                <w:color w:val="000000"/>
                <w:szCs w:val="24"/>
                <w:lang w:val="en-IN" w:eastAsia="en-IN"/>
              </w:rPr>
              <w:t>6.5</w:t>
            </w:r>
          </w:p>
        </w:tc>
        <w:tc>
          <w:tcPr>
            <w:tcW w:w="1817" w:type="pct"/>
            <w:tcBorders>
              <w:top w:val="nil"/>
              <w:left w:val="nil"/>
              <w:bottom w:val="single" w:sz="4" w:space="0" w:color="auto"/>
              <w:right w:val="nil"/>
            </w:tcBorders>
            <w:vAlign w:val="center"/>
            <w:hideMark/>
          </w:tcPr>
          <w:p w14:paraId="6892D78C" w14:textId="77777777" w:rsidR="00E722EE" w:rsidRPr="007E3F0F" w:rsidRDefault="00E722EE" w:rsidP="006B3D70">
            <w:pPr>
              <w:spacing w:after="0" w:line="360" w:lineRule="auto"/>
              <w:jc w:val="right"/>
              <w:rPr>
                <w:rFonts w:eastAsia="Times New Roman" w:cs="Times New Roman"/>
                <w:color w:val="000000"/>
                <w:szCs w:val="24"/>
                <w:lang w:val="en-IN" w:eastAsia="en-IN"/>
              </w:rPr>
            </w:pPr>
            <w:r w:rsidRPr="007E3F0F">
              <w:rPr>
                <w:rFonts w:eastAsia="Times New Roman" w:cs="Times New Roman"/>
                <w:color w:val="000000"/>
                <w:szCs w:val="24"/>
                <w:lang w:val="en-IN" w:eastAsia="en-IN"/>
              </w:rPr>
              <w:t>0.9174</w:t>
            </w:r>
          </w:p>
        </w:tc>
        <w:tc>
          <w:tcPr>
            <w:tcW w:w="813" w:type="pct"/>
            <w:tcBorders>
              <w:top w:val="nil"/>
              <w:left w:val="single" w:sz="8" w:space="0" w:color="auto"/>
              <w:bottom w:val="single" w:sz="4" w:space="0" w:color="auto"/>
              <w:right w:val="single" w:sz="8" w:space="0" w:color="auto"/>
            </w:tcBorders>
            <w:vAlign w:val="center"/>
            <w:hideMark/>
          </w:tcPr>
          <w:p w14:paraId="64640FEA" w14:textId="77777777" w:rsidR="00E722EE" w:rsidRPr="007E3F0F" w:rsidRDefault="00E722EE" w:rsidP="006B3D70">
            <w:pPr>
              <w:spacing w:after="0" w:line="360" w:lineRule="auto"/>
              <w:jc w:val="right"/>
              <w:rPr>
                <w:rFonts w:eastAsia="Times New Roman" w:cs="Times New Roman"/>
                <w:color w:val="000000"/>
                <w:szCs w:val="24"/>
                <w:lang w:val="en-IN" w:eastAsia="en-IN"/>
              </w:rPr>
            </w:pPr>
            <w:r w:rsidRPr="007E3F0F">
              <w:rPr>
                <w:rFonts w:eastAsia="Times New Roman" w:cs="Times New Roman"/>
                <w:color w:val="000000"/>
                <w:szCs w:val="24"/>
                <w:lang w:val="en-IN" w:eastAsia="en-IN"/>
              </w:rPr>
              <w:t>5.9633</w:t>
            </w:r>
          </w:p>
        </w:tc>
      </w:tr>
      <w:tr w:rsidR="00E722EE" w:rsidRPr="007E3F0F" w14:paraId="1A881BD0" w14:textId="77777777" w:rsidTr="006B3D70">
        <w:trPr>
          <w:trHeight w:val="288"/>
        </w:trPr>
        <w:tc>
          <w:tcPr>
            <w:tcW w:w="976" w:type="pct"/>
            <w:tcBorders>
              <w:top w:val="nil"/>
              <w:left w:val="single" w:sz="8" w:space="0" w:color="auto"/>
              <w:bottom w:val="single" w:sz="4" w:space="0" w:color="auto"/>
              <w:right w:val="nil"/>
            </w:tcBorders>
            <w:vAlign w:val="center"/>
            <w:hideMark/>
          </w:tcPr>
          <w:p w14:paraId="0015C468" w14:textId="77777777" w:rsidR="00E722EE" w:rsidRPr="007E3F0F" w:rsidRDefault="00E722EE" w:rsidP="006B3D70">
            <w:pPr>
              <w:spacing w:after="0" w:line="360" w:lineRule="auto"/>
              <w:jc w:val="right"/>
              <w:rPr>
                <w:rFonts w:eastAsia="Times New Roman" w:cs="Times New Roman"/>
                <w:color w:val="000000"/>
                <w:szCs w:val="24"/>
                <w:lang w:val="en-IN" w:eastAsia="en-IN"/>
              </w:rPr>
            </w:pPr>
            <w:r w:rsidRPr="007E3F0F">
              <w:rPr>
                <w:rFonts w:eastAsia="Times New Roman" w:cs="Times New Roman"/>
                <w:color w:val="000000"/>
                <w:szCs w:val="24"/>
                <w:lang w:val="en-IN" w:eastAsia="en-IN"/>
              </w:rPr>
              <w:t>2</w:t>
            </w:r>
          </w:p>
        </w:tc>
        <w:tc>
          <w:tcPr>
            <w:tcW w:w="1393" w:type="pct"/>
            <w:tcBorders>
              <w:top w:val="nil"/>
              <w:left w:val="single" w:sz="8" w:space="0" w:color="auto"/>
              <w:bottom w:val="single" w:sz="4" w:space="0" w:color="auto"/>
              <w:right w:val="single" w:sz="8" w:space="0" w:color="auto"/>
            </w:tcBorders>
            <w:vAlign w:val="center"/>
            <w:hideMark/>
          </w:tcPr>
          <w:p w14:paraId="5E1C795C" w14:textId="77777777" w:rsidR="00E722EE" w:rsidRPr="007E3F0F" w:rsidRDefault="00E722EE" w:rsidP="006B3D70">
            <w:pPr>
              <w:spacing w:after="0" w:line="360" w:lineRule="auto"/>
              <w:jc w:val="right"/>
              <w:rPr>
                <w:rFonts w:eastAsia="Times New Roman" w:cs="Times New Roman"/>
                <w:color w:val="000000"/>
                <w:szCs w:val="24"/>
                <w:lang w:val="en-IN" w:eastAsia="en-IN"/>
              </w:rPr>
            </w:pPr>
            <w:r w:rsidRPr="007E3F0F">
              <w:rPr>
                <w:rFonts w:eastAsia="Times New Roman" w:cs="Times New Roman"/>
                <w:color w:val="000000"/>
                <w:szCs w:val="24"/>
                <w:lang w:val="en-IN" w:eastAsia="en-IN"/>
              </w:rPr>
              <w:t>6.5</w:t>
            </w:r>
          </w:p>
        </w:tc>
        <w:tc>
          <w:tcPr>
            <w:tcW w:w="1817" w:type="pct"/>
            <w:tcBorders>
              <w:top w:val="nil"/>
              <w:left w:val="nil"/>
              <w:bottom w:val="single" w:sz="4" w:space="0" w:color="auto"/>
              <w:right w:val="nil"/>
            </w:tcBorders>
            <w:vAlign w:val="center"/>
            <w:hideMark/>
          </w:tcPr>
          <w:p w14:paraId="0568A561" w14:textId="77777777" w:rsidR="00E722EE" w:rsidRPr="007E3F0F" w:rsidRDefault="00E722EE" w:rsidP="006B3D70">
            <w:pPr>
              <w:spacing w:after="0" w:line="360" w:lineRule="auto"/>
              <w:jc w:val="right"/>
              <w:rPr>
                <w:rFonts w:eastAsia="Times New Roman" w:cs="Times New Roman"/>
                <w:color w:val="000000"/>
                <w:szCs w:val="24"/>
                <w:lang w:val="en-IN" w:eastAsia="en-IN"/>
              </w:rPr>
            </w:pPr>
            <w:r w:rsidRPr="007E3F0F">
              <w:rPr>
                <w:rFonts w:eastAsia="Times New Roman" w:cs="Times New Roman"/>
                <w:color w:val="000000"/>
                <w:szCs w:val="24"/>
                <w:lang w:val="en-IN" w:eastAsia="en-IN"/>
              </w:rPr>
              <w:t>0.8417</w:t>
            </w:r>
          </w:p>
        </w:tc>
        <w:tc>
          <w:tcPr>
            <w:tcW w:w="813" w:type="pct"/>
            <w:tcBorders>
              <w:top w:val="nil"/>
              <w:left w:val="single" w:sz="8" w:space="0" w:color="auto"/>
              <w:bottom w:val="single" w:sz="4" w:space="0" w:color="auto"/>
              <w:right w:val="single" w:sz="8" w:space="0" w:color="auto"/>
            </w:tcBorders>
            <w:vAlign w:val="center"/>
            <w:hideMark/>
          </w:tcPr>
          <w:p w14:paraId="1A9D2B05" w14:textId="77777777" w:rsidR="00E722EE" w:rsidRPr="007E3F0F" w:rsidRDefault="00E722EE" w:rsidP="006B3D70">
            <w:pPr>
              <w:spacing w:after="0" w:line="360" w:lineRule="auto"/>
              <w:jc w:val="right"/>
              <w:rPr>
                <w:rFonts w:eastAsia="Times New Roman" w:cs="Times New Roman"/>
                <w:color w:val="000000"/>
                <w:szCs w:val="24"/>
                <w:lang w:val="en-IN" w:eastAsia="en-IN"/>
              </w:rPr>
            </w:pPr>
            <w:r w:rsidRPr="007E3F0F">
              <w:rPr>
                <w:rFonts w:eastAsia="Times New Roman" w:cs="Times New Roman"/>
                <w:color w:val="000000"/>
                <w:szCs w:val="24"/>
                <w:lang w:val="en-IN" w:eastAsia="en-IN"/>
              </w:rPr>
              <w:t>5.4709</w:t>
            </w:r>
          </w:p>
        </w:tc>
      </w:tr>
      <w:tr w:rsidR="00E722EE" w:rsidRPr="007E3F0F" w14:paraId="3F7C096D" w14:textId="77777777" w:rsidTr="006B3D70">
        <w:trPr>
          <w:trHeight w:val="288"/>
        </w:trPr>
        <w:tc>
          <w:tcPr>
            <w:tcW w:w="976" w:type="pct"/>
            <w:tcBorders>
              <w:top w:val="nil"/>
              <w:left w:val="single" w:sz="8" w:space="0" w:color="auto"/>
              <w:bottom w:val="single" w:sz="4" w:space="0" w:color="auto"/>
              <w:right w:val="nil"/>
            </w:tcBorders>
            <w:vAlign w:val="center"/>
            <w:hideMark/>
          </w:tcPr>
          <w:p w14:paraId="729FA87E" w14:textId="77777777" w:rsidR="00E722EE" w:rsidRPr="007E3F0F" w:rsidRDefault="00E722EE" w:rsidP="006B3D70">
            <w:pPr>
              <w:spacing w:after="0" w:line="360" w:lineRule="auto"/>
              <w:jc w:val="right"/>
              <w:rPr>
                <w:rFonts w:eastAsia="Times New Roman" w:cs="Times New Roman"/>
                <w:color w:val="000000"/>
                <w:szCs w:val="24"/>
                <w:lang w:val="en-IN" w:eastAsia="en-IN"/>
              </w:rPr>
            </w:pPr>
            <w:r w:rsidRPr="007E3F0F">
              <w:rPr>
                <w:rFonts w:eastAsia="Times New Roman" w:cs="Times New Roman"/>
                <w:color w:val="000000"/>
                <w:szCs w:val="24"/>
                <w:lang w:val="en-IN" w:eastAsia="en-IN"/>
              </w:rPr>
              <w:t>3</w:t>
            </w:r>
          </w:p>
        </w:tc>
        <w:tc>
          <w:tcPr>
            <w:tcW w:w="1393" w:type="pct"/>
            <w:tcBorders>
              <w:top w:val="nil"/>
              <w:left w:val="single" w:sz="8" w:space="0" w:color="auto"/>
              <w:bottom w:val="single" w:sz="4" w:space="0" w:color="auto"/>
              <w:right w:val="single" w:sz="8" w:space="0" w:color="auto"/>
            </w:tcBorders>
            <w:vAlign w:val="center"/>
            <w:hideMark/>
          </w:tcPr>
          <w:p w14:paraId="720FD0DF" w14:textId="77777777" w:rsidR="00E722EE" w:rsidRPr="007E3F0F" w:rsidRDefault="00E722EE" w:rsidP="006B3D70">
            <w:pPr>
              <w:spacing w:after="0" w:line="360" w:lineRule="auto"/>
              <w:jc w:val="right"/>
              <w:rPr>
                <w:rFonts w:eastAsia="Times New Roman" w:cs="Times New Roman"/>
                <w:color w:val="000000"/>
                <w:szCs w:val="24"/>
                <w:lang w:val="en-IN" w:eastAsia="en-IN"/>
              </w:rPr>
            </w:pPr>
            <w:r w:rsidRPr="007E3F0F">
              <w:rPr>
                <w:rFonts w:eastAsia="Times New Roman" w:cs="Times New Roman"/>
                <w:color w:val="000000"/>
                <w:szCs w:val="24"/>
                <w:lang w:val="en-IN" w:eastAsia="en-IN"/>
              </w:rPr>
              <w:t>6.5</w:t>
            </w:r>
          </w:p>
        </w:tc>
        <w:tc>
          <w:tcPr>
            <w:tcW w:w="1817" w:type="pct"/>
            <w:tcBorders>
              <w:top w:val="nil"/>
              <w:left w:val="nil"/>
              <w:bottom w:val="single" w:sz="4" w:space="0" w:color="auto"/>
              <w:right w:val="nil"/>
            </w:tcBorders>
            <w:vAlign w:val="center"/>
            <w:hideMark/>
          </w:tcPr>
          <w:p w14:paraId="63CCF8D1" w14:textId="77777777" w:rsidR="00E722EE" w:rsidRPr="007E3F0F" w:rsidRDefault="00E722EE" w:rsidP="006B3D70">
            <w:pPr>
              <w:spacing w:after="0" w:line="360" w:lineRule="auto"/>
              <w:jc w:val="right"/>
              <w:rPr>
                <w:rFonts w:eastAsia="Times New Roman" w:cs="Times New Roman"/>
                <w:color w:val="000000"/>
                <w:szCs w:val="24"/>
                <w:lang w:val="en-IN" w:eastAsia="en-IN"/>
              </w:rPr>
            </w:pPr>
            <w:r w:rsidRPr="007E3F0F">
              <w:rPr>
                <w:rFonts w:eastAsia="Times New Roman" w:cs="Times New Roman"/>
                <w:color w:val="000000"/>
                <w:szCs w:val="24"/>
                <w:lang w:val="en-IN" w:eastAsia="en-IN"/>
              </w:rPr>
              <w:t>0.7722</w:t>
            </w:r>
          </w:p>
        </w:tc>
        <w:tc>
          <w:tcPr>
            <w:tcW w:w="813" w:type="pct"/>
            <w:tcBorders>
              <w:top w:val="nil"/>
              <w:left w:val="single" w:sz="8" w:space="0" w:color="auto"/>
              <w:bottom w:val="single" w:sz="4" w:space="0" w:color="auto"/>
              <w:right w:val="single" w:sz="8" w:space="0" w:color="auto"/>
            </w:tcBorders>
            <w:vAlign w:val="center"/>
            <w:hideMark/>
          </w:tcPr>
          <w:p w14:paraId="497242DE" w14:textId="77777777" w:rsidR="00E722EE" w:rsidRPr="007E3F0F" w:rsidRDefault="00E722EE" w:rsidP="006B3D70">
            <w:pPr>
              <w:spacing w:after="0" w:line="360" w:lineRule="auto"/>
              <w:jc w:val="right"/>
              <w:rPr>
                <w:rFonts w:eastAsia="Times New Roman" w:cs="Times New Roman"/>
                <w:color w:val="000000"/>
                <w:szCs w:val="24"/>
                <w:lang w:val="en-IN" w:eastAsia="en-IN"/>
              </w:rPr>
            </w:pPr>
            <w:r w:rsidRPr="007E3F0F">
              <w:rPr>
                <w:rFonts w:eastAsia="Times New Roman" w:cs="Times New Roman"/>
                <w:color w:val="000000"/>
                <w:szCs w:val="24"/>
                <w:lang w:val="en-IN" w:eastAsia="en-IN"/>
              </w:rPr>
              <w:t>5.0192</w:t>
            </w:r>
          </w:p>
        </w:tc>
      </w:tr>
      <w:tr w:rsidR="00E722EE" w:rsidRPr="007E3F0F" w14:paraId="4EE8C47A" w14:textId="77777777" w:rsidTr="006B3D70">
        <w:trPr>
          <w:trHeight w:val="288"/>
        </w:trPr>
        <w:tc>
          <w:tcPr>
            <w:tcW w:w="976" w:type="pct"/>
            <w:tcBorders>
              <w:top w:val="nil"/>
              <w:left w:val="single" w:sz="8" w:space="0" w:color="auto"/>
              <w:bottom w:val="single" w:sz="4" w:space="0" w:color="auto"/>
              <w:right w:val="nil"/>
            </w:tcBorders>
            <w:vAlign w:val="center"/>
            <w:hideMark/>
          </w:tcPr>
          <w:p w14:paraId="14827F14" w14:textId="77777777" w:rsidR="00E722EE" w:rsidRPr="007E3F0F" w:rsidRDefault="00E722EE" w:rsidP="006B3D70">
            <w:pPr>
              <w:spacing w:after="0" w:line="360" w:lineRule="auto"/>
              <w:jc w:val="right"/>
              <w:rPr>
                <w:rFonts w:eastAsia="Times New Roman" w:cs="Times New Roman"/>
                <w:color w:val="000000"/>
                <w:szCs w:val="24"/>
                <w:lang w:val="en-IN" w:eastAsia="en-IN"/>
              </w:rPr>
            </w:pPr>
            <w:r w:rsidRPr="007E3F0F">
              <w:rPr>
                <w:rFonts w:eastAsia="Times New Roman" w:cs="Times New Roman"/>
                <w:color w:val="000000"/>
                <w:szCs w:val="24"/>
                <w:lang w:val="en-IN" w:eastAsia="en-IN"/>
              </w:rPr>
              <w:t>4</w:t>
            </w:r>
          </w:p>
        </w:tc>
        <w:tc>
          <w:tcPr>
            <w:tcW w:w="1393" w:type="pct"/>
            <w:tcBorders>
              <w:top w:val="nil"/>
              <w:left w:val="single" w:sz="8" w:space="0" w:color="auto"/>
              <w:bottom w:val="single" w:sz="4" w:space="0" w:color="auto"/>
              <w:right w:val="single" w:sz="8" w:space="0" w:color="auto"/>
            </w:tcBorders>
            <w:vAlign w:val="center"/>
            <w:hideMark/>
          </w:tcPr>
          <w:p w14:paraId="6D51EBFE" w14:textId="77777777" w:rsidR="00E722EE" w:rsidRPr="007E3F0F" w:rsidRDefault="00E722EE" w:rsidP="006B3D70">
            <w:pPr>
              <w:spacing w:after="0" w:line="360" w:lineRule="auto"/>
              <w:jc w:val="right"/>
              <w:rPr>
                <w:rFonts w:eastAsia="Times New Roman" w:cs="Times New Roman"/>
                <w:color w:val="000000"/>
                <w:szCs w:val="24"/>
                <w:lang w:val="en-IN" w:eastAsia="en-IN"/>
              </w:rPr>
            </w:pPr>
            <w:r w:rsidRPr="007E3F0F">
              <w:rPr>
                <w:rFonts w:eastAsia="Times New Roman" w:cs="Times New Roman"/>
                <w:color w:val="000000"/>
                <w:szCs w:val="24"/>
                <w:lang w:val="en-IN" w:eastAsia="en-IN"/>
              </w:rPr>
              <w:t>6.5</w:t>
            </w:r>
          </w:p>
        </w:tc>
        <w:tc>
          <w:tcPr>
            <w:tcW w:w="1817" w:type="pct"/>
            <w:tcBorders>
              <w:top w:val="nil"/>
              <w:left w:val="nil"/>
              <w:bottom w:val="single" w:sz="4" w:space="0" w:color="auto"/>
              <w:right w:val="nil"/>
            </w:tcBorders>
            <w:vAlign w:val="center"/>
            <w:hideMark/>
          </w:tcPr>
          <w:p w14:paraId="7AD76548" w14:textId="77777777" w:rsidR="00E722EE" w:rsidRPr="007E3F0F" w:rsidRDefault="00E722EE" w:rsidP="006B3D70">
            <w:pPr>
              <w:spacing w:after="0" w:line="360" w:lineRule="auto"/>
              <w:jc w:val="right"/>
              <w:rPr>
                <w:rFonts w:eastAsia="Times New Roman" w:cs="Times New Roman"/>
                <w:color w:val="000000"/>
                <w:szCs w:val="24"/>
                <w:lang w:val="en-IN" w:eastAsia="en-IN"/>
              </w:rPr>
            </w:pPr>
            <w:r w:rsidRPr="007E3F0F">
              <w:rPr>
                <w:rFonts w:eastAsia="Times New Roman" w:cs="Times New Roman"/>
                <w:color w:val="000000"/>
                <w:szCs w:val="24"/>
                <w:lang w:val="en-IN" w:eastAsia="en-IN"/>
              </w:rPr>
              <w:t>0.7084</w:t>
            </w:r>
          </w:p>
        </w:tc>
        <w:tc>
          <w:tcPr>
            <w:tcW w:w="813" w:type="pct"/>
            <w:tcBorders>
              <w:top w:val="nil"/>
              <w:left w:val="single" w:sz="8" w:space="0" w:color="auto"/>
              <w:bottom w:val="single" w:sz="4" w:space="0" w:color="auto"/>
              <w:right w:val="single" w:sz="8" w:space="0" w:color="auto"/>
            </w:tcBorders>
            <w:vAlign w:val="center"/>
            <w:hideMark/>
          </w:tcPr>
          <w:p w14:paraId="34557EA8" w14:textId="77777777" w:rsidR="00E722EE" w:rsidRPr="007E3F0F" w:rsidRDefault="00E722EE" w:rsidP="006B3D70">
            <w:pPr>
              <w:spacing w:after="0" w:line="360" w:lineRule="auto"/>
              <w:jc w:val="right"/>
              <w:rPr>
                <w:rFonts w:eastAsia="Times New Roman" w:cs="Times New Roman"/>
                <w:color w:val="000000"/>
                <w:szCs w:val="24"/>
                <w:lang w:val="en-IN" w:eastAsia="en-IN"/>
              </w:rPr>
            </w:pPr>
            <w:r w:rsidRPr="007E3F0F">
              <w:rPr>
                <w:rFonts w:eastAsia="Times New Roman" w:cs="Times New Roman"/>
                <w:color w:val="000000"/>
                <w:szCs w:val="24"/>
                <w:lang w:val="en-IN" w:eastAsia="en-IN"/>
              </w:rPr>
              <w:t>4.6048</w:t>
            </w:r>
          </w:p>
        </w:tc>
      </w:tr>
      <w:tr w:rsidR="00E722EE" w:rsidRPr="007E3F0F" w14:paraId="132A1DF0" w14:textId="77777777" w:rsidTr="006B3D70">
        <w:trPr>
          <w:trHeight w:val="288"/>
        </w:trPr>
        <w:tc>
          <w:tcPr>
            <w:tcW w:w="976" w:type="pct"/>
            <w:tcBorders>
              <w:top w:val="nil"/>
              <w:left w:val="single" w:sz="8" w:space="0" w:color="auto"/>
              <w:bottom w:val="single" w:sz="4" w:space="0" w:color="auto"/>
              <w:right w:val="nil"/>
            </w:tcBorders>
            <w:vAlign w:val="center"/>
            <w:hideMark/>
          </w:tcPr>
          <w:p w14:paraId="52C6672B" w14:textId="77777777" w:rsidR="00E722EE" w:rsidRPr="007E3F0F" w:rsidRDefault="00E722EE" w:rsidP="006B3D70">
            <w:pPr>
              <w:spacing w:after="0" w:line="360" w:lineRule="auto"/>
              <w:jc w:val="right"/>
              <w:rPr>
                <w:rFonts w:eastAsia="Times New Roman" w:cs="Times New Roman"/>
                <w:color w:val="000000"/>
                <w:szCs w:val="24"/>
                <w:lang w:val="en-IN" w:eastAsia="en-IN"/>
              </w:rPr>
            </w:pPr>
            <w:r w:rsidRPr="007E3F0F">
              <w:rPr>
                <w:rFonts w:eastAsia="Times New Roman" w:cs="Times New Roman"/>
                <w:color w:val="000000"/>
                <w:szCs w:val="24"/>
                <w:lang w:val="en-IN" w:eastAsia="en-IN"/>
              </w:rPr>
              <w:t>5</w:t>
            </w:r>
          </w:p>
        </w:tc>
        <w:tc>
          <w:tcPr>
            <w:tcW w:w="1393" w:type="pct"/>
            <w:tcBorders>
              <w:top w:val="nil"/>
              <w:left w:val="single" w:sz="8" w:space="0" w:color="auto"/>
              <w:bottom w:val="single" w:sz="4" w:space="0" w:color="auto"/>
              <w:right w:val="single" w:sz="8" w:space="0" w:color="auto"/>
            </w:tcBorders>
            <w:vAlign w:val="center"/>
            <w:hideMark/>
          </w:tcPr>
          <w:p w14:paraId="2070B736" w14:textId="77777777" w:rsidR="00E722EE" w:rsidRPr="007E3F0F" w:rsidRDefault="00E722EE" w:rsidP="006B3D70">
            <w:pPr>
              <w:spacing w:after="0" w:line="360" w:lineRule="auto"/>
              <w:jc w:val="right"/>
              <w:rPr>
                <w:rFonts w:eastAsia="Times New Roman" w:cs="Times New Roman"/>
                <w:color w:val="000000"/>
                <w:szCs w:val="24"/>
                <w:lang w:val="en-IN" w:eastAsia="en-IN"/>
              </w:rPr>
            </w:pPr>
            <w:r w:rsidRPr="007E3F0F">
              <w:rPr>
                <w:rFonts w:eastAsia="Times New Roman" w:cs="Times New Roman"/>
                <w:color w:val="000000"/>
                <w:szCs w:val="24"/>
                <w:lang w:val="en-IN" w:eastAsia="en-IN"/>
              </w:rPr>
              <w:t>6.5</w:t>
            </w:r>
          </w:p>
        </w:tc>
        <w:tc>
          <w:tcPr>
            <w:tcW w:w="1817" w:type="pct"/>
            <w:tcBorders>
              <w:top w:val="nil"/>
              <w:left w:val="nil"/>
              <w:bottom w:val="single" w:sz="4" w:space="0" w:color="auto"/>
              <w:right w:val="nil"/>
            </w:tcBorders>
            <w:vAlign w:val="center"/>
            <w:hideMark/>
          </w:tcPr>
          <w:p w14:paraId="1F315D40" w14:textId="77777777" w:rsidR="00E722EE" w:rsidRPr="007E3F0F" w:rsidRDefault="00E722EE" w:rsidP="006B3D70">
            <w:pPr>
              <w:spacing w:after="0" w:line="360" w:lineRule="auto"/>
              <w:jc w:val="right"/>
              <w:rPr>
                <w:rFonts w:eastAsia="Times New Roman" w:cs="Times New Roman"/>
                <w:color w:val="000000"/>
                <w:szCs w:val="24"/>
                <w:lang w:val="en-IN" w:eastAsia="en-IN"/>
              </w:rPr>
            </w:pPr>
            <w:r w:rsidRPr="007E3F0F">
              <w:rPr>
                <w:rFonts w:eastAsia="Times New Roman" w:cs="Times New Roman"/>
                <w:color w:val="000000"/>
                <w:szCs w:val="24"/>
                <w:lang w:val="en-IN" w:eastAsia="en-IN"/>
              </w:rPr>
              <w:t>0.6499</w:t>
            </w:r>
          </w:p>
        </w:tc>
        <w:tc>
          <w:tcPr>
            <w:tcW w:w="813" w:type="pct"/>
            <w:tcBorders>
              <w:top w:val="nil"/>
              <w:left w:val="single" w:sz="8" w:space="0" w:color="auto"/>
              <w:bottom w:val="single" w:sz="4" w:space="0" w:color="auto"/>
              <w:right w:val="single" w:sz="8" w:space="0" w:color="auto"/>
            </w:tcBorders>
            <w:vAlign w:val="center"/>
            <w:hideMark/>
          </w:tcPr>
          <w:p w14:paraId="43D3106E" w14:textId="77777777" w:rsidR="00E722EE" w:rsidRPr="007E3F0F" w:rsidRDefault="00E722EE" w:rsidP="006B3D70">
            <w:pPr>
              <w:spacing w:after="0" w:line="360" w:lineRule="auto"/>
              <w:jc w:val="right"/>
              <w:rPr>
                <w:rFonts w:eastAsia="Times New Roman" w:cs="Times New Roman"/>
                <w:color w:val="000000"/>
                <w:szCs w:val="24"/>
                <w:lang w:val="en-IN" w:eastAsia="en-IN"/>
              </w:rPr>
            </w:pPr>
            <w:r w:rsidRPr="007E3F0F">
              <w:rPr>
                <w:rFonts w:eastAsia="Times New Roman" w:cs="Times New Roman"/>
                <w:color w:val="000000"/>
                <w:szCs w:val="24"/>
                <w:lang w:val="en-IN" w:eastAsia="en-IN"/>
              </w:rPr>
              <w:t>4.2246</w:t>
            </w:r>
          </w:p>
        </w:tc>
      </w:tr>
      <w:tr w:rsidR="00E722EE" w:rsidRPr="007E3F0F" w14:paraId="1B8AEE7D" w14:textId="77777777" w:rsidTr="006B3D70">
        <w:trPr>
          <w:trHeight w:val="288"/>
        </w:trPr>
        <w:tc>
          <w:tcPr>
            <w:tcW w:w="976" w:type="pct"/>
            <w:tcBorders>
              <w:top w:val="nil"/>
              <w:left w:val="single" w:sz="8" w:space="0" w:color="auto"/>
              <w:bottom w:val="single" w:sz="4" w:space="0" w:color="auto"/>
              <w:right w:val="nil"/>
            </w:tcBorders>
            <w:vAlign w:val="center"/>
            <w:hideMark/>
          </w:tcPr>
          <w:p w14:paraId="51CB28B9" w14:textId="77777777" w:rsidR="00E722EE" w:rsidRPr="007E3F0F" w:rsidRDefault="00E722EE" w:rsidP="006B3D70">
            <w:pPr>
              <w:spacing w:after="0" w:line="360" w:lineRule="auto"/>
              <w:jc w:val="right"/>
              <w:rPr>
                <w:rFonts w:eastAsia="Times New Roman" w:cs="Times New Roman"/>
                <w:color w:val="000000"/>
                <w:szCs w:val="24"/>
                <w:lang w:val="en-IN" w:eastAsia="en-IN"/>
              </w:rPr>
            </w:pPr>
            <w:r w:rsidRPr="007E3F0F">
              <w:rPr>
                <w:rFonts w:eastAsia="Times New Roman" w:cs="Times New Roman"/>
                <w:color w:val="000000"/>
                <w:szCs w:val="24"/>
                <w:lang w:val="en-IN" w:eastAsia="en-IN"/>
              </w:rPr>
              <w:t>6</w:t>
            </w:r>
          </w:p>
        </w:tc>
        <w:tc>
          <w:tcPr>
            <w:tcW w:w="1393" w:type="pct"/>
            <w:tcBorders>
              <w:top w:val="nil"/>
              <w:left w:val="single" w:sz="8" w:space="0" w:color="auto"/>
              <w:bottom w:val="single" w:sz="4" w:space="0" w:color="auto"/>
              <w:right w:val="single" w:sz="8" w:space="0" w:color="auto"/>
            </w:tcBorders>
            <w:vAlign w:val="center"/>
            <w:hideMark/>
          </w:tcPr>
          <w:p w14:paraId="79E6254F" w14:textId="77777777" w:rsidR="00E722EE" w:rsidRPr="007E3F0F" w:rsidRDefault="00E722EE" w:rsidP="006B3D70">
            <w:pPr>
              <w:spacing w:after="0" w:line="360" w:lineRule="auto"/>
              <w:jc w:val="right"/>
              <w:rPr>
                <w:rFonts w:eastAsia="Times New Roman" w:cs="Times New Roman"/>
                <w:color w:val="000000"/>
                <w:szCs w:val="24"/>
                <w:lang w:val="en-IN" w:eastAsia="en-IN"/>
              </w:rPr>
            </w:pPr>
            <w:r w:rsidRPr="007E3F0F">
              <w:rPr>
                <w:rFonts w:eastAsia="Times New Roman" w:cs="Times New Roman"/>
                <w:color w:val="000000"/>
                <w:szCs w:val="24"/>
                <w:lang w:val="en-IN" w:eastAsia="en-IN"/>
              </w:rPr>
              <w:t>6.5</w:t>
            </w:r>
          </w:p>
        </w:tc>
        <w:tc>
          <w:tcPr>
            <w:tcW w:w="1817" w:type="pct"/>
            <w:tcBorders>
              <w:top w:val="nil"/>
              <w:left w:val="nil"/>
              <w:bottom w:val="single" w:sz="4" w:space="0" w:color="auto"/>
              <w:right w:val="nil"/>
            </w:tcBorders>
            <w:vAlign w:val="center"/>
            <w:hideMark/>
          </w:tcPr>
          <w:p w14:paraId="0D323B51" w14:textId="77777777" w:rsidR="00E722EE" w:rsidRPr="007E3F0F" w:rsidRDefault="00E722EE" w:rsidP="006B3D70">
            <w:pPr>
              <w:spacing w:after="0" w:line="360" w:lineRule="auto"/>
              <w:jc w:val="right"/>
              <w:rPr>
                <w:rFonts w:eastAsia="Times New Roman" w:cs="Times New Roman"/>
                <w:color w:val="000000"/>
                <w:szCs w:val="24"/>
                <w:lang w:val="en-IN" w:eastAsia="en-IN"/>
              </w:rPr>
            </w:pPr>
            <w:r w:rsidRPr="007E3F0F">
              <w:rPr>
                <w:rFonts w:eastAsia="Times New Roman" w:cs="Times New Roman"/>
                <w:color w:val="000000"/>
                <w:szCs w:val="24"/>
                <w:lang w:val="en-IN" w:eastAsia="en-IN"/>
              </w:rPr>
              <w:t>0.5963</w:t>
            </w:r>
          </w:p>
        </w:tc>
        <w:tc>
          <w:tcPr>
            <w:tcW w:w="813" w:type="pct"/>
            <w:tcBorders>
              <w:top w:val="nil"/>
              <w:left w:val="single" w:sz="8" w:space="0" w:color="auto"/>
              <w:bottom w:val="single" w:sz="4" w:space="0" w:color="auto"/>
              <w:right w:val="single" w:sz="8" w:space="0" w:color="auto"/>
            </w:tcBorders>
            <w:vAlign w:val="center"/>
            <w:hideMark/>
          </w:tcPr>
          <w:p w14:paraId="5B1A5064" w14:textId="77777777" w:rsidR="00E722EE" w:rsidRPr="007E3F0F" w:rsidRDefault="00E722EE" w:rsidP="006B3D70">
            <w:pPr>
              <w:spacing w:after="0" w:line="360" w:lineRule="auto"/>
              <w:jc w:val="right"/>
              <w:rPr>
                <w:rFonts w:eastAsia="Times New Roman" w:cs="Times New Roman"/>
                <w:color w:val="000000"/>
                <w:szCs w:val="24"/>
                <w:lang w:val="en-IN" w:eastAsia="en-IN"/>
              </w:rPr>
            </w:pPr>
            <w:r w:rsidRPr="007E3F0F">
              <w:rPr>
                <w:rFonts w:eastAsia="Times New Roman" w:cs="Times New Roman"/>
                <w:color w:val="000000"/>
                <w:szCs w:val="24"/>
                <w:lang w:val="en-IN" w:eastAsia="en-IN"/>
              </w:rPr>
              <w:t>3.8757</w:t>
            </w:r>
          </w:p>
        </w:tc>
      </w:tr>
      <w:tr w:rsidR="00E722EE" w:rsidRPr="007E3F0F" w14:paraId="1E8BA16E" w14:textId="77777777" w:rsidTr="006B3D70">
        <w:trPr>
          <w:trHeight w:val="288"/>
        </w:trPr>
        <w:tc>
          <w:tcPr>
            <w:tcW w:w="976" w:type="pct"/>
            <w:tcBorders>
              <w:top w:val="nil"/>
              <w:left w:val="single" w:sz="8" w:space="0" w:color="auto"/>
              <w:bottom w:val="single" w:sz="4" w:space="0" w:color="auto"/>
              <w:right w:val="nil"/>
            </w:tcBorders>
            <w:vAlign w:val="center"/>
            <w:hideMark/>
          </w:tcPr>
          <w:p w14:paraId="3BEBE2F0" w14:textId="77777777" w:rsidR="00E722EE" w:rsidRPr="007E3F0F" w:rsidRDefault="00E722EE" w:rsidP="006B3D70">
            <w:pPr>
              <w:spacing w:after="0" w:line="360" w:lineRule="auto"/>
              <w:jc w:val="right"/>
              <w:rPr>
                <w:rFonts w:eastAsia="Times New Roman" w:cs="Times New Roman"/>
                <w:color w:val="000000"/>
                <w:szCs w:val="24"/>
                <w:lang w:val="en-IN" w:eastAsia="en-IN"/>
              </w:rPr>
            </w:pPr>
            <w:r w:rsidRPr="007E3F0F">
              <w:rPr>
                <w:rFonts w:eastAsia="Times New Roman" w:cs="Times New Roman"/>
                <w:color w:val="000000"/>
                <w:szCs w:val="24"/>
                <w:lang w:val="en-IN" w:eastAsia="en-IN"/>
              </w:rPr>
              <w:t>7</w:t>
            </w:r>
          </w:p>
        </w:tc>
        <w:tc>
          <w:tcPr>
            <w:tcW w:w="1393" w:type="pct"/>
            <w:tcBorders>
              <w:top w:val="nil"/>
              <w:left w:val="single" w:sz="8" w:space="0" w:color="auto"/>
              <w:bottom w:val="single" w:sz="4" w:space="0" w:color="auto"/>
              <w:right w:val="single" w:sz="8" w:space="0" w:color="auto"/>
            </w:tcBorders>
            <w:vAlign w:val="center"/>
            <w:hideMark/>
          </w:tcPr>
          <w:p w14:paraId="636DED7F" w14:textId="77777777" w:rsidR="00E722EE" w:rsidRPr="007E3F0F" w:rsidRDefault="00E722EE" w:rsidP="006B3D70">
            <w:pPr>
              <w:spacing w:after="0" w:line="360" w:lineRule="auto"/>
              <w:jc w:val="right"/>
              <w:rPr>
                <w:rFonts w:eastAsia="Times New Roman" w:cs="Times New Roman"/>
                <w:color w:val="000000"/>
                <w:szCs w:val="24"/>
                <w:lang w:val="en-IN" w:eastAsia="en-IN"/>
              </w:rPr>
            </w:pPr>
            <w:r w:rsidRPr="007E3F0F">
              <w:rPr>
                <w:rFonts w:eastAsia="Times New Roman" w:cs="Times New Roman"/>
                <w:color w:val="000000"/>
                <w:szCs w:val="24"/>
                <w:lang w:val="en-IN" w:eastAsia="en-IN"/>
              </w:rPr>
              <w:t>6.5</w:t>
            </w:r>
          </w:p>
        </w:tc>
        <w:tc>
          <w:tcPr>
            <w:tcW w:w="1817" w:type="pct"/>
            <w:tcBorders>
              <w:top w:val="nil"/>
              <w:left w:val="nil"/>
              <w:bottom w:val="single" w:sz="4" w:space="0" w:color="auto"/>
              <w:right w:val="nil"/>
            </w:tcBorders>
            <w:vAlign w:val="center"/>
            <w:hideMark/>
          </w:tcPr>
          <w:p w14:paraId="0B3D18F3" w14:textId="77777777" w:rsidR="00E722EE" w:rsidRPr="007E3F0F" w:rsidRDefault="00E722EE" w:rsidP="006B3D70">
            <w:pPr>
              <w:spacing w:after="0" w:line="360" w:lineRule="auto"/>
              <w:jc w:val="right"/>
              <w:rPr>
                <w:rFonts w:eastAsia="Times New Roman" w:cs="Times New Roman"/>
                <w:color w:val="000000"/>
                <w:szCs w:val="24"/>
                <w:lang w:val="en-IN" w:eastAsia="en-IN"/>
              </w:rPr>
            </w:pPr>
            <w:r w:rsidRPr="007E3F0F">
              <w:rPr>
                <w:rFonts w:eastAsia="Times New Roman" w:cs="Times New Roman"/>
                <w:color w:val="000000"/>
                <w:szCs w:val="24"/>
                <w:lang w:val="en-IN" w:eastAsia="en-IN"/>
              </w:rPr>
              <w:t>0.5470</w:t>
            </w:r>
          </w:p>
        </w:tc>
        <w:tc>
          <w:tcPr>
            <w:tcW w:w="813" w:type="pct"/>
            <w:tcBorders>
              <w:top w:val="nil"/>
              <w:left w:val="single" w:sz="8" w:space="0" w:color="auto"/>
              <w:bottom w:val="single" w:sz="4" w:space="0" w:color="auto"/>
              <w:right w:val="single" w:sz="8" w:space="0" w:color="auto"/>
            </w:tcBorders>
            <w:vAlign w:val="center"/>
            <w:hideMark/>
          </w:tcPr>
          <w:p w14:paraId="41F2E6C3" w14:textId="77777777" w:rsidR="00E722EE" w:rsidRPr="007E3F0F" w:rsidRDefault="00E722EE" w:rsidP="006B3D70">
            <w:pPr>
              <w:spacing w:after="0" w:line="360" w:lineRule="auto"/>
              <w:jc w:val="right"/>
              <w:rPr>
                <w:rFonts w:eastAsia="Times New Roman" w:cs="Times New Roman"/>
                <w:color w:val="000000"/>
                <w:szCs w:val="24"/>
                <w:lang w:val="en-IN" w:eastAsia="en-IN"/>
              </w:rPr>
            </w:pPr>
            <w:r w:rsidRPr="007E3F0F">
              <w:rPr>
                <w:rFonts w:eastAsia="Times New Roman" w:cs="Times New Roman"/>
                <w:color w:val="000000"/>
                <w:szCs w:val="24"/>
                <w:lang w:val="en-IN" w:eastAsia="en-IN"/>
              </w:rPr>
              <w:t>3.5557</w:t>
            </w:r>
          </w:p>
        </w:tc>
      </w:tr>
      <w:tr w:rsidR="00E722EE" w:rsidRPr="007E3F0F" w14:paraId="552B64EA" w14:textId="77777777" w:rsidTr="006B3D70">
        <w:trPr>
          <w:trHeight w:val="288"/>
        </w:trPr>
        <w:tc>
          <w:tcPr>
            <w:tcW w:w="976" w:type="pct"/>
            <w:tcBorders>
              <w:top w:val="nil"/>
              <w:left w:val="single" w:sz="8" w:space="0" w:color="auto"/>
              <w:bottom w:val="single" w:sz="4" w:space="0" w:color="auto"/>
              <w:right w:val="nil"/>
            </w:tcBorders>
            <w:vAlign w:val="center"/>
            <w:hideMark/>
          </w:tcPr>
          <w:p w14:paraId="6DBCC396" w14:textId="77777777" w:rsidR="00E722EE" w:rsidRPr="007E3F0F" w:rsidRDefault="00E722EE" w:rsidP="006B3D70">
            <w:pPr>
              <w:spacing w:after="0" w:line="360" w:lineRule="auto"/>
              <w:jc w:val="right"/>
              <w:rPr>
                <w:rFonts w:eastAsia="Times New Roman" w:cs="Times New Roman"/>
                <w:color w:val="000000"/>
                <w:szCs w:val="24"/>
                <w:lang w:val="en-IN" w:eastAsia="en-IN"/>
              </w:rPr>
            </w:pPr>
            <w:r w:rsidRPr="007E3F0F">
              <w:rPr>
                <w:rFonts w:eastAsia="Times New Roman" w:cs="Times New Roman"/>
                <w:color w:val="000000"/>
                <w:szCs w:val="24"/>
                <w:lang w:val="en-IN" w:eastAsia="en-IN"/>
              </w:rPr>
              <w:t>8</w:t>
            </w:r>
          </w:p>
        </w:tc>
        <w:tc>
          <w:tcPr>
            <w:tcW w:w="1393" w:type="pct"/>
            <w:tcBorders>
              <w:top w:val="nil"/>
              <w:left w:val="single" w:sz="8" w:space="0" w:color="auto"/>
              <w:bottom w:val="single" w:sz="4" w:space="0" w:color="auto"/>
              <w:right w:val="single" w:sz="8" w:space="0" w:color="auto"/>
            </w:tcBorders>
            <w:vAlign w:val="center"/>
            <w:hideMark/>
          </w:tcPr>
          <w:p w14:paraId="7DA84E65" w14:textId="77777777" w:rsidR="00E722EE" w:rsidRPr="007E3F0F" w:rsidRDefault="00E722EE" w:rsidP="006B3D70">
            <w:pPr>
              <w:spacing w:after="0" w:line="360" w:lineRule="auto"/>
              <w:jc w:val="right"/>
              <w:rPr>
                <w:rFonts w:eastAsia="Times New Roman" w:cs="Times New Roman"/>
                <w:color w:val="000000"/>
                <w:szCs w:val="24"/>
                <w:lang w:val="en-IN" w:eastAsia="en-IN"/>
              </w:rPr>
            </w:pPr>
            <w:r w:rsidRPr="007E3F0F">
              <w:rPr>
                <w:rFonts w:eastAsia="Times New Roman" w:cs="Times New Roman"/>
                <w:color w:val="000000"/>
                <w:szCs w:val="24"/>
                <w:lang w:val="en-IN" w:eastAsia="en-IN"/>
              </w:rPr>
              <w:t>6.5</w:t>
            </w:r>
          </w:p>
        </w:tc>
        <w:tc>
          <w:tcPr>
            <w:tcW w:w="1817" w:type="pct"/>
            <w:tcBorders>
              <w:top w:val="nil"/>
              <w:left w:val="nil"/>
              <w:bottom w:val="single" w:sz="4" w:space="0" w:color="auto"/>
              <w:right w:val="nil"/>
            </w:tcBorders>
            <w:vAlign w:val="center"/>
            <w:hideMark/>
          </w:tcPr>
          <w:p w14:paraId="3CD4711A" w14:textId="77777777" w:rsidR="00E722EE" w:rsidRPr="007E3F0F" w:rsidRDefault="00E722EE" w:rsidP="006B3D70">
            <w:pPr>
              <w:spacing w:after="0" w:line="360" w:lineRule="auto"/>
              <w:jc w:val="right"/>
              <w:rPr>
                <w:rFonts w:eastAsia="Times New Roman" w:cs="Times New Roman"/>
                <w:color w:val="000000"/>
                <w:szCs w:val="24"/>
                <w:lang w:val="en-IN" w:eastAsia="en-IN"/>
              </w:rPr>
            </w:pPr>
            <w:r w:rsidRPr="007E3F0F">
              <w:rPr>
                <w:rFonts w:eastAsia="Times New Roman" w:cs="Times New Roman"/>
                <w:color w:val="000000"/>
                <w:szCs w:val="24"/>
                <w:lang w:val="en-IN" w:eastAsia="en-IN"/>
              </w:rPr>
              <w:t>0.5019</w:t>
            </w:r>
          </w:p>
        </w:tc>
        <w:tc>
          <w:tcPr>
            <w:tcW w:w="813" w:type="pct"/>
            <w:tcBorders>
              <w:top w:val="nil"/>
              <w:left w:val="single" w:sz="8" w:space="0" w:color="auto"/>
              <w:bottom w:val="single" w:sz="4" w:space="0" w:color="auto"/>
              <w:right w:val="single" w:sz="8" w:space="0" w:color="auto"/>
            </w:tcBorders>
            <w:vAlign w:val="center"/>
            <w:hideMark/>
          </w:tcPr>
          <w:p w14:paraId="3D03C863" w14:textId="77777777" w:rsidR="00E722EE" w:rsidRPr="007E3F0F" w:rsidRDefault="00E722EE" w:rsidP="006B3D70">
            <w:pPr>
              <w:spacing w:after="0" w:line="360" w:lineRule="auto"/>
              <w:jc w:val="right"/>
              <w:rPr>
                <w:rFonts w:eastAsia="Times New Roman" w:cs="Times New Roman"/>
                <w:color w:val="000000"/>
                <w:szCs w:val="24"/>
                <w:lang w:val="en-IN" w:eastAsia="en-IN"/>
              </w:rPr>
            </w:pPr>
            <w:r w:rsidRPr="007E3F0F">
              <w:rPr>
                <w:rFonts w:eastAsia="Times New Roman" w:cs="Times New Roman"/>
                <w:color w:val="000000"/>
                <w:szCs w:val="24"/>
                <w:lang w:val="en-IN" w:eastAsia="en-IN"/>
              </w:rPr>
              <w:t>3.2621</w:t>
            </w:r>
          </w:p>
        </w:tc>
      </w:tr>
      <w:tr w:rsidR="00E722EE" w:rsidRPr="007E3F0F" w14:paraId="04E34359" w14:textId="77777777" w:rsidTr="006B3D70">
        <w:trPr>
          <w:trHeight w:val="288"/>
        </w:trPr>
        <w:tc>
          <w:tcPr>
            <w:tcW w:w="976" w:type="pct"/>
            <w:tcBorders>
              <w:top w:val="nil"/>
              <w:left w:val="single" w:sz="8" w:space="0" w:color="auto"/>
              <w:bottom w:val="single" w:sz="4" w:space="0" w:color="auto"/>
              <w:right w:val="nil"/>
            </w:tcBorders>
            <w:vAlign w:val="center"/>
            <w:hideMark/>
          </w:tcPr>
          <w:p w14:paraId="7CCB54DF" w14:textId="77777777" w:rsidR="00E722EE" w:rsidRPr="007E3F0F" w:rsidRDefault="00E722EE" w:rsidP="006B3D70">
            <w:pPr>
              <w:spacing w:after="0" w:line="360" w:lineRule="auto"/>
              <w:jc w:val="right"/>
              <w:rPr>
                <w:rFonts w:eastAsia="Times New Roman" w:cs="Times New Roman"/>
                <w:color w:val="000000"/>
                <w:szCs w:val="24"/>
                <w:lang w:val="en-IN" w:eastAsia="en-IN"/>
              </w:rPr>
            </w:pPr>
            <w:r w:rsidRPr="007E3F0F">
              <w:rPr>
                <w:rFonts w:eastAsia="Times New Roman" w:cs="Times New Roman"/>
                <w:color w:val="000000"/>
                <w:szCs w:val="24"/>
                <w:lang w:val="en-IN" w:eastAsia="en-IN"/>
              </w:rPr>
              <w:t>9</w:t>
            </w:r>
          </w:p>
        </w:tc>
        <w:tc>
          <w:tcPr>
            <w:tcW w:w="1393" w:type="pct"/>
            <w:tcBorders>
              <w:top w:val="nil"/>
              <w:left w:val="single" w:sz="8" w:space="0" w:color="auto"/>
              <w:bottom w:val="single" w:sz="4" w:space="0" w:color="auto"/>
              <w:right w:val="single" w:sz="8" w:space="0" w:color="auto"/>
            </w:tcBorders>
            <w:vAlign w:val="center"/>
            <w:hideMark/>
          </w:tcPr>
          <w:p w14:paraId="1F83F67C" w14:textId="77777777" w:rsidR="00E722EE" w:rsidRPr="007E3F0F" w:rsidRDefault="00E722EE" w:rsidP="006B3D70">
            <w:pPr>
              <w:spacing w:after="0" w:line="360" w:lineRule="auto"/>
              <w:jc w:val="right"/>
              <w:rPr>
                <w:rFonts w:eastAsia="Times New Roman" w:cs="Times New Roman"/>
                <w:color w:val="000000"/>
                <w:szCs w:val="24"/>
                <w:lang w:val="en-IN" w:eastAsia="en-IN"/>
              </w:rPr>
            </w:pPr>
            <w:r w:rsidRPr="007E3F0F">
              <w:rPr>
                <w:rFonts w:eastAsia="Times New Roman" w:cs="Times New Roman"/>
                <w:color w:val="000000"/>
                <w:szCs w:val="24"/>
                <w:lang w:val="en-IN" w:eastAsia="en-IN"/>
              </w:rPr>
              <w:t>6.5</w:t>
            </w:r>
          </w:p>
        </w:tc>
        <w:tc>
          <w:tcPr>
            <w:tcW w:w="1817" w:type="pct"/>
            <w:tcBorders>
              <w:top w:val="nil"/>
              <w:left w:val="nil"/>
              <w:bottom w:val="single" w:sz="4" w:space="0" w:color="auto"/>
              <w:right w:val="nil"/>
            </w:tcBorders>
            <w:vAlign w:val="center"/>
            <w:hideMark/>
          </w:tcPr>
          <w:p w14:paraId="2493B61C" w14:textId="77777777" w:rsidR="00E722EE" w:rsidRPr="007E3F0F" w:rsidRDefault="00E722EE" w:rsidP="006B3D70">
            <w:pPr>
              <w:spacing w:after="0" w:line="360" w:lineRule="auto"/>
              <w:jc w:val="right"/>
              <w:rPr>
                <w:rFonts w:eastAsia="Times New Roman" w:cs="Times New Roman"/>
                <w:color w:val="000000"/>
                <w:szCs w:val="24"/>
                <w:lang w:val="en-IN" w:eastAsia="en-IN"/>
              </w:rPr>
            </w:pPr>
            <w:r w:rsidRPr="007E3F0F">
              <w:rPr>
                <w:rFonts w:eastAsia="Times New Roman" w:cs="Times New Roman"/>
                <w:color w:val="000000"/>
                <w:szCs w:val="24"/>
                <w:lang w:val="en-IN" w:eastAsia="en-IN"/>
              </w:rPr>
              <w:t>0.4604</w:t>
            </w:r>
          </w:p>
        </w:tc>
        <w:tc>
          <w:tcPr>
            <w:tcW w:w="813" w:type="pct"/>
            <w:tcBorders>
              <w:top w:val="nil"/>
              <w:left w:val="single" w:sz="8" w:space="0" w:color="auto"/>
              <w:bottom w:val="single" w:sz="4" w:space="0" w:color="auto"/>
              <w:right w:val="single" w:sz="8" w:space="0" w:color="auto"/>
            </w:tcBorders>
            <w:vAlign w:val="center"/>
            <w:hideMark/>
          </w:tcPr>
          <w:p w14:paraId="51BE1973" w14:textId="77777777" w:rsidR="00E722EE" w:rsidRPr="007E3F0F" w:rsidRDefault="00E722EE" w:rsidP="006B3D70">
            <w:pPr>
              <w:spacing w:after="0" w:line="360" w:lineRule="auto"/>
              <w:jc w:val="right"/>
              <w:rPr>
                <w:rFonts w:eastAsia="Times New Roman" w:cs="Times New Roman"/>
                <w:color w:val="000000"/>
                <w:szCs w:val="24"/>
                <w:lang w:val="en-IN" w:eastAsia="en-IN"/>
              </w:rPr>
            </w:pPr>
            <w:r w:rsidRPr="007E3F0F">
              <w:rPr>
                <w:rFonts w:eastAsia="Times New Roman" w:cs="Times New Roman"/>
                <w:color w:val="000000"/>
                <w:szCs w:val="24"/>
                <w:lang w:val="en-IN" w:eastAsia="en-IN"/>
              </w:rPr>
              <w:t>2.9928</w:t>
            </w:r>
          </w:p>
        </w:tc>
      </w:tr>
      <w:tr w:rsidR="00E722EE" w:rsidRPr="007E3F0F" w14:paraId="20327026" w14:textId="77777777" w:rsidTr="006B3D70">
        <w:trPr>
          <w:trHeight w:val="288"/>
        </w:trPr>
        <w:tc>
          <w:tcPr>
            <w:tcW w:w="976" w:type="pct"/>
            <w:tcBorders>
              <w:top w:val="nil"/>
              <w:left w:val="single" w:sz="8" w:space="0" w:color="auto"/>
              <w:bottom w:val="single" w:sz="4" w:space="0" w:color="auto"/>
              <w:right w:val="nil"/>
            </w:tcBorders>
            <w:vAlign w:val="center"/>
            <w:hideMark/>
          </w:tcPr>
          <w:p w14:paraId="1D9B5665" w14:textId="77777777" w:rsidR="00E722EE" w:rsidRPr="007E3F0F" w:rsidRDefault="00E722EE" w:rsidP="006B3D70">
            <w:pPr>
              <w:spacing w:after="0" w:line="360" w:lineRule="auto"/>
              <w:jc w:val="right"/>
              <w:rPr>
                <w:rFonts w:eastAsia="Times New Roman" w:cs="Times New Roman"/>
                <w:color w:val="000000"/>
                <w:szCs w:val="24"/>
                <w:lang w:val="en-IN" w:eastAsia="en-IN"/>
              </w:rPr>
            </w:pPr>
            <w:r w:rsidRPr="007E3F0F">
              <w:rPr>
                <w:rFonts w:eastAsia="Times New Roman" w:cs="Times New Roman"/>
                <w:color w:val="000000"/>
                <w:szCs w:val="24"/>
                <w:lang w:val="en-IN" w:eastAsia="en-IN"/>
              </w:rPr>
              <w:t>10</w:t>
            </w:r>
          </w:p>
        </w:tc>
        <w:tc>
          <w:tcPr>
            <w:tcW w:w="1393" w:type="pct"/>
            <w:tcBorders>
              <w:top w:val="nil"/>
              <w:left w:val="single" w:sz="8" w:space="0" w:color="auto"/>
              <w:bottom w:val="single" w:sz="4" w:space="0" w:color="auto"/>
              <w:right w:val="single" w:sz="8" w:space="0" w:color="auto"/>
            </w:tcBorders>
            <w:vAlign w:val="center"/>
            <w:hideMark/>
          </w:tcPr>
          <w:p w14:paraId="6B4E28D8" w14:textId="77777777" w:rsidR="00E722EE" w:rsidRPr="007E3F0F" w:rsidRDefault="00E722EE" w:rsidP="006B3D70">
            <w:pPr>
              <w:spacing w:after="0" w:line="360" w:lineRule="auto"/>
              <w:jc w:val="right"/>
              <w:rPr>
                <w:rFonts w:eastAsia="Times New Roman" w:cs="Times New Roman"/>
                <w:color w:val="000000"/>
                <w:szCs w:val="24"/>
                <w:lang w:val="en-IN" w:eastAsia="en-IN"/>
              </w:rPr>
            </w:pPr>
            <w:r w:rsidRPr="007E3F0F">
              <w:rPr>
                <w:rFonts w:eastAsia="Times New Roman" w:cs="Times New Roman"/>
                <w:color w:val="000000"/>
                <w:szCs w:val="24"/>
                <w:lang w:val="en-IN" w:eastAsia="en-IN"/>
              </w:rPr>
              <w:t>6.5</w:t>
            </w:r>
          </w:p>
        </w:tc>
        <w:tc>
          <w:tcPr>
            <w:tcW w:w="1817" w:type="pct"/>
            <w:tcBorders>
              <w:top w:val="nil"/>
              <w:left w:val="nil"/>
              <w:bottom w:val="single" w:sz="4" w:space="0" w:color="auto"/>
              <w:right w:val="nil"/>
            </w:tcBorders>
            <w:vAlign w:val="center"/>
            <w:hideMark/>
          </w:tcPr>
          <w:p w14:paraId="3081E39A" w14:textId="77777777" w:rsidR="00E722EE" w:rsidRPr="007E3F0F" w:rsidRDefault="00E722EE" w:rsidP="006B3D70">
            <w:pPr>
              <w:spacing w:after="0" w:line="360" w:lineRule="auto"/>
              <w:jc w:val="right"/>
              <w:rPr>
                <w:rFonts w:eastAsia="Times New Roman" w:cs="Times New Roman"/>
                <w:color w:val="000000"/>
                <w:szCs w:val="24"/>
                <w:lang w:val="en-IN" w:eastAsia="en-IN"/>
              </w:rPr>
            </w:pPr>
            <w:r w:rsidRPr="007E3F0F">
              <w:rPr>
                <w:rFonts w:eastAsia="Times New Roman" w:cs="Times New Roman"/>
                <w:color w:val="000000"/>
                <w:szCs w:val="24"/>
                <w:lang w:val="en-IN" w:eastAsia="en-IN"/>
              </w:rPr>
              <w:t>0.4224</w:t>
            </w:r>
          </w:p>
        </w:tc>
        <w:tc>
          <w:tcPr>
            <w:tcW w:w="813" w:type="pct"/>
            <w:tcBorders>
              <w:top w:val="nil"/>
              <w:left w:val="single" w:sz="8" w:space="0" w:color="auto"/>
              <w:bottom w:val="single" w:sz="4" w:space="0" w:color="auto"/>
              <w:right w:val="single" w:sz="8" w:space="0" w:color="auto"/>
            </w:tcBorders>
            <w:vAlign w:val="center"/>
            <w:hideMark/>
          </w:tcPr>
          <w:p w14:paraId="02054B9D" w14:textId="77777777" w:rsidR="00E722EE" w:rsidRPr="007E3F0F" w:rsidRDefault="00E722EE" w:rsidP="006B3D70">
            <w:pPr>
              <w:spacing w:after="0" w:line="360" w:lineRule="auto"/>
              <w:jc w:val="right"/>
              <w:rPr>
                <w:rFonts w:eastAsia="Times New Roman" w:cs="Times New Roman"/>
                <w:color w:val="000000"/>
                <w:szCs w:val="24"/>
                <w:lang w:val="en-IN" w:eastAsia="en-IN"/>
              </w:rPr>
            </w:pPr>
            <w:r w:rsidRPr="007E3F0F">
              <w:rPr>
                <w:rFonts w:eastAsia="Times New Roman" w:cs="Times New Roman"/>
                <w:color w:val="000000"/>
                <w:szCs w:val="24"/>
                <w:lang w:val="en-IN" w:eastAsia="en-IN"/>
              </w:rPr>
              <w:t>2.7457</w:t>
            </w:r>
          </w:p>
        </w:tc>
      </w:tr>
      <w:tr w:rsidR="00E722EE" w:rsidRPr="007E3F0F" w14:paraId="31F22A3A" w14:textId="77777777" w:rsidTr="006B3D70">
        <w:trPr>
          <w:trHeight w:val="288"/>
        </w:trPr>
        <w:tc>
          <w:tcPr>
            <w:tcW w:w="976" w:type="pct"/>
            <w:tcBorders>
              <w:top w:val="nil"/>
              <w:left w:val="single" w:sz="8" w:space="0" w:color="auto"/>
              <w:bottom w:val="single" w:sz="4" w:space="0" w:color="auto"/>
              <w:right w:val="nil"/>
            </w:tcBorders>
            <w:vAlign w:val="center"/>
            <w:hideMark/>
          </w:tcPr>
          <w:p w14:paraId="4A05186E" w14:textId="77777777" w:rsidR="00E722EE" w:rsidRPr="007E3F0F" w:rsidRDefault="00E722EE" w:rsidP="006B3D70">
            <w:pPr>
              <w:spacing w:after="0" w:line="360" w:lineRule="auto"/>
              <w:jc w:val="right"/>
              <w:rPr>
                <w:rFonts w:eastAsia="Times New Roman" w:cs="Times New Roman"/>
                <w:color w:val="000000"/>
                <w:szCs w:val="24"/>
                <w:lang w:val="en-IN" w:eastAsia="en-IN"/>
              </w:rPr>
            </w:pPr>
            <w:r w:rsidRPr="007E3F0F">
              <w:rPr>
                <w:rFonts w:eastAsia="Times New Roman" w:cs="Times New Roman"/>
                <w:color w:val="000000"/>
                <w:szCs w:val="24"/>
                <w:lang w:val="en-IN" w:eastAsia="en-IN"/>
              </w:rPr>
              <w:t>11</w:t>
            </w:r>
          </w:p>
        </w:tc>
        <w:tc>
          <w:tcPr>
            <w:tcW w:w="1393" w:type="pct"/>
            <w:tcBorders>
              <w:top w:val="nil"/>
              <w:left w:val="single" w:sz="8" w:space="0" w:color="auto"/>
              <w:bottom w:val="single" w:sz="4" w:space="0" w:color="auto"/>
              <w:right w:val="single" w:sz="8" w:space="0" w:color="auto"/>
            </w:tcBorders>
            <w:vAlign w:val="center"/>
            <w:hideMark/>
          </w:tcPr>
          <w:p w14:paraId="40870E66" w14:textId="77777777" w:rsidR="00E722EE" w:rsidRPr="007E3F0F" w:rsidRDefault="00E722EE" w:rsidP="006B3D70">
            <w:pPr>
              <w:spacing w:after="0" w:line="360" w:lineRule="auto"/>
              <w:jc w:val="right"/>
              <w:rPr>
                <w:rFonts w:eastAsia="Times New Roman" w:cs="Times New Roman"/>
                <w:color w:val="000000"/>
                <w:szCs w:val="24"/>
                <w:lang w:val="en-IN" w:eastAsia="en-IN"/>
              </w:rPr>
            </w:pPr>
            <w:r w:rsidRPr="007E3F0F">
              <w:rPr>
                <w:rFonts w:eastAsia="Times New Roman" w:cs="Times New Roman"/>
                <w:color w:val="000000"/>
                <w:szCs w:val="24"/>
                <w:lang w:val="en-IN" w:eastAsia="en-IN"/>
              </w:rPr>
              <w:t>6.5</w:t>
            </w:r>
          </w:p>
        </w:tc>
        <w:tc>
          <w:tcPr>
            <w:tcW w:w="1817" w:type="pct"/>
            <w:tcBorders>
              <w:top w:val="nil"/>
              <w:left w:val="nil"/>
              <w:bottom w:val="single" w:sz="4" w:space="0" w:color="auto"/>
              <w:right w:val="nil"/>
            </w:tcBorders>
            <w:vAlign w:val="center"/>
            <w:hideMark/>
          </w:tcPr>
          <w:p w14:paraId="1840421D" w14:textId="77777777" w:rsidR="00E722EE" w:rsidRPr="007E3F0F" w:rsidRDefault="00E722EE" w:rsidP="006B3D70">
            <w:pPr>
              <w:spacing w:after="0" w:line="360" w:lineRule="auto"/>
              <w:jc w:val="right"/>
              <w:rPr>
                <w:rFonts w:eastAsia="Times New Roman" w:cs="Times New Roman"/>
                <w:color w:val="000000"/>
                <w:szCs w:val="24"/>
                <w:lang w:val="en-IN" w:eastAsia="en-IN"/>
              </w:rPr>
            </w:pPr>
            <w:r w:rsidRPr="007E3F0F">
              <w:rPr>
                <w:rFonts w:eastAsia="Times New Roman" w:cs="Times New Roman"/>
                <w:color w:val="000000"/>
                <w:szCs w:val="24"/>
                <w:lang w:val="en-IN" w:eastAsia="en-IN"/>
              </w:rPr>
              <w:t>0.3875</w:t>
            </w:r>
          </w:p>
        </w:tc>
        <w:tc>
          <w:tcPr>
            <w:tcW w:w="813" w:type="pct"/>
            <w:tcBorders>
              <w:top w:val="nil"/>
              <w:left w:val="single" w:sz="8" w:space="0" w:color="auto"/>
              <w:bottom w:val="single" w:sz="4" w:space="0" w:color="auto"/>
              <w:right w:val="single" w:sz="8" w:space="0" w:color="auto"/>
            </w:tcBorders>
            <w:vAlign w:val="center"/>
            <w:hideMark/>
          </w:tcPr>
          <w:p w14:paraId="74350AF4" w14:textId="77777777" w:rsidR="00E722EE" w:rsidRPr="007E3F0F" w:rsidRDefault="00E722EE" w:rsidP="006B3D70">
            <w:pPr>
              <w:spacing w:after="0" w:line="360" w:lineRule="auto"/>
              <w:jc w:val="right"/>
              <w:rPr>
                <w:rFonts w:eastAsia="Times New Roman" w:cs="Times New Roman"/>
                <w:color w:val="000000"/>
                <w:szCs w:val="24"/>
                <w:lang w:val="en-IN" w:eastAsia="en-IN"/>
              </w:rPr>
            </w:pPr>
            <w:r w:rsidRPr="007E3F0F">
              <w:rPr>
                <w:rFonts w:eastAsia="Times New Roman" w:cs="Times New Roman"/>
                <w:color w:val="000000"/>
                <w:szCs w:val="24"/>
                <w:lang w:val="en-IN" w:eastAsia="en-IN"/>
              </w:rPr>
              <w:t>2.5190</w:t>
            </w:r>
          </w:p>
        </w:tc>
      </w:tr>
      <w:tr w:rsidR="00E722EE" w:rsidRPr="007E3F0F" w14:paraId="58CE789A" w14:textId="77777777" w:rsidTr="006B3D70">
        <w:trPr>
          <w:trHeight w:val="288"/>
        </w:trPr>
        <w:tc>
          <w:tcPr>
            <w:tcW w:w="976" w:type="pct"/>
            <w:tcBorders>
              <w:top w:val="nil"/>
              <w:left w:val="single" w:sz="8" w:space="0" w:color="auto"/>
              <w:bottom w:val="single" w:sz="4" w:space="0" w:color="auto"/>
              <w:right w:val="nil"/>
            </w:tcBorders>
            <w:vAlign w:val="center"/>
            <w:hideMark/>
          </w:tcPr>
          <w:p w14:paraId="324AC904" w14:textId="77777777" w:rsidR="00E722EE" w:rsidRPr="007E3F0F" w:rsidRDefault="00E722EE" w:rsidP="006B3D70">
            <w:pPr>
              <w:spacing w:after="0" w:line="360" w:lineRule="auto"/>
              <w:jc w:val="right"/>
              <w:rPr>
                <w:rFonts w:eastAsia="Times New Roman" w:cs="Times New Roman"/>
                <w:color w:val="000000"/>
                <w:szCs w:val="24"/>
                <w:lang w:val="en-IN" w:eastAsia="en-IN"/>
              </w:rPr>
            </w:pPr>
            <w:r w:rsidRPr="007E3F0F">
              <w:rPr>
                <w:rFonts w:eastAsia="Times New Roman" w:cs="Times New Roman"/>
                <w:color w:val="000000"/>
                <w:szCs w:val="24"/>
                <w:lang w:val="en-IN" w:eastAsia="en-IN"/>
              </w:rPr>
              <w:t>12</w:t>
            </w:r>
          </w:p>
        </w:tc>
        <w:tc>
          <w:tcPr>
            <w:tcW w:w="1393" w:type="pct"/>
            <w:tcBorders>
              <w:top w:val="nil"/>
              <w:left w:val="single" w:sz="8" w:space="0" w:color="auto"/>
              <w:bottom w:val="single" w:sz="4" w:space="0" w:color="auto"/>
              <w:right w:val="single" w:sz="8" w:space="0" w:color="auto"/>
            </w:tcBorders>
            <w:vAlign w:val="center"/>
            <w:hideMark/>
          </w:tcPr>
          <w:p w14:paraId="7A0E5F0A" w14:textId="77777777" w:rsidR="00E722EE" w:rsidRPr="007E3F0F" w:rsidRDefault="00E722EE" w:rsidP="006B3D70">
            <w:pPr>
              <w:spacing w:after="0" w:line="360" w:lineRule="auto"/>
              <w:jc w:val="right"/>
              <w:rPr>
                <w:rFonts w:eastAsia="Times New Roman" w:cs="Times New Roman"/>
                <w:color w:val="000000"/>
                <w:szCs w:val="24"/>
                <w:lang w:val="en-IN" w:eastAsia="en-IN"/>
              </w:rPr>
            </w:pPr>
            <w:r w:rsidRPr="007E3F0F">
              <w:rPr>
                <w:rFonts w:eastAsia="Times New Roman" w:cs="Times New Roman"/>
                <w:color w:val="000000"/>
                <w:szCs w:val="24"/>
                <w:lang w:val="en-IN" w:eastAsia="en-IN"/>
              </w:rPr>
              <w:t>6.5</w:t>
            </w:r>
          </w:p>
        </w:tc>
        <w:tc>
          <w:tcPr>
            <w:tcW w:w="1817" w:type="pct"/>
            <w:tcBorders>
              <w:top w:val="nil"/>
              <w:left w:val="nil"/>
              <w:bottom w:val="single" w:sz="4" w:space="0" w:color="auto"/>
              <w:right w:val="nil"/>
            </w:tcBorders>
            <w:vAlign w:val="center"/>
            <w:hideMark/>
          </w:tcPr>
          <w:p w14:paraId="1460F281" w14:textId="77777777" w:rsidR="00E722EE" w:rsidRPr="007E3F0F" w:rsidRDefault="00E722EE" w:rsidP="006B3D70">
            <w:pPr>
              <w:spacing w:after="0" w:line="360" w:lineRule="auto"/>
              <w:jc w:val="right"/>
              <w:rPr>
                <w:rFonts w:eastAsia="Times New Roman" w:cs="Times New Roman"/>
                <w:color w:val="000000"/>
                <w:szCs w:val="24"/>
                <w:lang w:val="en-IN" w:eastAsia="en-IN"/>
              </w:rPr>
            </w:pPr>
            <w:r w:rsidRPr="007E3F0F">
              <w:rPr>
                <w:rFonts w:eastAsia="Times New Roman" w:cs="Times New Roman"/>
                <w:color w:val="000000"/>
                <w:szCs w:val="24"/>
                <w:lang w:val="en-IN" w:eastAsia="en-IN"/>
              </w:rPr>
              <w:t>0.3555</w:t>
            </w:r>
          </w:p>
        </w:tc>
        <w:tc>
          <w:tcPr>
            <w:tcW w:w="813" w:type="pct"/>
            <w:tcBorders>
              <w:top w:val="nil"/>
              <w:left w:val="single" w:sz="8" w:space="0" w:color="auto"/>
              <w:bottom w:val="single" w:sz="4" w:space="0" w:color="auto"/>
              <w:right w:val="single" w:sz="8" w:space="0" w:color="auto"/>
            </w:tcBorders>
            <w:vAlign w:val="center"/>
            <w:hideMark/>
          </w:tcPr>
          <w:p w14:paraId="6643F9AE" w14:textId="77777777" w:rsidR="00E722EE" w:rsidRPr="007E3F0F" w:rsidRDefault="00E722EE" w:rsidP="006B3D70">
            <w:pPr>
              <w:spacing w:after="0" w:line="360" w:lineRule="auto"/>
              <w:jc w:val="right"/>
              <w:rPr>
                <w:rFonts w:eastAsia="Times New Roman" w:cs="Times New Roman"/>
                <w:color w:val="000000"/>
                <w:szCs w:val="24"/>
                <w:lang w:val="en-IN" w:eastAsia="en-IN"/>
              </w:rPr>
            </w:pPr>
            <w:r w:rsidRPr="007E3F0F">
              <w:rPr>
                <w:rFonts w:eastAsia="Times New Roman" w:cs="Times New Roman"/>
                <w:color w:val="000000"/>
                <w:szCs w:val="24"/>
                <w:lang w:val="en-IN" w:eastAsia="en-IN"/>
              </w:rPr>
              <w:t>2.3110</w:t>
            </w:r>
          </w:p>
        </w:tc>
      </w:tr>
      <w:tr w:rsidR="00E722EE" w:rsidRPr="007E3F0F" w14:paraId="3683D1C0" w14:textId="77777777" w:rsidTr="006B3D70">
        <w:trPr>
          <w:trHeight w:val="288"/>
        </w:trPr>
        <w:tc>
          <w:tcPr>
            <w:tcW w:w="976" w:type="pct"/>
            <w:tcBorders>
              <w:top w:val="nil"/>
              <w:left w:val="single" w:sz="8" w:space="0" w:color="auto"/>
              <w:bottom w:val="single" w:sz="4" w:space="0" w:color="auto"/>
              <w:right w:val="nil"/>
            </w:tcBorders>
            <w:vAlign w:val="center"/>
            <w:hideMark/>
          </w:tcPr>
          <w:p w14:paraId="03F59779" w14:textId="77777777" w:rsidR="00E722EE" w:rsidRPr="007E3F0F" w:rsidRDefault="00E722EE" w:rsidP="006B3D70">
            <w:pPr>
              <w:spacing w:after="0" w:line="360" w:lineRule="auto"/>
              <w:jc w:val="right"/>
              <w:rPr>
                <w:rFonts w:eastAsia="Times New Roman" w:cs="Times New Roman"/>
                <w:color w:val="000000"/>
                <w:szCs w:val="24"/>
                <w:lang w:val="en-IN" w:eastAsia="en-IN"/>
              </w:rPr>
            </w:pPr>
            <w:r w:rsidRPr="007E3F0F">
              <w:rPr>
                <w:rFonts w:eastAsia="Times New Roman" w:cs="Times New Roman"/>
                <w:color w:val="000000"/>
                <w:szCs w:val="24"/>
                <w:lang w:val="en-IN" w:eastAsia="en-IN"/>
              </w:rPr>
              <w:t>13</w:t>
            </w:r>
          </w:p>
        </w:tc>
        <w:tc>
          <w:tcPr>
            <w:tcW w:w="1393" w:type="pct"/>
            <w:tcBorders>
              <w:top w:val="nil"/>
              <w:left w:val="single" w:sz="8" w:space="0" w:color="auto"/>
              <w:bottom w:val="single" w:sz="4" w:space="0" w:color="auto"/>
              <w:right w:val="single" w:sz="8" w:space="0" w:color="auto"/>
            </w:tcBorders>
            <w:vAlign w:val="center"/>
            <w:hideMark/>
          </w:tcPr>
          <w:p w14:paraId="7FC0A32B" w14:textId="77777777" w:rsidR="00E722EE" w:rsidRPr="007E3F0F" w:rsidRDefault="00E722EE" w:rsidP="006B3D70">
            <w:pPr>
              <w:spacing w:after="0" w:line="360" w:lineRule="auto"/>
              <w:jc w:val="right"/>
              <w:rPr>
                <w:rFonts w:eastAsia="Times New Roman" w:cs="Times New Roman"/>
                <w:color w:val="000000"/>
                <w:szCs w:val="24"/>
                <w:lang w:val="en-IN" w:eastAsia="en-IN"/>
              </w:rPr>
            </w:pPr>
            <w:r w:rsidRPr="007E3F0F">
              <w:rPr>
                <w:rFonts w:eastAsia="Times New Roman" w:cs="Times New Roman"/>
                <w:color w:val="000000"/>
                <w:szCs w:val="24"/>
                <w:lang w:val="en-IN" w:eastAsia="en-IN"/>
              </w:rPr>
              <w:t>6.5</w:t>
            </w:r>
          </w:p>
        </w:tc>
        <w:tc>
          <w:tcPr>
            <w:tcW w:w="1817" w:type="pct"/>
            <w:tcBorders>
              <w:top w:val="nil"/>
              <w:left w:val="nil"/>
              <w:bottom w:val="single" w:sz="4" w:space="0" w:color="auto"/>
              <w:right w:val="nil"/>
            </w:tcBorders>
            <w:vAlign w:val="center"/>
            <w:hideMark/>
          </w:tcPr>
          <w:p w14:paraId="1C409AE4" w14:textId="77777777" w:rsidR="00E722EE" w:rsidRPr="007E3F0F" w:rsidRDefault="00E722EE" w:rsidP="006B3D70">
            <w:pPr>
              <w:spacing w:after="0" w:line="360" w:lineRule="auto"/>
              <w:jc w:val="right"/>
              <w:rPr>
                <w:rFonts w:eastAsia="Times New Roman" w:cs="Times New Roman"/>
                <w:color w:val="000000"/>
                <w:szCs w:val="24"/>
                <w:lang w:val="en-IN" w:eastAsia="en-IN"/>
              </w:rPr>
            </w:pPr>
            <w:r w:rsidRPr="007E3F0F">
              <w:rPr>
                <w:rFonts w:eastAsia="Times New Roman" w:cs="Times New Roman"/>
                <w:color w:val="000000"/>
                <w:szCs w:val="24"/>
                <w:lang w:val="en-IN" w:eastAsia="en-IN"/>
              </w:rPr>
              <w:t>0.3262</w:t>
            </w:r>
          </w:p>
        </w:tc>
        <w:tc>
          <w:tcPr>
            <w:tcW w:w="813" w:type="pct"/>
            <w:tcBorders>
              <w:top w:val="nil"/>
              <w:left w:val="single" w:sz="8" w:space="0" w:color="auto"/>
              <w:bottom w:val="single" w:sz="4" w:space="0" w:color="auto"/>
              <w:right w:val="single" w:sz="8" w:space="0" w:color="auto"/>
            </w:tcBorders>
            <w:vAlign w:val="center"/>
            <w:hideMark/>
          </w:tcPr>
          <w:p w14:paraId="7582D073" w14:textId="77777777" w:rsidR="00E722EE" w:rsidRPr="007E3F0F" w:rsidRDefault="00E722EE" w:rsidP="006B3D70">
            <w:pPr>
              <w:spacing w:after="0" w:line="360" w:lineRule="auto"/>
              <w:jc w:val="right"/>
              <w:rPr>
                <w:rFonts w:eastAsia="Times New Roman" w:cs="Times New Roman"/>
                <w:color w:val="000000"/>
                <w:szCs w:val="24"/>
                <w:lang w:val="en-IN" w:eastAsia="en-IN"/>
              </w:rPr>
            </w:pPr>
            <w:r w:rsidRPr="007E3F0F">
              <w:rPr>
                <w:rFonts w:eastAsia="Times New Roman" w:cs="Times New Roman"/>
                <w:color w:val="000000"/>
                <w:szCs w:val="24"/>
                <w:lang w:val="en-IN" w:eastAsia="en-IN"/>
              </w:rPr>
              <w:t>2.1202</w:t>
            </w:r>
          </w:p>
        </w:tc>
      </w:tr>
      <w:tr w:rsidR="00E722EE" w:rsidRPr="007E3F0F" w14:paraId="221513F5" w14:textId="77777777" w:rsidTr="006B3D70">
        <w:trPr>
          <w:trHeight w:val="288"/>
        </w:trPr>
        <w:tc>
          <w:tcPr>
            <w:tcW w:w="976" w:type="pct"/>
            <w:tcBorders>
              <w:top w:val="nil"/>
              <w:left w:val="single" w:sz="8" w:space="0" w:color="auto"/>
              <w:bottom w:val="single" w:sz="4" w:space="0" w:color="auto"/>
              <w:right w:val="nil"/>
            </w:tcBorders>
            <w:vAlign w:val="center"/>
            <w:hideMark/>
          </w:tcPr>
          <w:p w14:paraId="7A1283E5" w14:textId="77777777" w:rsidR="00E722EE" w:rsidRPr="007E3F0F" w:rsidRDefault="00E722EE" w:rsidP="006B3D70">
            <w:pPr>
              <w:spacing w:after="0" w:line="360" w:lineRule="auto"/>
              <w:jc w:val="right"/>
              <w:rPr>
                <w:rFonts w:eastAsia="Times New Roman" w:cs="Times New Roman"/>
                <w:color w:val="000000"/>
                <w:szCs w:val="24"/>
                <w:lang w:val="en-IN" w:eastAsia="en-IN"/>
              </w:rPr>
            </w:pPr>
            <w:r w:rsidRPr="007E3F0F">
              <w:rPr>
                <w:rFonts w:eastAsia="Times New Roman" w:cs="Times New Roman"/>
                <w:color w:val="000000"/>
                <w:szCs w:val="24"/>
                <w:lang w:val="en-IN" w:eastAsia="en-IN"/>
              </w:rPr>
              <w:t>14</w:t>
            </w:r>
          </w:p>
        </w:tc>
        <w:tc>
          <w:tcPr>
            <w:tcW w:w="1393" w:type="pct"/>
            <w:tcBorders>
              <w:top w:val="nil"/>
              <w:left w:val="single" w:sz="8" w:space="0" w:color="auto"/>
              <w:bottom w:val="single" w:sz="4" w:space="0" w:color="auto"/>
              <w:right w:val="single" w:sz="8" w:space="0" w:color="auto"/>
            </w:tcBorders>
            <w:vAlign w:val="center"/>
            <w:hideMark/>
          </w:tcPr>
          <w:p w14:paraId="335ADD88" w14:textId="77777777" w:rsidR="00E722EE" w:rsidRPr="007E3F0F" w:rsidRDefault="00E722EE" w:rsidP="006B3D70">
            <w:pPr>
              <w:spacing w:after="0" w:line="360" w:lineRule="auto"/>
              <w:jc w:val="right"/>
              <w:rPr>
                <w:rFonts w:eastAsia="Times New Roman" w:cs="Times New Roman"/>
                <w:color w:val="000000"/>
                <w:szCs w:val="24"/>
                <w:lang w:val="en-IN" w:eastAsia="en-IN"/>
              </w:rPr>
            </w:pPr>
            <w:r w:rsidRPr="007E3F0F">
              <w:rPr>
                <w:rFonts w:eastAsia="Times New Roman" w:cs="Times New Roman"/>
                <w:color w:val="000000"/>
                <w:szCs w:val="24"/>
                <w:lang w:val="en-IN" w:eastAsia="en-IN"/>
              </w:rPr>
              <w:t>6.5</w:t>
            </w:r>
          </w:p>
        </w:tc>
        <w:tc>
          <w:tcPr>
            <w:tcW w:w="1817" w:type="pct"/>
            <w:tcBorders>
              <w:top w:val="nil"/>
              <w:left w:val="nil"/>
              <w:bottom w:val="single" w:sz="4" w:space="0" w:color="auto"/>
              <w:right w:val="nil"/>
            </w:tcBorders>
            <w:vAlign w:val="center"/>
            <w:hideMark/>
          </w:tcPr>
          <w:p w14:paraId="3FF16F44" w14:textId="77777777" w:rsidR="00E722EE" w:rsidRPr="007E3F0F" w:rsidRDefault="00E722EE" w:rsidP="006B3D70">
            <w:pPr>
              <w:spacing w:after="0" w:line="360" w:lineRule="auto"/>
              <w:jc w:val="right"/>
              <w:rPr>
                <w:rFonts w:eastAsia="Times New Roman" w:cs="Times New Roman"/>
                <w:color w:val="000000"/>
                <w:szCs w:val="24"/>
                <w:lang w:val="en-IN" w:eastAsia="en-IN"/>
              </w:rPr>
            </w:pPr>
            <w:r w:rsidRPr="007E3F0F">
              <w:rPr>
                <w:rFonts w:eastAsia="Times New Roman" w:cs="Times New Roman"/>
                <w:color w:val="000000"/>
                <w:szCs w:val="24"/>
                <w:lang w:val="en-IN" w:eastAsia="en-IN"/>
              </w:rPr>
              <w:t>0.2992</w:t>
            </w:r>
          </w:p>
        </w:tc>
        <w:tc>
          <w:tcPr>
            <w:tcW w:w="813" w:type="pct"/>
            <w:tcBorders>
              <w:top w:val="nil"/>
              <w:left w:val="single" w:sz="8" w:space="0" w:color="auto"/>
              <w:bottom w:val="single" w:sz="4" w:space="0" w:color="auto"/>
              <w:right w:val="single" w:sz="8" w:space="0" w:color="auto"/>
            </w:tcBorders>
            <w:vAlign w:val="center"/>
            <w:hideMark/>
          </w:tcPr>
          <w:p w14:paraId="2C465AC5" w14:textId="77777777" w:rsidR="00E722EE" w:rsidRPr="007E3F0F" w:rsidRDefault="00E722EE" w:rsidP="006B3D70">
            <w:pPr>
              <w:spacing w:after="0" w:line="360" w:lineRule="auto"/>
              <w:jc w:val="right"/>
              <w:rPr>
                <w:rFonts w:eastAsia="Times New Roman" w:cs="Times New Roman"/>
                <w:color w:val="000000"/>
                <w:szCs w:val="24"/>
                <w:lang w:val="en-IN" w:eastAsia="en-IN"/>
              </w:rPr>
            </w:pPr>
            <w:r w:rsidRPr="007E3F0F">
              <w:rPr>
                <w:rFonts w:eastAsia="Times New Roman" w:cs="Times New Roman"/>
                <w:color w:val="000000"/>
                <w:szCs w:val="24"/>
                <w:lang w:val="en-IN" w:eastAsia="en-IN"/>
              </w:rPr>
              <w:t>1.9451</w:t>
            </w:r>
          </w:p>
        </w:tc>
      </w:tr>
      <w:tr w:rsidR="00E722EE" w:rsidRPr="007E3F0F" w14:paraId="3DEA551B" w14:textId="77777777" w:rsidTr="006B3D70">
        <w:trPr>
          <w:trHeight w:val="300"/>
        </w:trPr>
        <w:tc>
          <w:tcPr>
            <w:tcW w:w="976" w:type="pct"/>
            <w:tcBorders>
              <w:top w:val="nil"/>
              <w:left w:val="single" w:sz="8" w:space="0" w:color="auto"/>
              <w:bottom w:val="single" w:sz="8" w:space="0" w:color="auto"/>
              <w:right w:val="nil"/>
            </w:tcBorders>
            <w:vAlign w:val="center"/>
            <w:hideMark/>
          </w:tcPr>
          <w:p w14:paraId="1DAB500F" w14:textId="77777777" w:rsidR="00E722EE" w:rsidRPr="007E3F0F" w:rsidRDefault="00E722EE" w:rsidP="006B3D70">
            <w:pPr>
              <w:spacing w:after="0" w:line="360" w:lineRule="auto"/>
              <w:jc w:val="right"/>
              <w:rPr>
                <w:rFonts w:eastAsia="Times New Roman" w:cs="Times New Roman"/>
                <w:color w:val="000000"/>
                <w:szCs w:val="24"/>
                <w:lang w:val="en-IN" w:eastAsia="en-IN"/>
              </w:rPr>
            </w:pPr>
            <w:r w:rsidRPr="007E3F0F">
              <w:rPr>
                <w:rFonts w:eastAsia="Times New Roman" w:cs="Times New Roman"/>
                <w:color w:val="000000"/>
                <w:szCs w:val="24"/>
                <w:lang w:val="en-IN" w:eastAsia="en-IN"/>
              </w:rPr>
              <w:t>15</w:t>
            </w:r>
          </w:p>
        </w:tc>
        <w:tc>
          <w:tcPr>
            <w:tcW w:w="1393" w:type="pct"/>
            <w:tcBorders>
              <w:top w:val="nil"/>
              <w:left w:val="single" w:sz="8" w:space="0" w:color="auto"/>
              <w:bottom w:val="single" w:sz="8" w:space="0" w:color="auto"/>
              <w:right w:val="single" w:sz="8" w:space="0" w:color="auto"/>
            </w:tcBorders>
            <w:vAlign w:val="center"/>
            <w:hideMark/>
          </w:tcPr>
          <w:p w14:paraId="502B0FD0" w14:textId="77777777" w:rsidR="00E722EE" w:rsidRPr="007E3F0F" w:rsidRDefault="00E722EE" w:rsidP="006B3D70">
            <w:pPr>
              <w:spacing w:after="0" w:line="360" w:lineRule="auto"/>
              <w:jc w:val="right"/>
              <w:rPr>
                <w:rFonts w:eastAsia="Times New Roman" w:cs="Times New Roman"/>
                <w:color w:val="000000"/>
                <w:szCs w:val="24"/>
                <w:lang w:val="en-IN" w:eastAsia="en-IN"/>
              </w:rPr>
            </w:pPr>
            <w:r w:rsidRPr="007E3F0F">
              <w:rPr>
                <w:rFonts w:eastAsia="Times New Roman" w:cs="Times New Roman"/>
                <w:color w:val="000000"/>
                <w:szCs w:val="24"/>
                <w:lang w:val="en-IN" w:eastAsia="en-IN"/>
              </w:rPr>
              <w:t>6.5</w:t>
            </w:r>
          </w:p>
        </w:tc>
        <w:tc>
          <w:tcPr>
            <w:tcW w:w="1817" w:type="pct"/>
            <w:tcBorders>
              <w:top w:val="nil"/>
              <w:left w:val="nil"/>
              <w:bottom w:val="single" w:sz="8" w:space="0" w:color="auto"/>
              <w:right w:val="nil"/>
            </w:tcBorders>
            <w:vAlign w:val="center"/>
            <w:hideMark/>
          </w:tcPr>
          <w:p w14:paraId="1F0A7987" w14:textId="77777777" w:rsidR="00E722EE" w:rsidRPr="007E3F0F" w:rsidRDefault="00E722EE" w:rsidP="006B3D70">
            <w:pPr>
              <w:spacing w:after="0" w:line="360" w:lineRule="auto"/>
              <w:jc w:val="right"/>
              <w:rPr>
                <w:rFonts w:eastAsia="Times New Roman" w:cs="Times New Roman"/>
                <w:color w:val="000000"/>
                <w:szCs w:val="24"/>
                <w:lang w:val="en-IN" w:eastAsia="en-IN"/>
              </w:rPr>
            </w:pPr>
            <w:r w:rsidRPr="007E3F0F">
              <w:rPr>
                <w:rFonts w:eastAsia="Times New Roman" w:cs="Times New Roman"/>
                <w:color w:val="000000"/>
                <w:szCs w:val="24"/>
                <w:lang w:val="en-IN" w:eastAsia="en-IN"/>
              </w:rPr>
              <w:t>0.2745</w:t>
            </w:r>
          </w:p>
        </w:tc>
        <w:tc>
          <w:tcPr>
            <w:tcW w:w="813" w:type="pct"/>
            <w:tcBorders>
              <w:top w:val="nil"/>
              <w:left w:val="single" w:sz="8" w:space="0" w:color="auto"/>
              <w:bottom w:val="single" w:sz="8" w:space="0" w:color="auto"/>
              <w:right w:val="single" w:sz="8" w:space="0" w:color="auto"/>
            </w:tcBorders>
            <w:vAlign w:val="center"/>
            <w:hideMark/>
          </w:tcPr>
          <w:p w14:paraId="6FE4F726" w14:textId="77777777" w:rsidR="00E722EE" w:rsidRPr="007E3F0F" w:rsidRDefault="00E722EE" w:rsidP="006B3D70">
            <w:pPr>
              <w:spacing w:after="0" w:line="360" w:lineRule="auto"/>
              <w:jc w:val="right"/>
              <w:rPr>
                <w:rFonts w:eastAsia="Times New Roman" w:cs="Times New Roman"/>
                <w:color w:val="000000"/>
                <w:szCs w:val="24"/>
                <w:lang w:val="en-IN" w:eastAsia="en-IN"/>
              </w:rPr>
            </w:pPr>
            <w:r w:rsidRPr="007E3F0F">
              <w:rPr>
                <w:rFonts w:eastAsia="Times New Roman" w:cs="Times New Roman"/>
                <w:color w:val="000000"/>
                <w:szCs w:val="24"/>
                <w:lang w:val="en-IN" w:eastAsia="en-IN"/>
              </w:rPr>
              <w:t>1.7845</w:t>
            </w:r>
          </w:p>
        </w:tc>
      </w:tr>
      <w:tr w:rsidR="00E722EE" w:rsidRPr="007E3F0F" w14:paraId="0578FBF6" w14:textId="77777777" w:rsidTr="006B3D70">
        <w:trPr>
          <w:trHeight w:val="300"/>
        </w:trPr>
        <w:tc>
          <w:tcPr>
            <w:tcW w:w="976" w:type="pct"/>
            <w:tcBorders>
              <w:top w:val="nil"/>
              <w:left w:val="single" w:sz="8" w:space="0" w:color="auto"/>
              <w:bottom w:val="single" w:sz="8" w:space="0" w:color="auto"/>
              <w:right w:val="single" w:sz="8" w:space="0" w:color="auto"/>
            </w:tcBorders>
            <w:noWrap/>
            <w:vAlign w:val="bottom"/>
            <w:hideMark/>
          </w:tcPr>
          <w:p w14:paraId="61CFC0A7" w14:textId="77777777" w:rsidR="00E722EE" w:rsidRPr="007E3F0F" w:rsidRDefault="00E722EE" w:rsidP="006B3D70">
            <w:pPr>
              <w:spacing w:after="0" w:line="360" w:lineRule="auto"/>
              <w:rPr>
                <w:rFonts w:eastAsia="Times New Roman" w:cs="Times New Roman"/>
                <w:color w:val="000000"/>
                <w:szCs w:val="24"/>
                <w:lang w:val="en-IN" w:eastAsia="en-IN"/>
              </w:rPr>
            </w:pPr>
            <w:r w:rsidRPr="007E3F0F">
              <w:rPr>
                <w:rFonts w:eastAsia="Times New Roman" w:cs="Times New Roman"/>
                <w:color w:val="000000"/>
                <w:szCs w:val="24"/>
                <w:lang w:val="en-IN" w:eastAsia="en-IN"/>
              </w:rPr>
              <w:t>NPV</w:t>
            </w:r>
          </w:p>
        </w:tc>
        <w:tc>
          <w:tcPr>
            <w:tcW w:w="4024" w:type="pct"/>
            <w:gridSpan w:val="3"/>
            <w:tcBorders>
              <w:top w:val="single" w:sz="8" w:space="0" w:color="auto"/>
              <w:left w:val="nil"/>
              <w:bottom w:val="nil"/>
              <w:right w:val="single" w:sz="8" w:space="0" w:color="000000"/>
            </w:tcBorders>
            <w:noWrap/>
            <w:vAlign w:val="bottom"/>
            <w:hideMark/>
          </w:tcPr>
          <w:p w14:paraId="7A1EAA52" w14:textId="77777777" w:rsidR="00E722EE" w:rsidRPr="007E3F0F" w:rsidRDefault="00E722EE" w:rsidP="006B3D70">
            <w:pPr>
              <w:spacing w:after="0" w:line="360" w:lineRule="auto"/>
              <w:jc w:val="center"/>
              <w:rPr>
                <w:rFonts w:eastAsia="Times New Roman" w:cs="Times New Roman"/>
                <w:color w:val="000000"/>
                <w:szCs w:val="24"/>
                <w:lang w:val="en-IN" w:eastAsia="en-IN"/>
              </w:rPr>
            </w:pPr>
            <w:r w:rsidRPr="007E3F0F">
              <w:rPr>
                <w:rFonts w:eastAsia="Times New Roman" w:cs="Times New Roman"/>
                <w:color w:val="000000"/>
                <w:szCs w:val="24"/>
                <w:lang w:val="en-IN" w:eastAsia="en-IN"/>
              </w:rPr>
              <w:t>Sum of all the PV - Initial Investment</w:t>
            </w:r>
          </w:p>
        </w:tc>
      </w:tr>
      <w:tr w:rsidR="00E722EE" w:rsidRPr="007E3F0F" w14:paraId="79BE460E" w14:textId="77777777" w:rsidTr="006B3D70">
        <w:trPr>
          <w:trHeight w:val="300"/>
        </w:trPr>
        <w:tc>
          <w:tcPr>
            <w:tcW w:w="976" w:type="pct"/>
            <w:tcBorders>
              <w:top w:val="nil"/>
              <w:left w:val="single" w:sz="8" w:space="0" w:color="auto"/>
              <w:bottom w:val="single" w:sz="8" w:space="0" w:color="auto"/>
              <w:right w:val="nil"/>
            </w:tcBorders>
            <w:noWrap/>
            <w:vAlign w:val="bottom"/>
            <w:hideMark/>
          </w:tcPr>
          <w:p w14:paraId="0D66BCB3" w14:textId="77777777" w:rsidR="00E722EE" w:rsidRPr="007E3F0F" w:rsidRDefault="00E722EE" w:rsidP="006B3D70">
            <w:pPr>
              <w:spacing w:after="0" w:line="360" w:lineRule="auto"/>
              <w:rPr>
                <w:rFonts w:eastAsia="Times New Roman" w:cs="Times New Roman"/>
                <w:color w:val="000000"/>
                <w:szCs w:val="24"/>
                <w:lang w:val="en-IN" w:eastAsia="en-IN"/>
              </w:rPr>
            </w:pPr>
            <w:r w:rsidRPr="007E3F0F">
              <w:rPr>
                <w:rFonts w:eastAsia="Times New Roman" w:cs="Times New Roman"/>
                <w:color w:val="000000"/>
                <w:szCs w:val="24"/>
                <w:lang w:val="en-IN" w:eastAsia="en-IN"/>
              </w:rPr>
              <w:t>Sum of PV</w:t>
            </w:r>
          </w:p>
        </w:tc>
        <w:tc>
          <w:tcPr>
            <w:tcW w:w="4024" w:type="pct"/>
            <w:gridSpan w:val="3"/>
            <w:tcBorders>
              <w:top w:val="single" w:sz="8" w:space="0" w:color="auto"/>
              <w:left w:val="single" w:sz="8" w:space="0" w:color="auto"/>
              <w:bottom w:val="single" w:sz="8" w:space="0" w:color="auto"/>
              <w:right w:val="single" w:sz="8" w:space="0" w:color="000000"/>
            </w:tcBorders>
            <w:noWrap/>
            <w:vAlign w:val="bottom"/>
            <w:hideMark/>
          </w:tcPr>
          <w:p w14:paraId="3961D893" w14:textId="77777777" w:rsidR="00E722EE" w:rsidRPr="007E3F0F" w:rsidRDefault="00E722EE" w:rsidP="006B3D70">
            <w:pPr>
              <w:spacing w:after="0" w:line="360" w:lineRule="auto"/>
              <w:jc w:val="center"/>
              <w:rPr>
                <w:rFonts w:eastAsia="Times New Roman" w:cs="Times New Roman"/>
                <w:color w:val="000000"/>
                <w:szCs w:val="24"/>
                <w:lang w:val="en-IN" w:eastAsia="en-IN"/>
              </w:rPr>
            </w:pPr>
            <w:r w:rsidRPr="007E3F0F">
              <w:rPr>
                <w:rFonts w:eastAsia="Times New Roman" w:cs="Times New Roman"/>
                <w:color w:val="000000"/>
                <w:szCs w:val="24"/>
                <w:lang w:val="en-IN" w:eastAsia="en-IN"/>
              </w:rPr>
              <w:t>52.3945</w:t>
            </w:r>
          </w:p>
        </w:tc>
      </w:tr>
      <w:tr w:rsidR="00E722EE" w:rsidRPr="007E3F0F" w14:paraId="166CF5A6" w14:textId="77777777" w:rsidTr="006B3D70">
        <w:trPr>
          <w:trHeight w:val="300"/>
        </w:trPr>
        <w:tc>
          <w:tcPr>
            <w:tcW w:w="976" w:type="pct"/>
            <w:tcBorders>
              <w:top w:val="nil"/>
              <w:left w:val="single" w:sz="8" w:space="0" w:color="auto"/>
              <w:bottom w:val="single" w:sz="8" w:space="0" w:color="auto"/>
              <w:right w:val="nil"/>
            </w:tcBorders>
            <w:noWrap/>
            <w:vAlign w:val="bottom"/>
            <w:hideMark/>
          </w:tcPr>
          <w:p w14:paraId="1392924E" w14:textId="77777777" w:rsidR="00E722EE" w:rsidRPr="007E3F0F" w:rsidRDefault="00E722EE" w:rsidP="006B3D70">
            <w:pPr>
              <w:spacing w:after="0" w:line="360" w:lineRule="auto"/>
              <w:rPr>
                <w:rFonts w:eastAsia="Times New Roman" w:cs="Times New Roman"/>
                <w:b/>
                <w:bCs/>
                <w:color w:val="000000"/>
                <w:szCs w:val="24"/>
                <w:lang w:val="en-IN" w:eastAsia="en-IN"/>
              </w:rPr>
            </w:pPr>
            <w:r w:rsidRPr="007E3F0F">
              <w:rPr>
                <w:rFonts w:eastAsia="Times New Roman" w:cs="Times New Roman"/>
                <w:b/>
                <w:bCs/>
                <w:color w:val="000000"/>
                <w:szCs w:val="24"/>
                <w:lang w:val="en-IN" w:eastAsia="en-IN"/>
              </w:rPr>
              <w:t>NPV</w:t>
            </w:r>
          </w:p>
        </w:tc>
        <w:tc>
          <w:tcPr>
            <w:tcW w:w="4024" w:type="pct"/>
            <w:gridSpan w:val="3"/>
            <w:tcBorders>
              <w:top w:val="single" w:sz="8" w:space="0" w:color="auto"/>
              <w:left w:val="single" w:sz="8" w:space="0" w:color="auto"/>
              <w:bottom w:val="single" w:sz="8" w:space="0" w:color="auto"/>
              <w:right w:val="single" w:sz="8" w:space="0" w:color="000000"/>
            </w:tcBorders>
            <w:noWrap/>
            <w:vAlign w:val="bottom"/>
            <w:hideMark/>
          </w:tcPr>
          <w:p w14:paraId="790380B1" w14:textId="77777777" w:rsidR="00E722EE" w:rsidRPr="007E3F0F" w:rsidRDefault="00E722EE" w:rsidP="006B3D70">
            <w:pPr>
              <w:spacing w:after="0" w:line="360" w:lineRule="auto"/>
              <w:jc w:val="center"/>
              <w:rPr>
                <w:rFonts w:eastAsia="Times New Roman" w:cs="Times New Roman"/>
                <w:b/>
                <w:bCs/>
                <w:color w:val="000000"/>
                <w:szCs w:val="24"/>
                <w:lang w:val="en-IN" w:eastAsia="en-IN"/>
              </w:rPr>
            </w:pPr>
            <w:r w:rsidRPr="007E3F0F">
              <w:rPr>
                <w:rFonts w:eastAsia="Times New Roman" w:cs="Times New Roman"/>
                <w:b/>
                <w:bCs/>
                <w:color w:val="000000"/>
                <w:szCs w:val="24"/>
                <w:lang w:val="en-IN" w:eastAsia="en-IN"/>
              </w:rPr>
              <w:t>2.4</w:t>
            </w:r>
          </w:p>
        </w:tc>
      </w:tr>
    </w:tbl>
    <w:p w14:paraId="56F879AB" w14:textId="77777777" w:rsidR="00E722EE" w:rsidRDefault="00E722EE"/>
    <w:p w14:paraId="7E8608CC" w14:textId="77777777" w:rsidR="00396A84" w:rsidRDefault="00396A84"/>
    <w:p w14:paraId="2A8C82B7" w14:textId="77777777" w:rsidR="0031743F" w:rsidRDefault="0031743F"/>
    <w:p w14:paraId="106E54E3" w14:textId="77777777" w:rsidR="0031743F" w:rsidRDefault="0031743F"/>
    <w:p w14:paraId="6F2B72EA" w14:textId="77777777" w:rsidR="0031743F" w:rsidRDefault="0031743F"/>
    <w:p w14:paraId="5EE081DC" w14:textId="7BD78BD8" w:rsidR="00396A84" w:rsidRPr="0031743F" w:rsidRDefault="004A2B2F" w:rsidP="00396A84">
      <w:pPr>
        <w:rPr>
          <w:rFonts w:ascii="Times New Roman" w:hAnsi="Times New Roman" w:cs="Times New Roman"/>
          <w:sz w:val="28"/>
          <w:szCs w:val="28"/>
        </w:rPr>
      </w:pPr>
      <w:r w:rsidRPr="0031743F">
        <w:rPr>
          <w:rFonts w:ascii="Times New Roman" w:hAnsi="Times New Roman" w:cs="Times New Roman"/>
          <w:sz w:val="24"/>
          <w:szCs w:val="24"/>
        </w:rPr>
        <w:lastRenderedPageBreak/>
        <w:t>This result indicates that</w:t>
      </w:r>
      <w:r w:rsidR="0031743F">
        <w:rPr>
          <w:rFonts w:ascii="Times New Roman" w:hAnsi="Times New Roman" w:cs="Times New Roman"/>
          <w:sz w:val="28"/>
          <w:szCs w:val="28"/>
        </w:rPr>
        <w:t xml:space="preserve"> </w:t>
      </w:r>
      <w:r w:rsidR="0031743F">
        <w:rPr>
          <w:rFonts w:ascii="Times New Roman" w:hAnsi="Times New Roman" w:cs="Times New Roman"/>
          <w:sz w:val="24"/>
          <w:szCs w:val="24"/>
        </w:rPr>
        <w:t>a</w:t>
      </w:r>
      <w:r w:rsidR="00396A84" w:rsidRPr="0031743F">
        <w:rPr>
          <w:rFonts w:ascii="Times New Roman" w:hAnsi="Times New Roman" w:cs="Times New Roman"/>
          <w:sz w:val="24"/>
          <w:szCs w:val="24"/>
        </w:rPr>
        <w:t xml:space="preserve">lthough the Net Present Value (NPV) is positive at approximately £2.4 million, this represents a </w:t>
      </w:r>
      <w:r w:rsidR="002A3E79" w:rsidRPr="0031743F">
        <w:rPr>
          <w:rFonts w:ascii="Times New Roman" w:hAnsi="Times New Roman" w:cs="Times New Roman"/>
          <w:sz w:val="24"/>
          <w:szCs w:val="24"/>
        </w:rPr>
        <w:t>small</w:t>
      </w:r>
      <w:r w:rsidR="00396A84" w:rsidRPr="0031743F">
        <w:rPr>
          <w:rFonts w:ascii="Times New Roman" w:hAnsi="Times New Roman" w:cs="Times New Roman"/>
          <w:sz w:val="24"/>
          <w:szCs w:val="24"/>
        </w:rPr>
        <w:t xml:space="preserve"> surplus compared to the £50 million initial investment, indicating limited value creation.</w:t>
      </w:r>
    </w:p>
    <w:p w14:paraId="65E2BCD8" w14:textId="77777777" w:rsidR="00396A84" w:rsidRPr="0031743F" w:rsidRDefault="00396A84" w:rsidP="00396A84">
      <w:pPr>
        <w:rPr>
          <w:rFonts w:ascii="Times New Roman" w:hAnsi="Times New Roman" w:cs="Times New Roman"/>
          <w:sz w:val="24"/>
          <w:szCs w:val="24"/>
        </w:rPr>
      </w:pPr>
      <w:r w:rsidRPr="0031743F">
        <w:rPr>
          <w:rFonts w:ascii="Times New Roman" w:hAnsi="Times New Roman" w:cs="Times New Roman"/>
          <w:sz w:val="24"/>
          <w:szCs w:val="24"/>
        </w:rPr>
        <w:t>From a capital budgeting perspective, NPV is widely regarded as the most reliable investment appraisal technique, as it incorporates the time value of money and provides a direct measure of value generation (Wang, 2021). However, the marginal NPV suggests that the project offers only a minimal return above the required rate, raising concerns regarding its ability to absorb potential cost overruns or revenue shortfalls.</w:t>
      </w:r>
    </w:p>
    <w:p w14:paraId="4673A833" w14:textId="77777777" w:rsidR="00396A84" w:rsidRPr="0031743F" w:rsidRDefault="00396A84" w:rsidP="00396A84">
      <w:pPr>
        <w:rPr>
          <w:rFonts w:ascii="Times New Roman" w:hAnsi="Times New Roman" w:cs="Times New Roman"/>
          <w:sz w:val="24"/>
          <w:szCs w:val="24"/>
        </w:rPr>
      </w:pPr>
      <w:r w:rsidRPr="0031743F">
        <w:rPr>
          <w:rFonts w:ascii="Times New Roman" w:hAnsi="Times New Roman" w:cs="Times New Roman"/>
          <w:sz w:val="24"/>
          <w:szCs w:val="24"/>
        </w:rPr>
        <w:t>From a strategic standpoint, such a limited financial margin may not sufficiently justify the scale and risk of the investment, particularly when alternative opportunities may offer stronger risk-adjusted returns.</w:t>
      </w:r>
    </w:p>
    <w:p w14:paraId="443AC6BE" w14:textId="77777777" w:rsidR="00396A84" w:rsidRPr="0031743F" w:rsidRDefault="00396A84" w:rsidP="00396A84">
      <w:pPr>
        <w:rPr>
          <w:rFonts w:ascii="Times New Roman" w:hAnsi="Times New Roman" w:cs="Times New Roman"/>
          <w:sz w:val="24"/>
          <w:szCs w:val="24"/>
        </w:rPr>
      </w:pPr>
    </w:p>
    <w:p w14:paraId="23279C5D" w14:textId="77777777" w:rsidR="00396A84" w:rsidRPr="0031743F" w:rsidRDefault="00396A84" w:rsidP="00396A84">
      <w:pPr>
        <w:rPr>
          <w:rFonts w:ascii="Times New Roman" w:hAnsi="Times New Roman" w:cs="Times New Roman"/>
          <w:b/>
          <w:bCs/>
          <w:sz w:val="24"/>
          <w:szCs w:val="24"/>
        </w:rPr>
      </w:pPr>
      <w:r w:rsidRPr="0031743F">
        <w:rPr>
          <w:rFonts w:ascii="Times New Roman" w:hAnsi="Times New Roman" w:cs="Times New Roman"/>
          <w:b/>
          <w:bCs/>
          <w:sz w:val="24"/>
          <w:szCs w:val="24"/>
        </w:rPr>
        <w:t>Internal Rate of Return (IRR)</w:t>
      </w:r>
    </w:p>
    <w:p w14:paraId="41A653D5" w14:textId="77777777" w:rsidR="00396A84" w:rsidRPr="0031743F" w:rsidRDefault="00396A84" w:rsidP="00396A84">
      <w:pPr>
        <w:rPr>
          <w:rFonts w:ascii="Times New Roman" w:hAnsi="Times New Roman" w:cs="Times New Roman"/>
          <w:sz w:val="24"/>
          <w:szCs w:val="24"/>
        </w:rPr>
      </w:pPr>
      <w:r w:rsidRPr="0031743F">
        <w:rPr>
          <w:rFonts w:ascii="Times New Roman" w:hAnsi="Times New Roman" w:cs="Times New Roman"/>
          <w:sz w:val="24"/>
          <w:szCs w:val="24"/>
        </w:rPr>
        <w:t>IRR represents the discount rate at which NPV equals zero (Wang, 2021).</w:t>
      </w:r>
    </w:p>
    <w:p w14:paraId="24EAE720" w14:textId="77777777" w:rsidR="00396A84" w:rsidRPr="0031743F" w:rsidRDefault="00396A84" w:rsidP="00396A84">
      <w:pPr>
        <w:rPr>
          <w:rFonts w:ascii="Times New Roman" w:hAnsi="Times New Roman" w:cs="Times New Roman"/>
          <w:sz w:val="24"/>
          <w:szCs w:val="24"/>
        </w:rPr>
      </w:pPr>
      <w:r w:rsidRPr="0031743F">
        <w:rPr>
          <w:rFonts w:ascii="Times New Roman" w:hAnsi="Times New Roman" w:cs="Times New Roman"/>
          <w:sz w:val="24"/>
          <w:szCs w:val="24"/>
        </w:rPr>
        <w:t>IRR = 9.8%</w:t>
      </w:r>
    </w:p>
    <w:p w14:paraId="36C20D13" w14:textId="77777777" w:rsidR="00396A84" w:rsidRPr="0031743F" w:rsidRDefault="00396A84" w:rsidP="00396A84">
      <w:pPr>
        <w:rPr>
          <w:rFonts w:ascii="Times New Roman" w:hAnsi="Times New Roman" w:cs="Times New Roman"/>
          <w:b/>
          <w:bCs/>
          <w:sz w:val="24"/>
          <w:szCs w:val="24"/>
        </w:rPr>
      </w:pPr>
    </w:p>
    <w:p w14:paraId="09324AE9" w14:textId="1B97530E" w:rsidR="00396A84" w:rsidRPr="0031743F" w:rsidRDefault="00396A84" w:rsidP="00396A84">
      <w:pPr>
        <w:rPr>
          <w:rFonts w:ascii="Times New Roman" w:hAnsi="Times New Roman" w:cs="Times New Roman"/>
          <w:sz w:val="24"/>
          <w:szCs w:val="24"/>
        </w:rPr>
      </w:pPr>
      <w:r w:rsidRPr="0031743F">
        <w:rPr>
          <w:rFonts w:ascii="Times New Roman" w:hAnsi="Times New Roman" w:cs="Times New Roman"/>
          <w:sz w:val="24"/>
          <w:szCs w:val="24"/>
        </w:rPr>
        <w:t xml:space="preserve">The Internal Rate of Return (IRR) of 9.8% exceeds the project’s cost of capital (9%), indicating that the investment is financially acceptable. However, the </w:t>
      </w:r>
      <w:r w:rsidR="002A3E79" w:rsidRPr="0031743F">
        <w:rPr>
          <w:rFonts w:ascii="Times New Roman" w:hAnsi="Times New Roman" w:cs="Times New Roman"/>
          <w:sz w:val="24"/>
          <w:szCs w:val="24"/>
        </w:rPr>
        <w:t>narrow</w:t>
      </w:r>
      <w:r w:rsidRPr="0031743F">
        <w:rPr>
          <w:rFonts w:ascii="Times New Roman" w:hAnsi="Times New Roman" w:cs="Times New Roman"/>
          <w:sz w:val="24"/>
          <w:szCs w:val="24"/>
        </w:rPr>
        <w:t xml:space="preserve"> margin between IRR and WACC suggests limited excess return relative to the level of risk undertaken.</w:t>
      </w:r>
    </w:p>
    <w:p w14:paraId="69707B53" w14:textId="77777777" w:rsidR="00396A84" w:rsidRPr="0031743F" w:rsidRDefault="00396A84" w:rsidP="00396A84">
      <w:pPr>
        <w:rPr>
          <w:rFonts w:ascii="Times New Roman" w:hAnsi="Times New Roman" w:cs="Times New Roman"/>
          <w:sz w:val="24"/>
          <w:szCs w:val="24"/>
        </w:rPr>
      </w:pPr>
      <w:r w:rsidRPr="0031743F">
        <w:rPr>
          <w:rFonts w:ascii="Times New Roman" w:hAnsi="Times New Roman" w:cs="Times New Roman"/>
          <w:sz w:val="24"/>
          <w:szCs w:val="24"/>
        </w:rPr>
        <w:t>Furthermore, while IRR is a widely used performance metric, it does not measure absolute value creation and may therefore present an incomplete picture when used in isolation. Consequently, the IRR result should be interpreted alongside NPV to provide a more comprehensive assessment of financial viability.</w:t>
      </w:r>
    </w:p>
    <w:p w14:paraId="39F061AE" w14:textId="77777777" w:rsidR="00396A84" w:rsidRPr="0031743F" w:rsidRDefault="00396A84" w:rsidP="00396A84">
      <w:pPr>
        <w:rPr>
          <w:rFonts w:ascii="Times New Roman" w:hAnsi="Times New Roman" w:cs="Times New Roman"/>
          <w:sz w:val="24"/>
          <w:szCs w:val="24"/>
        </w:rPr>
      </w:pPr>
    </w:p>
    <w:p w14:paraId="1E32AA07" w14:textId="77777777" w:rsidR="00396A84" w:rsidRPr="0031743F" w:rsidRDefault="00396A84" w:rsidP="00396A84">
      <w:pPr>
        <w:rPr>
          <w:rFonts w:ascii="Times New Roman" w:hAnsi="Times New Roman" w:cs="Times New Roman"/>
          <w:b/>
          <w:bCs/>
          <w:sz w:val="24"/>
          <w:szCs w:val="24"/>
        </w:rPr>
      </w:pPr>
      <w:r w:rsidRPr="0031743F">
        <w:rPr>
          <w:rFonts w:ascii="Times New Roman" w:hAnsi="Times New Roman" w:cs="Times New Roman"/>
          <w:b/>
          <w:bCs/>
          <w:sz w:val="24"/>
          <w:szCs w:val="24"/>
        </w:rPr>
        <w:t>Payback Period</w:t>
      </w:r>
    </w:p>
    <w:p w14:paraId="18B19D72" w14:textId="77777777" w:rsidR="00396A84" w:rsidRPr="0031743F" w:rsidRDefault="00396A84" w:rsidP="00396A84">
      <w:pPr>
        <w:rPr>
          <w:rFonts w:ascii="Times New Roman" w:hAnsi="Times New Roman" w:cs="Times New Roman"/>
          <w:sz w:val="24"/>
          <w:szCs w:val="24"/>
        </w:rPr>
      </w:pPr>
      <w:r w:rsidRPr="0031743F">
        <w:rPr>
          <w:rFonts w:ascii="Times New Roman" w:hAnsi="Times New Roman" w:cs="Times New Roman"/>
          <w:sz w:val="24"/>
          <w:szCs w:val="24"/>
        </w:rPr>
        <w:t>Payback period measures the time required to recover the initial investment (Baindu Gobio-Thomas et al., 2023).</w:t>
      </w:r>
    </w:p>
    <w:p w14:paraId="70F1DC27" w14:textId="77777777" w:rsidR="00396A84" w:rsidRPr="0031743F" w:rsidRDefault="00396A84" w:rsidP="00396A84">
      <w:pPr>
        <w:rPr>
          <w:rFonts w:ascii="Times New Roman" w:hAnsi="Times New Roman" w:cs="Times New Roman"/>
          <w:sz w:val="24"/>
          <w:szCs w:val="24"/>
        </w:rPr>
      </w:pPr>
      <w:r w:rsidRPr="0031743F">
        <w:rPr>
          <w:rFonts w:ascii="Times New Roman" w:hAnsi="Times New Roman" w:cs="Times New Roman"/>
          <w:sz w:val="24"/>
          <w:szCs w:val="24"/>
        </w:rPr>
        <w:t>Payback Period = 7.7 years</w:t>
      </w:r>
    </w:p>
    <w:p w14:paraId="69A640B3" w14:textId="680DDEFF" w:rsidR="00396A84" w:rsidRPr="0031743F" w:rsidRDefault="00396A84" w:rsidP="00396A84">
      <w:pPr>
        <w:rPr>
          <w:rFonts w:ascii="Times New Roman" w:hAnsi="Times New Roman" w:cs="Times New Roman"/>
          <w:sz w:val="24"/>
          <w:szCs w:val="24"/>
        </w:rPr>
      </w:pPr>
      <w:r w:rsidRPr="0031743F">
        <w:rPr>
          <w:rFonts w:ascii="Times New Roman" w:hAnsi="Times New Roman" w:cs="Times New Roman"/>
          <w:sz w:val="24"/>
          <w:szCs w:val="24"/>
        </w:rPr>
        <w:t>The payback period of approximately 7.7 years indicates that the project recovers its initial investment within the first half of its lifecycle, suggesting moderate liquidity risk. However, the method does not account for the time value of money or cash flows generated beyond the payback period, limiting its effectiveness as a measure of overall profitability.</w:t>
      </w:r>
    </w:p>
    <w:p w14:paraId="2A0D1148" w14:textId="77777777" w:rsidR="00396A84" w:rsidRPr="0031743F" w:rsidRDefault="00396A84" w:rsidP="00396A84">
      <w:pPr>
        <w:rPr>
          <w:rFonts w:ascii="Times New Roman" w:hAnsi="Times New Roman" w:cs="Times New Roman"/>
          <w:sz w:val="24"/>
          <w:szCs w:val="24"/>
        </w:rPr>
      </w:pPr>
      <w:r w:rsidRPr="0031743F">
        <w:rPr>
          <w:rFonts w:ascii="Times New Roman" w:hAnsi="Times New Roman" w:cs="Times New Roman"/>
          <w:sz w:val="24"/>
          <w:szCs w:val="24"/>
        </w:rPr>
        <w:t>Therefore, while the payback period provides useful insight into liquidity and risk exposure, it should be considered a supplementary indicator rather than a primary decision-making tool.</w:t>
      </w:r>
    </w:p>
    <w:p w14:paraId="55169451" w14:textId="77777777" w:rsidR="00396A84" w:rsidRPr="0031743F" w:rsidRDefault="00396A84" w:rsidP="00396A84">
      <w:pPr>
        <w:rPr>
          <w:rFonts w:ascii="Times New Roman" w:hAnsi="Times New Roman" w:cs="Times New Roman"/>
          <w:sz w:val="24"/>
          <w:szCs w:val="24"/>
        </w:rPr>
      </w:pPr>
    </w:p>
    <w:p w14:paraId="1DF142B6" w14:textId="77777777" w:rsidR="00396A84" w:rsidRDefault="00396A84" w:rsidP="00396A84">
      <w:pPr>
        <w:pStyle w:val="NormalWeb"/>
        <w:spacing w:line="360" w:lineRule="auto"/>
        <w:jc w:val="both"/>
        <w:rPr>
          <w:rStyle w:val="Strong"/>
          <w:rFonts w:eastAsiaTheme="majorEastAsia"/>
        </w:rPr>
      </w:pPr>
      <w:r w:rsidRPr="007E3F0F">
        <w:rPr>
          <w:rStyle w:val="Strong"/>
          <w:rFonts w:eastAsiaTheme="majorEastAsia"/>
          <w:b w:val="0"/>
          <w:bCs w:val="0"/>
          <w:noProof/>
        </w:rPr>
        <w:lastRenderedPageBreak/>
        <w:drawing>
          <wp:inline distT="0" distB="0" distL="0" distR="0" wp14:anchorId="4B99080C" wp14:editId="48D69C96">
            <wp:extent cx="5731510" cy="3907471"/>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3907471"/>
                    </a:xfrm>
                    <a:prstGeom prst="rect">
                      <a:avLst/>
                    </a:prstGeom>
                    <a:noFill/>
                    <a:ln>
                      <a:noFill/>
                    </a:ln>
                  </pic:spPr>
                </pic:pic>
              </a:graphicData>
            </a:graphic>
          </wp:inline>
        </w:drawing>
      </w:r>
    </w:p>
    <w:p w14:paraId="60CE89AB" w14:textId="77777777" w:rsidR="00396A84" w:rsidRPr="0031743F" w:rsidRDefault="00396A84" w:rsidP="00396A84">
      <w:pPr>
        <w:rPr>
          <w:rFonts w:ascii="Times New Roman" w:hAnsi="Times New Roman" w:cs="Times New Roman"/>
          <w:b/>
          <w:bCs/>
          <w:sz w:val="24"/>
          <w:szCs w:val="24"/>
        </w:rPr>
      </w:pPr>
      <w:r w:rsidRPr="0031743F">
        <w:rPr>
          <w:rFonts w:ascii="Times New Roman" w:hAnsi="Times New Roman" w:cs="Times New Roman"/>
          <w:b/>
          <w:bCs/>
          <w:sz w:val="24"/>
          <w:szCs w:val="24"/>
        </w:rPr>
        <w:t>Profitability Index (PI)</w:t>
      </w:r>
    </w:p>
    <w:p w14:paraId="6E8461A6" w14:textId="77777777" w:rsidR="00396A84" w:rsidRPr="0031743F" w:rsidRDefault="00396A84" w:rsidP="00396A84">
      <w:pPr>
        <w:rPr>
          <w:rFonts w:ascii="Times New Roman" w:hAnsi="Times New Roman" w:cs="Times New Roman"/>
          <w:sz w:val="24"/>
          <w:szCs w:val="24"/>
        </w:rPr>
      </w:pPr>
      <w:r w:rsidRPr="0031743F">
        <w:rPr>
          <w:rFonts w:ascii="Times New Roman" w:hAnsi="Times New Roman" w:cs="Times New Roman"/>
          <w:sz w:val="24"/>
          <w:szCs w:val="24"/>
        </w:rPr>
        <w:t>PI = 52.80 / 50 = 1.05</w:t>
      </w:r>
    </w:p>
    <w:p w14:paraId="33BC9428" w14:textId="7570B87A" w:rsidR="00396A84" w:rsidRPr="0031743F" w:rsidRDefault="00396A84" w:rsidP="00396A84">
      <w:pPr>
        <w:rPr>
          <w:rFonts w:ascii="Times New Roman" w:hAnsi="Times New Roman" w:cs="Times New Roman"/>
          <w:sz w:val="24"/>
          <w:szCs w:val="24"/>
        </w:rPr>
      </w:pPr>
      <w:r w:rsidRPr="0031743F">
        <w:rPr>
          <w:rFonts w:ascii="Times New Roman" w:hAnsi="Times New Roman" w:cs="Times New Roman"/>
          <w:sz w:val="24"/>
          <w:szCs w:val="24"/>
        </w:rPr>
        <w:t xml:space="preserve">The profitability index (PI) of 1.05 indicates that the project generates slightly more value than the initial investment. However, the </w:t>
      </w:r>
      <w:r w:rsidR="002A3E79" w:rsidRPr="0031743F">
        <w:rPr>
          <w:rFonts w:ascii="Times New Roman" w:hAnsi="Times New Roman" w:cs="Times New Roman"/>
          <w:sz w:val="24"/>
          <w:szCs w:val="24"/>
        </w:rPr>
        <w:t>low</w:t>
      </w:r>
      <w:r w:rsidRPr="0031743F">
        <w:rPr>
          <w:rFonts w:ascii="Times New Roman" w:hAnsi="Times New Roman" w:cs="Times New Roman"/>
          <w:sz w:val="24"/>
          <w:szCs w:val="24"/>
        </w:rPr>
        <w:t xml:space="preserve"> ratio reinforces the conclusion that value creation is marginal.</w:t>
      </w:r>
    </w:p>
    <w:p w14:paraId="648C9D44" w14:textId="77777777" w:rsidR="00396A84" w:rsidRPr="0031743F" w:rsidRDefault="00396A84" w:rsidP="00396A84">
      <w:pPr>
        <w:rPr>
          <w:rFonts w:ascii="Times New Roman" w:hAnsi="Times New Roman" w:cs="Times New Roman"/>
          <w:sz w:val="24"/>
          <w:szCs w:val="24"/>
        </w:rPr>
      </w:pPr>
      <w:r w:rsidRPr="0031743F">
        <w:rPr>
          <w:rFonts w:ascii="Times New Roman" w:hAnsi="Times New Roman" w:cs="Times New Roman"/>
          <w:sz w:val="24"/>
          <w:szCs w:val="24"/>
        </w:rPr>
        <w:t>From a financial perspective, this suggests that the project may not provide a sufficiently strong return relative to its scale, particularly when considering the associated risks and capital commitment.</w:t>
      </w:r>
    </w:p>
    <w:p w14:paraId="10D38711" w14:textId="77777777" w:rsidR="00396A84" w:rsidRPr="00396A84" w:rsidRDefault="00396A84" w:rsidP="00396A84"/>
    <w:p w14:paraId="0FDD32E3" w14:textId="77777777" w:rsidR="00396A84" w:rsidRPr="00396A84" w:rsidRDefault="00396A84" w:rsidP="00396A84"/>
    <w:p w14:paraId="48C1F1B6" w14:textId="77777777" w:rsidR="00396A84" w:rsidRPr="00396A84" w:rsidRDefault="00396A84" w:rsidP="00396A84"/>
    <w:p w14:paraId="35AF58A9" w14:textId="77777777" w:rsidR="00396A84" w:rsidRDefault="00396A84" w:rsidP="00396A84">
      <w:pPr>
        <w:pStyle w:val="NormalWeb"/>
        <w:keepNext/>
        <w:spacing w:line="360" w:lineRule="auto"/>
        <w:jc w:val="center"/>
      </w:pPr>
      <w:r>
        <w:rPr>
          <w:noProof/>
        </w:rPr>
        <w:lastRenderedPageBreak/>
        <w:drawing>
          <wp:inline distT="0" distB="0" distL="0" distR="0" wp14:anchorId="22E9205E" wp14:editId="648B68DF">
            <wp:extent cx="4572000" cy="2743200"/>
            <wp:effectExtent l="0" t="0" r="0" b="0"/>
            <wp:docPr id="4"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7E130366" w14:textId="77777777" w:rsidR="00396A84" w:rsidRDefault="00396A84" w:rsidP="00396A84">
      <w:pPr>
        <w:pStyle w:val="Caption"/>
        <w:spacing w:line="360" w:lineRule="auto"/>
        <w:jc w:val="center"/>
      </w:pPr>
      <w:bookmarkStart w:id="11" w:name="_Toc225177770"/>
      <w:r>
        <w:t xml:space="preserve">Figure </w:t>
      </w:r>
      <w:r>
        <w:fldChar w:fldCharType="begin"/>
      </w:r>
      <w:r>
        <w:instrText xml:space="preserve"> SEQ Figure \* ARABIC </w:instrText>
      </w:r>
      <w:r>
        <w:fldChar w:fldCharType="separate"/>
      </w:r>
      <w:r>
        <w:rPr>
          <w:noProof/>
        </w:rPr>
        <w:t>5</w:t>
      </w:r>
      <w:r>
        <w:rPr>
          <w:noProof/>
        </w:rPr>
        <w:fldChar w:fldCharType="end"/>
      </w:r>
      <w:r>
        <w:t xml:space="preserve">: </w:t>
      </w:r>
      <w:r w:rsidRPr="00ED51C8">
        <w:t>Payback Graph</w:t>
      </w:r>
      <w:r>
        <w:t xml:space="preserve"> (Source: Author)</w:t>
      </w:r>
      <w:bookmarkEnd w:id="11"/>
    </w:p>
    <w:p w14:paraId="67DA3207" w14:textId="77777777" w:rsidR="00C20F59" w:rsidRPr="0031743F" w:rsidRDefault="00C20F59" w:rsidP="00C20F59">
      <w:pPr>
        <w:pStyle w:val="Heading2"/>
        <w:spacing w:line="360" w:lineRule="auto"/>
        <w:rPr>
          <w:rFonts w:ascii="Times New Roman" w:hAnsi="Times New Roman" w:cs="Times New Roman"/>
          <w:color w:val="auto"/>
          <w:sz w:val="28"/>
          <w:szCs w:val="28"/>
          <w:u w:val="single"/>
        </w:rPr>
      </w:pPr>
      <w:bookmarkStart w:id="12" w:name="_Toc225194580"/>
      <w:r w:rsidRPr="0031743F">
        <w:rPr>
          <w:rFonts w:ascii="Times New Roman" w:hAnsi="Times New Roman" w:cs="Times New Roman"/>
          <w:color w:val="auto"/>
          <w:sz w:val="28"/>
          <w:szCs w:val="28"/>
          <w:u w:val="single"/>
        </w:rPr>
        <w:t>B3. Scenario Analysis</w:t>
      </w:r>
      <w:bookmarkEnd w:id="12"/>
    </w:p>
    <w:p w14:paraId="38BE1FD1" w14:textId="77777777" w:rsidR="00C20F59" w:rsidRDefault="00C20F59" w:rsidP="00C20F59">
      <w:pPr>
        <w:pStyle w:val="NormalWeb"/>
        <w:spacing w:line="360" w:lineRule="auto"/>
        <w:jc w:val="both"/>
      </w:pPr>
      <w:r>
        <w:t>There are three scenarios evaluated:</w:t>
      </w:r>
    </w:p>
    <w:tbl>
      <w:tblPr>
        <w:tblStyle w:val="TableGrid"/>
        <w:tblW w:w="5000" w:type="pct"/>
        <w:tblLook w:val="04A0" w:firstRow="1" w:lastRow="0" w:firstColumn="1" w:lastColumn="0" w:noHBand="0" w:noVBand="1"/>
      </w:tblPr>
      <w:tblGrid>
        <w:gridCol w:w="2392"/>
        <w:gridCol w:w="2249"/>
        <w:gridCol w:w="1504"/>
        <w:gridCol w:w="2871"/>
      </w:tblGrid>
      <w:tr w:rsidR="00C20F59" w14:paraId="2E85585A" w14:textId="77777777" w:rsidTr="006B3D70">
        <w:tc>
          <w:tcPr>
            <w:tcW w:w="1327" w:type="pct"/>
            <w:hideMark/>
          </w:tcPr>
          <w:p w14:paraId="70D776A1" w14:textId="77777777" w:rsidR="00C20F59" w:rsidRDefault="00C20F59" w:rsidP="006B3D70">
            <w:pPr>
              <w:spacing w:line="360" w:lineRule="auto"/>
              <w:rPr>
                <w:b/>
                <w:bCs/>
              </w:rPr>
            </w:pPr>
            <w:r>
              <w:rPr>
                <w:b/>
                <w:bCs/>
              </w:rPr>
              <w:t>Scenario</w:t>
            </w:r>
          </w:p>
        </w:tc>
        <w:tc>
          <w:tcPr>
            <w:tcW w:w="1247" w:type="pct"/>
            <w:hideMark/>
          </w:tcPr>
          <w:p w14:paraId="14EEF94C" w14:textId="77777777" w:rsidR="00C20F59" w:rsidRDefault="00C20F59" w:rsidP="006B3D70">
            <w:pPr>
              <w:spacing w:line="360" w:lineRule="auto"/>
              <w:rPr>
                <w:b/>
                <w:bCs/>
              </w:rPr>
            </w:pPr>
            <w:r>
              <w:rPr>
                <w:b/>
                <w:bCs/>
              </w:rPr>
              <w:t>NPV (£m)</w:t>
            </w:r>
          </w:p>
        </w:tc>
        <w:tc>
          <w:tcPr>
            <w:tcW w:w="834" w:type="pct"/>
            <w:hideMark/>
          </w:tcPr>
          <w:p w14:paraId="2EDEA75C" w14:textId="77777777" w:rsidR="00C20F59" w:rsidRDefault="00C20F59" w:rsidP="006B3D70">
            <w:pPr>
              <w:spacing w:line="360" w:lineRule="auto"/>
              <w:rPr>
                <w:b/>
                <w:bCs/>
              </w:rPr>
            </w:pPr>
            <w:r>
              <w:rPr>
                <w:b/>
                <w:bCs/>
              </w:rPr>
              <w:t>IRR</w:t>
            </w:r>
          </w:p>
        </w:tc>
        <w:tc>
          <w:tcPr>
            <w:tcW w:w="1592" w:type="pct"/>
            <w:hideMark/>
          </w:tcPr>
          <w:p w14:paraId="2EC74A97" w14:textId="77777777" w:rsidR="00C20F59" w:rsidRDefault="00C20F59" w:rsidP="006B3D70">
            <w:pPr>
              <w:spacing w:line="360" w:lineRule="auto"/>
              <w:rPr>
                <w:b/>
                <w:bCs/>
              </w:rPr>
            </w:pPr>
            <w:r>
              <w:rPr>
                <w:b/>
                <w:bCs/>
              </w:rPr>
              <w:t>Decision</w:t>
            </w:r>
          </w:p>
        </w:tc>
      </w:tr>
      <w:tr w:rsidR="00C20F59" w14:paraId="2ABC150A" w14:textId="77777777" w:rsidTr="006B3D70">
        <w:tc>
          <w:tcPr>
            <w:tcW w:w="1327" w:type="pct"/>
            <w:hideMark/>
          </w:tcPr>
          <w:p w14:paraId="4C9B31D6" w14:textId="77777777" w:rsidR="00C20F59" w:rsidRDefault="00C20F59" w:rsidP="006B3D70">
            <w:pPr>
              <w:spacing w:line="360" w:lineRule="auto"/>
            </w:pPr>
            <w:r>
              <w:t>Base Case</w:t>
            </w:r>
          </w:p>
        </w:tc>
        <w:tc>
          <w:tcPr>
            <w:tcW w:w="1247" w:type="pct"/>
            <w:hideMark/>
          </w:tcPr>
          <w:p w14:paraId="78D3C0F8" w14:textId="77777777" w:rsidR="00C20F59" w:rsidRDefault="00C20F59" w:rsidP="006B3D70">
            <w:pPr>
              <w:spacing w:line="360" w:lineRule="auto"/>
            </w:pPr>
            <w:r>
              <w:t>+2.4</w:t>
            </w:r>
          </w:p>
        </w:tc>
        <w:tc>
          <w:tcPr>
            <w:tcW w:w="834" w:type="pct"/>
            <w:hideMark/>
          </w:tcPr>
          <w:p w14:paraId="6E9EEF50" w14:textId="77777777" w:rsidR="00C20F59" w:rsidRDefault="00C20F59" w:rsidP="006B3D70">
            <w:pPr>
              <w:spacing w:line="360" w:lineRule="auto"/>
            </w:pPr>
            <w:r>
              <w:t>9.8%</w:t>
            </w:r>
          </w:p>
        </w:tc>
        <w:tc>
          <w:tcPr>
            <w:tcW w:w="1592" w:type="pct"/>
            <w:hideMark/>
          </w:tcPr>
          <w:p w14:paraId="624FCEC4" w14:textId="77777777" w:rsidR="00C20F59" w:rsidRDefault="00C20F59" w:rsidP="006B3D70">
            <w:pPr>
              <w:spacing w:line="360" w:lineRule="auto"/>
            </w:pPr>
            <w:r>
              <w:t>Accept</w:t>
            </w:r>
          </w:p>
        </w:tc>
      </w:tr>
      <w:tr w:rsidR="00C20F59" w14:paraId="2CF0DEB4" w14:textId="77777777" w:rsidTr="006B3D70">
        <w:tc>
          <w:tcPr>
            <w:tcW w:w="1327" w:type="pct"/>
            <w:hideMark/>
          </w:tcPr>
          <w:p w14:paraId="0C7FE053" w14:textId="77777777" w:rsidR="00C20F59" w:rsidRDefault="00C20F59" w:rsidP="006B3D70">
            <w:pPr>
              <w:spacing w:line="360" w:lineRule="auto"/>
            </w:pPr>
            <w:r>
              <w:t>Best Case</w:t>
            </w:r>
          </w:p>
        </w:tc>
        <w:tc>
          <w:tcPr>
            <w:tcW w:w="1247" w:type="pct"/>
            <w:hideMark/>
          </w:tcPr>
          <w:p w14:paraId="20CD92C4" w14:textId="77777777" w:rsidR="00C20F59" w:rsidRDefault="00C20F59" w:rsidP="006B3D70">
            <w:pPr>
              <w:spacing w:line="360" w:lineRule="auto"/>
            </w:pPr>
            <w:r>
              <w:t>+12.50</w:t>
            </w:r>
          </w:p>
        </w:tc>
        <w:tc>
          <w:tcPr>
            <w:tcW w:w="834" w:type="pct"/>
            <w:hideMark/>
          </w:tcPr>
          <w:p w14:paraId="09842F0A" w14:textId="77777777" w:rsidR="00C20F59" w:rsidRDefault="00C20F59" w:rsidP="006B3D70">
            <w:pPr>
              <w:spacing w:line="360" w:lineRule="auto"/>
            </w:pPr>
            <w:r>
              <w:t>13.5%</w:t>
            </w:r>
          </w:p>
        </w:tc>
        <w:tc>
          <w:tcPr>
            <w:tcW w:w="1592" w:type="pct"/>
            <w:hideMark/>
          </w:tcPr>
          <w:p w14:paraId="2F0D5133" w14:textId="77777777" w:rsidR="00C20F59" w:rsidRDefault="00C20F59" w:rsidP="006B3D70">
            <w:pPr>
              <w:spacing w:line="360" w:lineRule="auto"/>
            </w:pPr>
            <w:r>
              <w:t>Strong Accept</w:t>
            </w:r>
          </w:p>
        </w:tc>
      </w:tr>
      <w:tr w:rsidR="00C20F59" w14:paraId="71A0B7D6" w14:textId="77777777" w:rsidTr="006B3D70">
        <w:tc>
          <w:tcPr>
            <w:tcW w:w="1327" w:type="pct"/>
            <w:hideMark/>
          </w:tcPr>
          <w:p w14:paraId="2F9C7CAD" w14:textId="77777777" w:rsidR="00C20F59" w:rsidRDefault="00C20F59" w:rsidP="006B3D70">
            <w:pPr>
              <w:spacing w:line="360" w:lineRule="auto"/>
            </w:pPr>
            <w:r>
              <w:t>Worst Case</w:t>
            </w:r>
          </w:p>
        </w:tc>
        <w:tc>
          <w:tcPr>
            <w:tcW w:w="1247" w:type="pct"/>
            <w:hideMark/>
          </w:tcPr>
          <w:p w14:paraId="2167D829" w14:textId="77777777" w:rsidR="00C20F59" w:rsidRDefault="00C20F59" w:rsidP="006B3D70">
            <w:pPr>
              <w:spacing w:line="360" w:lineRule="auto"/>
            </w:pPr>
            <w:r>
              <w:t>−8.20</w:t>
            </w:r>
          </w:p>
        </w:tc>
        <w:tc>
          <w:tcPr>
            <w:tcW w:w="834" w:type="pct"/>
            <w:hideMark/>
          </w:tcPr>
          <w:p w14:paraId="27DC522C" w14:textId="77777777" w:rsidR="00C20F59" w:rsidRDefault="00C20F59" w:rsidP="006B3D70">
            <w:pPr>
              <w:spacing w:line="360" w:lineRule="auto"/>
            </w:pPr>
            <w:r>
              <w:t>7.5%</w:t>
            </w:r>
          </w:p>
        </w:tc>
        <w:tc>
          <w:tcPr>
            <w:tcW w:w="1592" w:type="pct"/>
            <w:hideMark/>
          </w:tcPr>
          <w:p w14:paraId="4A491B14" w14:textId="77777777" w:rsidR="00C20F59" w:rsidRDefault="00C20F59" w:rsidP="006B3D70">
            <w:pPr>
              <w:spacing w:line="360" w:lineRule="auto"/>
            </w:pPr>
            <w:r>
              <w:t>Reject</w:t>
            </w:r>
          </w:p>
        </w:tc>
      </w:tr>
    </w:tbl>
    <w:p w14:paraId="60306896" w14:textId="77777777" w:rsidR="00396A84" w:rsidRDefault="00396A84"/>
    <w:p w14:paraId="61685C39" w14:textId="3727A7A0" w:rsidR="00C20F59" w:rsidRPr="0031743F" w:rsidRDefault="004A2B2F" w:rsidP="00C20F59">
      <w:pPr>
        <w:rPr>
          <w:rFonts w:ascii="Times New Roman" w:hAnsi="Times New Roman" w:cs="Times New Roman"/>
          <w:sz w:val="28"/>
          <w:szCs w:val="28"/>
        </w:rPr>
      </w:pPr>
      <w:r w:rsidRPr="0031743F">
        <w:rPr>
          <w:rFonts w:ascii="Times New Roman" w:hAnsi="Times New Roman" w:cs="Times New Roman"/>
          <w:sz w:val="24"/>
          <w:szCs w:val="24"/>
        </w:rPr>
        <w:t>These findings suggest that</w:t>
      </w:r>
      <w:r w:rsidR="0031743F" w:rsidRPr="0031743F">
        <w:rPr>
          <w:rFonts w:ascii="Times New Roman" w:hAnsi="Times New Roman" w:cs="Times New Roman"/>
          <w:sz w:val="24"/>
          <w:szCs w:val="24"/>
        </w:rPr>
        <w:t xml:space="preserve"> the</w:t>
      </w:r>
      <w:r w:rsidR="0031743F">
        <w:rPr>
          <w:rFonts w:ascii="Times New Roman" w:hAnsi="Times New Roman" w:cs="Times New Roman"/>
          <w:sz w:val="28"/>
          <w:szCs w:val="28"/>
        </w:rPr>
        <w:t xml:space="preserve"> </w:t>
      </w:r>
      <w:r w:rsidR="00C20F59" w:rsidRPr="0031743F">
        <w:rPr>
          <w:rFonts w:ascii="Times New Roman" w:hAnsi="Times New Roman" w:cs="Times New Roman"/>
          <w:sz w:val="24"/>
          <w:szCs w:val="24"/>
        </w:rPr>
        <w:t>scenario analysis highlights the variability of project outcomes under different conditions. While the best-case scenario demonstrates strong profitability driven by improved efficiency and revenue performance (D’Adamo et al., 2025), the worst-case scenario results in a negative NPV, indicating potential value destruction.</w:t>
      </w:r>
    </w:p>
    <w:p w14:paraId="7BA6DCD5" w14:textId="77777777" w:rsidR="00C20F59" w:rsidRPr="0031743F" w:rsidRDefault="00C20F59" w:rsidP="00C20F59">
      <w:pPr>
        <w:rPr>
          <w:rFonts w:ascii="Times New Roman" w:hAnsi="Times New Roman" w:cs="Times New Roman"/>
          <w:sz w:val="24"/>
          <w:szCs w:val="24"/>
        </w:rPr>
      </w:pPr>
      <w:r w:rsidRPr="0031743F">
        <w:rPr>
          <w:rFonts w:ascii="Times New Roman" w:hAnsi="Times New Roman" w:cs="Times New Roman"/>
          <w:sz w:val="24"/>
          <w:szCs w:val="24"/>
        </w:rPr>
        <w:t>This wide range of outcomes reflects a high degree of uncertainty and emphasises the project’s exposure to downside risk. From a decision-making perspective, this suggests that although the project may be acceptable under favourable conditions, its financial performance is not sufficiently robust under adverse scenarios.</w:t>
      </w:r>
    </w:p>
    <w:p w14:paraId="4698FDAD" w14:textId="77777777" w:rsidR="000D591B" w:rsidRDefault="000D591B" w:rsidP="00C20F59">
      <w:pPr>
        <w:pStyle w:val="Heading2"/>
        <w:spacing w:line="360" w:lineRule="auto"/>
      </w:pPr>
    </w:p>
    <w:p w14:paraId="54C801EC" w14:textId="77777777" w:rsidR="003617AB" w:rsidRDefault="003617AB" w:rsidP="003617AB"/>
    <w:p w14:paraId="1CAD9C0B" w14:textId="77777777" w:rsidR="003617AB" w:rsidRPr="003617AB" w:rsidRDefault="003617AB" w:rsidP="003617AB"/>
    <w:p w14:paraId="281F3C33" w14:textId="4C7BDB4D" w:rsidR="00C20F59" w:rsidRPr="0031743F" w:rsidRDefault="00C20F59" w:rsidP="00C20F59">
      <w:pPr>
        <w:pStyle w:val="Heading2"/>
        <w:spacing w:line="360" w:lineRule="auto"/>
        <w:rPr>
          <w:rFonts w:ascii="Times New Roman" w:hAnsi="Times New Roman" w:cs="Times New Roman"/>
          <w:color w:val="auto"/>
          <w:sz w:val="28"/>
          <w:szCs w:val="28"/>
          <w:u w:val="single"/>
        </w:rPr>
      </w:pPr>
      <w:bookmarkStart w:id="13" w:name="_Toc225194581"/>
      <w:r w:rsidRPr="0031743F">
        <w:rPr>
          <w:rFonts w:ascii="Times New Roman" w:hAnsi="Times New Roman" w:cs="Times New Roman"/>
          <w:color w:val="auto"/>
          <w:sz w:val="28"/>
          <w:szCs w:val="28"/>
          <w:u w:val="single"/>
        </w:rPr>
        <w:lastRenderedPageBreak/>
        <w:t>B4. Sensitivity Analysis</w:t>
      </w:r>
      <w:bookmarkEnd w:id="13"/>
    </w:p>
    <w:p w14:paraId="515542CC" w14:textId="77777777" w:rsidR="00C20F59" w:rsidRDefault="00C20F59" w:rsidP="00C20F59">
      <w:pPr>
        <w:pStyle w:val="NormalWeb"/>
        <w:spacing w:line="360" w:lineRule="auto"/>
        <w:jc w:val="both"/>
      </w:pPr>
      <w:r>
        <w:t>Sensitivity analysis evaluates how changes in key variables affect project viability:</w:t>
      </w:r>
    </w:p>
    <w:p w14:paraId="4EF076E2" w14:textId="77777777" w:rsidR="00C20F59" w:rsidRDefault="00C20F59" w:rsidP="00C20F59">
      <w:pPr>
        <w:pStyle w:val="NormalWeb"/>
        <w:numPr>
          <w:ilvl w:val="0"/>
          <w:numId w:val="1"/>
        </w:numPr>
        <w:spacing w:line="360" w:lineRule="auto"/>
        <w:jc w:val="both"/>
      </w:pPr>
      <w:r>
        <w:rPr>
          <w:rStyle w:val="Strong"/>
          <w:rFonts w:eastAsiaTheme="majorEastAsia"/>
        </w:rPr>
        <w:t>Revenue Reduction (−10%)</w:t>
      </w:r>
      <w:r>
        <w:t>: NPV decreases to approximately £0.5 million, indicating high sensitivity to revenue fluctuations.</w:t>
      </w:r>
    </w:p>
    <w:p w14:paraId="7A0D8FB8" w14:textId="77777777" w:rsidR="00C20F59" w:rsidRDefault="00C20F59" w:rsidP="00C20F59">
      <w:pPr>
        <w:pStyle w:val="NormalWeb"/>
        <w:numPr>
          <w:ilvl w:val="0"/>
          <w:numId w:val="1"/>
        </w:numPr>
        <w:spacing w:line="360" w:lineRule="auto"/>
        <w:jc w:val="both"/>
      </w:pPr>
      <w:r>
        <w:rPr>
          <w:rStyle w:val="Strong"/>
          <w:rFonts w:eastAsiaTheme="majorEastAsia"/>
        </w:rPr>
        <w:t>Cost Increase (+10%)</w:t>
      </w:r>
      <w:r>
        <w:t>: Initial investment rises to £55 million, resulting in NPV turning negative (−£2 million).</w:t>
      </w:r>
    </w:p>
    <w:p w14:paraId="754F7AF4" w14:textId="77777777" w:rsidR="00C20F59" w:rsidRDefault="00C20F59" w:rsidP="00C20F59">
      <w:pPr>
        <w:pStyle w:val="NormalWeb"/>
        <w:numPr>
          <w:ilvl w:val="0"/>
          <w:numId w:val="1"/>
        </w:numPr>
        <w:spacing w:line="360" w:lineRule="auto"/>
        <w:jc w:val="both"/>
      </w:pPr>
      <w:r>
        <w:rPr>
          <w:rStyle w:val="Strong"/>
          <w:rFonts w:eastAsiaTheme="majorEastAsia"/>
        </w:rPr>
        <w:t>Discount Rate Increase (to 11%)</w:t>
      </w:r>
      <w:r>
        <w:t>: NPV declines to approximately −£1.5 million, demonstrating sensitivity to financing costs.</w:t>
      </w:r>
    </w:p>
    <w:p w14:paraId="027FAFFC" w14:textId="3AAD652C" w:rsidR="00C20F59" w:rsidRDefault="00C20F59" w:rsidP="00C20F59">
      <w:pPr>
        <w:pStyle w:val="NormalWeb"/>
      </w:pPr>
      <w:r>
        <w:t>The sensitivity analysis demonstrates that the project operates within a narrow margin of financial safety. Relatively small changes in key variables, particularly revenue and cost, are sufficient to significantly reduce or eliminate profitability.</w:t>
      </w:r>
    </w:p>
    <w:p w14:paraId="778EF604" w14:textId="77777777" w:rsidR="00C20F59" w:rsidRDefault="00C20F59" w:rsidP="00C20F59">
      <w:pPr>
        <w:pStyle w:val="NormalWeb"/>
      </w:pPr>
      <w:r>
        <w:t>This indicates a high level of financial sensitivity and suggests that the project is heavily dependent on accurate forecasting and stable operating conditions. In practice, such conditions are difficult to guarantee, highlighting the importance of conservative financial planning and effective cost control mechanisms.</w:t>
      </w:r>
    </w:p>
    <w:p w14:paraId="03C0D291" w14:textId="77777777" w:rsidR="00C20F59" w:rsidRDefault="00C20F59" w:rsidP="00C20F59">
      <w:pPr>
        <w:pStyle w:val="NormalWeb"/>
        <w:keepNext/>
        <w:spacing w:line="360" w:lineRule="auto"/>
        <w:jc w:val="center"/>
      </w:pPr>
      <w:r>
        <w:rPr>
          <w:noProof/>
        </w:rPr>
        <w:drawing>
          <wp:inline distT="0" distB="0" distL="0" distR="0" wp14:anchorId="0C327A8B" wp14:editId="0793ED62">
            <wp:extent cx="4572000" cy="2743200"/>
            <wp:effectExtent l="0" t="0" r="0" b="0"/>
            <wp:docPr id="8" name="Chart 8"/>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175AA9D8" w14:textId="77777777" w:rsidR="00C20F59" w:rsidRPr="009C2713" w:rsidRDefault="00C20F59" w:rsidP="00C20F59">
      <w:pPr>
        <w:pStyle w:val="Caption"/>
        <w:spacing w:line="360" w:lineRule="auto"/>
        <w:jc w:val="center"/>
      </w:pPr>
      <w:bookmarkStart w:id="14" w:name="_Toc225177771"/>
      <w:r>
        <w:t xml:space="preserve">Figure </w:t>
      </w:r>
      <w:r>
        <w:fldChar w:fldCharType="begin"/>
      </w:r>
      <w:r>
        <w:instrText xml:space="preserve"> SEQ Figure \* ARABIC </w:instrText>
      </w:r>
      <w:r>
        <w:fldChar w:fldCharType="separate"/>
      </w:r>
      <w:r>
        <w:rPr>
          <w:noProof/>
        </w:rPr>
        <w:t>6</w:t>
      </w:r>
      <w:r>
        <w:rPr>
          <w:noProof/>
        </w:rPr>
        <w:fldChar w:fldCharType="end"/>
      </w:r>
      <w:r>
        <w:t xml:space="preserve">: </w:t>
      </w:r>
      <w:r w:rsidRPr="000B2BC5">
        <w:t>Sensitivity Analysis</w:t>
      </w:r>
      <w:r>
        <w:t xml:space="preserve"> Chart (Source: Author)</w:t>
      </w:r>
      <w:bookmarkEnd w:id="14"/>
    </w:p>
    <w:p w14:paraId="4678536C" w14:textId="77777777" w:rsidR="00C20F59" w:rsidRDefault="00C20F59" w:rsidP="00C20F59">
      <w:pPr>
        <w:pStyle w:val="NormalWeb"/>
      </w:pPr>
    </w:p>
    <w:p w14:paraId="3EAC2CAA" w14:textId="77777777" w:rsidR="003617AB" w:rsidRDefault="003617AB" w:rsidP="00C20F59">
      <w:pPr>
        <w:rPr>
          <w:rFonts w:ascii="Times New Roman" w:hAnsi="Times New Roman" w:cs="Times New Roman"/>
          <w:sz w:val="28"/>
          <w:szCs w:val="28"/>
          <w:u w:val="single"/>
        </w:rPr>
      </w:pPr>
    </w:p>
    <w:p w14:paraId="4AF315F3" w14:textId="77777777" w:rsidR="003617AB" w:rsidRDefault="003617AB" w:rsidP="00C20F59">
      <w:pPr>
        <w:rPr>
          <w:rFonts w:ascii="Times New Roman" w:hAnsi="Times New Roman" w:cs="Times New Roman"/>
          <w:sz w:val="28"/>
          <w:szCs w:val="28"/>
          <w:u w:val="single"/>
        </w:rPr>
      </w:pPr>
    </w:p>
    <w:p w14:paraId="445A995E" w14:textId="77777777" w:rsidR="003617AB" w:rsidRDefault="003617AB" w:rsidP="00C20F59">
      <w:pPr>
        <w:rPr>
          <w:rFonts w:ascii="Times New Roman" w:hAnsi="Times New Roman" w:cs="Times New Roman"/>
          <w:sz w:val="28"/>
          <w:szCs w:val="28"/>
          <w:u w:val="single"/>
        </w:rPr>
      </w:pPr>
    </w:p>
    <w:p w14:paraId="6EC4351A" w14:textId="6A9DD754" w:rsidR="00C20F59" w:rsidRPr="0031743F" w:rsidRDefault="00C20F59" w:rsidP="00C20F59">
      <w:pPr>
        <w:rPr>
          <w:rFonts w:ascii="Times New Roman" w:hAnsi="Times New Roman" w:cs="Times New Roman"/>
          <w:sz w:val="28"/>
          <w:szCs w:val="28"/>
          <w:u w:val="single"/>
        </w:rPr>
      </w:pPr>
      <w:r w:rsidRPr="0031743F">
        <w:rPr>
          <w:rFonts w:ascii="Times New Roman" w:hAnsi="Times New Roman" w:cs="Times New Roman"/>
          <w:sz w:val="28"/>
          <w:szCs w:val="28"/>
          <w:u w:val="single"/>
        </w:rPr>
        <w:lastRenderedPageBreak/>
        <w:t xml:space="preserve">B5. IMPACT OF UNCERTAINTY </w:t>
      </w:r>
    </w:p>
    <w:p w14:paraId="510259A4" w14:textId="77777777" w:rsidR="00C20F59" w:rsidRPr="0031743F" w:rsidRDefault="00C20F59" w:rsidP="00C20F59">
      <w:pPr>
        <w:rPr>
          <w:rFonts w:ascii="Times New Roman" w:hAnsi="Times New Roman" w:cs="Times New Roman"/>
          <w:sz w:val="24"/>
          <w:szCs w:val="24"/>
        </w:rPr>
      </w:pPr>
      <w:r w:rsidRPr="0031743F">
        <w:rPr>
          <w:rFonts w:ascii="Times New Roman" w:hAnsi="Times New Roman" w:cs="Times New Roman"/>
          <w:sz w:val="24"/>
          <w:szCs w:val="24"/>
        </w:rPr>
        <w:t>The project is subject to several sources of financial uncertainty that may significantly influence its performance. Inflation risk may increase both capital and operational costs, thereby reducing profit margins. Demand uncertainty, although partially mitigated by long-term agreements, remains influenced by policy changes and energy pricing dynamics.</w:t>
      </w:r>
    </w:p>
    <w:p w14:paraId="6235B7ED" w14:textId="77777777" w:rsidR="00C20F59" w:rsidRPr="0031743F" w:rsidRDefault="00C20F59" w:rsidP="00C20F59">
      <w:pPr>
        <w:rPr>
          <w:rFonts w:ascii="Times New Roman" w:hAnsi="Times New Roman" w:cs="Times New Roman"/>
          <w:sz w:val="24"/>
          <w:szCs w:val="24"/>
        </w:rPr>
      </w:pPr>
      <w:r w:rsidRPr="0031743F">
        <w:rPr>
          <w:rFonts w:ascii="Times New Roman" w:hAnsi="Times New Roman" w:cs="Times New Roman"/>
          <w:sz w:val="24"/>
          <w:szCs w:val="24"/>
        </w:rPr>
        <w:t>Additionally, interest rate fluctuations can increase the cost of borrowing and reduce project returns, while cost overruns arising from delays or inaccurate estimation may further weaken financial viability.</w:t>
      </w:r>
    </w:p>
    <w:p w14:paraId="41DDE6A6" w14:textId="77777777" w:rsidR="00C20F59" w:rsidRPr="0031743F" w:rsidRDefault="00C20F59" w:rsidP="00C20F59">
      <w:pPr>
        <w:rPr>
          <w:rFonts w:ascii="Times New Roman" w:hAnsi="Times New Roman" w:cs="Times New Roman"/>
          <w:sz w:val="24"/>
          <w:szCs w:val="24"/>
        </w:rPr>
      </w:pPr>
      <w:r w:rsidRPr="0031743F">
        <w:rPr>
          <w:rFonts w:ascii="Times New Roman" w:hAnsi="Times New Roman" w:cs="Times New Roman"/>
          <w:sz w:val="24"/>
          <w:szCs w:val="24"/>
        </w:rPr>
        <w:t>Collectively, these risks highlight the importance of robust risk management and financial control in maintaining project stability.</w:t>
      </w:r>
    </w:p>
    <w:p w14:paraId="310FDEBA" w14:textId="7785EC0E" w:rsidR="00C20F59" w:rsidRPr="0031743F" w:rsidRDefault="00C20F59" w:rsidP="00C20F59">
      <w:pPr>
        <w:rPr>
          <w:rFonts w:ascii="Times New Roman" w:hAnsi="Times New Roman" w:cs="Times New Roman"/>
          <w:sz w:val="28"/>
          <w:szCs w:val="28"/>
          <w:u w:val="single"/>
        </w:rPr>
      </w:pPr>
      <w:r w:rsidRPr="0031743F">
        <w:rPr>
          <w:rFonts w:ascii="Times New Roman" w:hAnsi="Times New Roman" w:cs="Times New Roman"/>
          <w:sz w:val="28"/>
          <w:szCs w:val="28"/>
          <w:u w:val="single"/>
        </w:rPr>
        <w:t>B6. FINAL INVESTMENT DECISION</w:t>
      </w:r>
    </w:p>
    <w:p w14:paraId="62B07134" w14:textId="4BEEAFCF" w:rsidR="00C20F59" w:rsidRPr="0031743F" w:rsidRDefault="00C20F59" w:rsidP="00C20F59">
      <w:pPr>
        <w:rPr>
          <w:rFonts w:ascii="Times New Roman" w:hAnsi="Times New Roman" w:cs="Times New Roman"/>
          <w:sz w:val="24"/>
          <w:szCs w:val="24"/>
        </w:rPr>
      </w:pPr>
      <w:r w:rsidRPr="0031743F">
        <w:rPr>
          <w:rFonts w:ascii="Times New Roman" w:hAnsi="Times New Roman" w:cs="Times New Roman"/>
          <w:sz w:val="24"/>
          <w:szCs w:val="24"/>
        </w:rPr>
        <w:t xml:space="preserve">Overall, the financial evaluation indicates that the project is conditionally acceptable rather than strongly attractive. While the positive NPV, IRR exceeding the cost of capital, and profitability index above one suggest technical feasibility, the </w:t>
      </w:r>
      <w:r w:rsidR="002A3E79" w:rsidRPr="0031743F">
        <w:rPr>
          <w:rFonts w:ascii="Times New Roman" w:hAnsi="Times New Roman" w:cs="Times New Roman"/>
          <w:sz w:val="24"/>
          <w:szCs w:val="24"/>
        </w:rPr>
        <w:t>low</w:t>
      </w:r>
      <w:r w:rsidRPr="0031743F">
        <w:rPr>
          <w:rFonts w:ascii="Times New Roman" w:hAnsi="Times New Roman" w:cs="Times New Roman"/>
          <w:sz w:val="24"/>
          <w:szCs w:val="24"/>
        </w:rPr>
        <w:t xml:space="preserve"> level of value creation raises concerns regarding financial robustness.</w:t>
      </w:r>
    </w:p>
    <w:p w14:paraId="25F3BDA5" w14:textId="77777777" w:rsidR="00C20F59" w:rsidRPr="0031743F" w:rsidRDefault="00C20F59" w:rsidP="00C20F59">
      <w:pPr>
        <w:rPr>
          <w:rFonts w:ascii="Times New Roman" w:hAnsi="Times New Roman" w:cs="Times New Roman"/>
          <w:sz w:val="24"/>
          <w:szCs w:val="24"/>
        </w:rPr>
      </w:pPr>
      <w:r w:rsidRPr="0031743F">
        <w:rPr>
          <w:rFonts w:ascii="Times New Roman" w:hAnsi="Times New Roman" w:cs="Times New Roman"/>
          <w:sz w:val="24"/>
          <w:szCs w:val="24"/>
        </w:rPr>
        <w:t>The results of scenario and sensitivity analyses further demonstrate that the project is highly exposed to downside risks, particularly in relation to cost increases and revenue fluctuations (Razavi et al., 2021). This indicates that even minor deviations from initial assumptions could significantly impact overall profitability.</w:t>
      </w:r>
    </w:p>
    <w:p w14:paraId="12BF300C" w14:textId="77777777" w:rsidR="00C20F59" w:rsidRPr="0031743F" w:rsidRDefault="00C20F59" w:rsidP="00C20F59">
      <w:pPr>
        <w:rPr>
          <w:rFonts w:ascii="Times New Roman" w:hAnsi="Times New Roman" w:cs="Times New Roman"/>
          <w:sz w:val="24"/>
          <w:szCs w:val="24"/>
        </w:rPr>
      </w:pPr>
      <w:r w:rsidRPr="0031743F">
        <w:rPr>
          <w:rFonts w:ascii="Times New Roman" w:hAnsi="Times New Roman" w:cs="Times New Roman"/>
          <w:sz w:val="24"/>
          <w:szCs w:val="24"/>
        </w:rPr>
        <w:t>From a strategic perspective, the project may not provide sufficient return relative to its scale and associated risks. Therefore, investment should only proceed if supported by strong cost control mechanisms, effective risk mitigation strategies, and conservative financial planning to ensure long-term sustainability.</w:t>
      </w:r>
    </w:p>
    <w:p w14:paraId="2482C6F3" w14:textId="77777777" w:rsidR="00C20F59" w:rsidRPr="0031743F" w:rsidRDefault="00C20F59">
      <w:pPr>
        <w:rPr>
          <w:rFonts w:ascii="Times New Roman" w:hAnsi="Times New Roman" w:cs="Times New Roman"/>
          <w:sz w:val="28"/>
          <w:szCs w:val="28"/>
          <w:u w:val="single"/>
        </w:rPr>
      </w:pPr>
    </w:p>
    <w:p w14:paraId="5839D1CC" w14:textId="77777777" w:rsidR="00C20F59" w:rsidRPr="0031743F" w:rsidRDefault="00C20F59" w:rsidP="00C20F59">
      <w:pPr>
        <w:pStyle w:val="Heading1"/>
        <w:spacing w:line="360" w:lineRule="auto"/>
        <w:rPr>
          <w:rFonts w:ascii="Times New Roman" w:hAnsi="Times New Roman" w:cs="Times New Roman"/>
          <w:color w:val="auto"/>
          <w:sz w:val="28"/>
          <w:szCs w:val="28"/>
          <w:u w:val="single"/>
          <w:lang w:val="en-IN"/>
        </w:rPr>
      </w:pPr>
      <w:bookmarkStart w:id="15" w:name="_Toc225194582"/>
      <w:r w:rsidRPr="0031743F">
        <w:rPr>
          <w:rFonts w:ascii="Times New Roman" w:hAnsi="Times New Roman" w:cs="Times New Roman"/>
          <w:color w:val="auto"/>
          <w:sz w:val="28"/>
          <w:szCs w:val="28"/>
          <w:u w:val="single"/>
        </w:rPr>
        <w:t>5. Section C: Cost Control Mechanisms</w:t>
      </w:r>
      <w:bookmarkEnd w:id="15"/>
      <w:r w:rsidRPr="0031743F">
        <w:rPr>
          <w:rFonts w:ascii="Times New Roman" w:hAnsi="Times New Roman" w:cs="Times New Roman"/>
          <w:color w:val="auto"/>
          <w:sz w:val="28"/>
          <w:szCs w:val="28"/>
          <w:u w:val="single"/>
        </w:rPr>
        <w:t xml:space="preserve"> </w:t>
      </w:r>
    </w:p>
    <w:p w14:paraId="27227FE1" w14:textId="3B443FE3" w:rsidR="003617AB" w:rsidRDefault="00C20F59" w:rsidP="00C77DFC">
      <w:pPr>
        <w:pStyle w:val="NormalWeb"/>
        <w:spacing w:line="360" w:lineRule="auto"/>
        <w:jc w:val="both"/>
        <w:rPr>
          <w:sz w:val="28"/>
          <w:szCs w:val="28"/>
          <w:u w:val="single"/>
        </w:rPr>
      </w:pPr>
      <w:r w:rsidRPr="0031743F">
        <w:t xml:space="preserve">Effective cost control is essential to ensure that the project is delivered within its approved budget while maintaining financial stability and operational efficiency (Bassey et al., 2024). The financial risks during the life cycle of the project need to be managed with a well-organized system </w:t>
      </w:r>
      <w:r w:rsidR="00C77DFC" w:rsidRPr="00C77DFC">
        <w:rPr>
          <w:lang w:val="en-GB"/>
        </w:rPr>
        <w:t>based on governance, monitoring, and risk mitigation.</w:t>
      </w:r>
    </w:p>
    <w:p w14:paraId="54AF02FE" w14:textId="77777777" w:rsidR="003617AB" w:rsidRDefault="003617AB" w:rsidP="00C20F59">
      <w:pPr>
        <w:pStyle w:val="Heading2"/>
        <w:spacing w:line="360" w:lineRule="auto"/>
        <w:rPr>
          <w:rFonts w:ascii="Times New Roman" w:hAnsi="Times New Roman" w:cs="Times New Roman"/>
          <w:color w:val="auto"/>
          <w:sz w:val="28"/>
          <w:szCs w:val="28"/>
          <w:u w:val="single"/>
        </w:rPr>
      </w:pPr>
    </w:p>
    <w:p w14:paraId="3C59B0C2" w14:textId="77777777" w:rsidR="003617AB" w:rsidRDefault="003617AB" w:rsidP="00C20F59">
      <w:pPr>
        <w:pStyle w:val="Heading2"/>
        <w:spacing w:line="360" w:lineRule="auto"/>
        <w:rPr>
          <w:rFonts w:ascii="Times New Roman" w:hAnsi="Times New Roman" w:cs="Times New Roman"/>
          <w:color w:val="auto"/>
          <w:sz w:val="28"/>
          <w:szCs w:val="28"/>
          <w:u w:val="single"/>
        </w:rPr>
      </w:pPr>
    </w:p>
    <w:p w14:paraId="1AA8AD42" w14:textId="77777777" w:rsidR="003617AB" w:rsidRPr="003617AB" w:rsidRDefault="003617AB" w:rsidP="003617AB"/>
    <w:p w14:paraId="35ECCD95" w14:textId="5912ABE7" w:rsidR="00C20F59" w:rsidRPr="0031743F" w:rsidRDefault="00C20F59" w:rsidP="00C20F59">
      <w:pPr>
        <w:pStyle w:val="Heading2"/>
        <w:spacing w:line="360" w:lineRule="auto"/>
        <w:rPr>
          <w:rFonts w:ascii="Times New Roman" w:hAnsi="Times New Roman" w:cs="Times New Roman"/>
          <w:color w:val="auto"/>
          <w:sz w:val="28"/>
          <w:szCs w:val="28"/>
          <w:u w:val="single"/>
        </w:rPr>
      </w:pPr>
      <w:bookmarkStart w:id="16" w:name="_Toc225194583"/>
      <w:r w:rsidRPr="0031743F">
        <w:rPr>
          <w:rFonts w:ascii="Times New Roman" w:hAnsi="Times New Roman" w:cs="Times New Roman"/>
          <w:color w:val="auto"/>
          <w:sz w:val="28"/>
          <w:szCs w:val="28"/>
          <w:u w:val="single"/>
        </w:rPr>
        <w:lastRenderedPageBreak/>
        <w:t>C1. Governance &amp; Structure</w:t>
      </w:r>
      <w:bookmarkEnd w:id="16"/>
    </w:p>
    <w:p w14:paraId="58979236" w14:textId="4D6720B1" w:rsidR="00C20F59" w:rsidRPr="0031743F" w:rsidRDefault="00C20F59" w:rsidP="00C20F59">
      <w:pPr>
        <w:spacing w:line="360" w:lineRule="auto"/>
        <w:rPr>
          <w:rFonts w:ascii="Times New Roman" w:hAnsi="Times New Roman" w:cs="Times New Roman"/>
          <w:sz w:val="24"/>
          <w:szCs w:val="24"/>
        </w:rPr>
      </w:pPr>
      <w:r w:rsidRPr="0031743F">
        <w:rPr>
          <w:rFonts w:ascii="Times New Roman" w:hAnsi="Times New Roman" w:cs="Times New Roman"/>
          <w:sz w:val="24"/>
          <w:szCs w:val="24"/>
        </w:rPr>
        <w:t>Using the RACI framework, the responsibilities are assigned:</w:t>
      </w:r>
    </w:p>
    <w:p w14:paraId="49D10D97" w14:textId="10939DAE" w:rsidR="00C20F59" w:rsidRPr="0031743F" w:rsidRDefault="00C20F59" w:rsidP="00C20F59">
      <w:pPr>
        <w:pStyle w:val="ListParagraph"/>
        <w:numPr>
          <w:ilvl w:val="0"/>
          <w:numId w:val="4"/>
        </w:numPr>
        <w:spacing w:line="360" w:lineRule="auto"/>
        <w:jc w:val="both"/>
        <w:rPr>
          <w:rFonts w:ascii="Times New Roman" w:hAnsi="Times New Roman" w:cs="Times New Roman"/>
          <w:sz w:val="24"/>
          <w:szCs w:val="24"/>
        </w:rPr>
      </w:pPr>
      <w:r w:rsidRPr="0031743F">
        <w:rPr>
          <w:rFonts w:ascii="Times New Roman" w:hAnsi="Times New Roman" w:cs="Times New Roman"/>
          <w:sz w:val="24"/>
          <w:szCs w:val="24"/>
        </w:rPr>
        <w:t xml:space="preserve">Sponsor (Accountable): Signs budgets, management </w:t>
      </w:r>
      <w:r w:rsidR="002A3E79" w:rsidRPr="0031743F">
        <w:rPr>
          <w:rFonts w:ascii="Times New Roman" w:hAnsi="Times New Roman" w:cs="Times New Roman"/>
          <w:sz w:val="24"/>
          <w:szCs w:val="24"/>
        </w:rPr>
        <w:t>reserves,</w:t>
      </w:r>
      <w:r w:rsidRPr="0031743F">
        <w:rPr>
          <w:rFonts w:ascii="Times New Roman" w:hAnsi="Times New Roman" w:cs="Times New Roman"/>
          <w:sz w:val="24"/>
          <w:szCs w:val="24"/>
        </w:rPr>
        <w:t xml:space="preserve"> and significant financial resolutions (Rahmad Dwi Putra Suhanda and Devi Pratami, 2021).</w:t>
      </w:r>
    </w:p>
    <w:p w14:paraId="740329E0" w14:textId="77777777" w:rsidR="00C20F59" w:rsidRPr="0031743F" w:rsidRDefault="00C20F59" w:rsidP="00C20F59">
      <w:pPr>
        <w:pStyle w:val="ListParagraph"/>
        <w:numPr>
          <w:ilvl w:val="0"/>
          <w:numId w:val="4"/>
        </w:numPr>
        <w:spacing w:line="360" w:lineRule="auto"/>
        <w:jc w:val="both"/>
        <w:rPr>
          <w:rFonts w:ascii="Times New Roman" w:hAnsi="Times New Roman" w:cs="Times New Roman"/>
          <w:sz w:val="24"/>
          <w:szCs w:val="24"/>
        </w:rPr>
      </w:pPr>
      <w:r w:rsidRPr="0031743F">
        <w:rPr>
          <w:rFonts w:ascii="Times New Roman" w:hAnsi="Times New Roman" w:cs="Times New Roman"/>
          <w:sz w:val="24"/>
          <w:szCs w:val="24"/>
        </w:rPr>
        <w:t>Project Manager (Responsible): Will monitor implementation and compliance with cost and schedule baselines.</w:t>
      </w:r>
    </w:p>
    <w:p w14:paraId="386A7647" w14:textId="77777777" w:rsidR="00C20F59" w:rsidRPr="0031743F" w:rsidRDefault="00C20F59" w:rsidP="00C20F59">
      <w:pPr>
        <w:pStyle w:val="ListParagraph"/>
        <w:numPr>
          <w:ilvl w:val="0"/>
          <w:numId w:val="4"/>
        </w:numPr>
        <w:spacing w:line="360" w:lineRule="auto"/>
        <w:jc w:val="both"/>
        <w:rPr>
          <w:rFonts w:ascii="Times New Roman" w:hAnsi="Times New Roman" w:cs="Times New Roman"/>
          <w:sz w:val="24"/>
          <w:szCs w:val="24"/>
        </w:rPr>
      </w:pPr>
      <w:r w:rsidRPr="0031743F">
        <w:rPr>
          <w:rFonts w:ascii="Times New Roman" w:hAnsi="Times New Roman" w:cs="Times New Roman"/>
          <w:sz w:val="24"/>
          <w:szCs w:val="24"/>
        </w:rPr>
        <w:t>Manager Cost / Quantity Surveyor (Responsible): Prepares the cost estimates, budgets, and Earned Value Management (EVM).</w:t>
      </w:r>
    </w:p>
    <w:p w14:paraId="1195F5FE" w14:textId="48E4E9B1" w:rsidR="0031743F" w:rsidRDefault="00C20F59" w:rsidP="0031743F">
      <w:pPr>
        <w:pStyle w:val="ListParagraph"/>
        <w:numPr>
          <w:ilvl w:val="0"/>
          <w:numId w:val="4"/>
        </w:numPr>
        <w:spacing w:line="360" w:lineRule="auto"/>
        <w:jc w:val="both"/>
        <w:rPr>
          <w:rFonts w:ascii="Times New Roman" w:hAnsi="Times New Roman" w:cs="Times New Roman"/>
          <w:sz w:val="24"/>
          <w:szCs w:val="24"/>
        </w:rPr>
      </w:pPr>
      <w:r w:rsidRPr="0031743F">
        <w:rPr>
          <w:rFonts w:ascii="Times New Roman" w:hAnsi="Times New Roman" w:cs="Times New Roman"/>
          <w:sz w:val="24"/>
          <w:szCs w:val="24"/>
        </w:rPr>
        <w:t>Risk Manager (Consulted): The risk manager keeps the risk register and assesses the financial</w:t>
      </w:r>
      <w:r w:rsidR="0031743F">
        <w:rPr>
          <w:rFonts w:ascii="Times New Roman" w:hAnsi="Times New Roman" w:cs="Times New Roman"/>
          <w:sz w:val="24"/>
          <w:szCs w:val="24"/>
        </w:rPr>
        <w:t xml:space="preserve"> exposure.</w:t>
      </w:r>
    </w:p>
    <w:p w14:paraId="65735396" w14:textId="77777777" w:rsidR="0031743F" w:rsidRPr="0031743F" w:rsidRDefault="0031743F" w:rsidP="0031743F">
      <w:pPr>
        <w:spacing w:line="360" w:lineRule="auto"/>
        <w:jc w:val="both"/>
        <w:rPr>
          <w:rFonts w:ascii="Times New Roman" w:hAnsi="Times New Roman" w:cs="Times New Roman"/>
          <w:sz w:val="24"/>
          <w:szCs w:val="24"/>
        </w:rPr>
      </w:pPr>
    </w:p>
    <w:p w14:paraId="5E4C2362" w14:textId="253E6347" w:rsidR="00C20F59" w:rsidRPr="0031743F" w:rsidRDefault="00C20F59" w:rsidP="0031743F">
      <w:pPr>
        <w:pStyle w:val="ListParagraph"/>
        <w:numPr>
          <w:ilvl w:val="0"/>
          <w:numId w:val="4"/>
        </w:numPr>
        <w:spacing w:line="360" w:lineRule="auto"/>
        <w:jc w:val="both"/>
        <w:rPr>
          <w:rFonts w:ascii="Times New Roman" w:hAnsi="Times New Roman" w:cs="Times New Roman"/>
          <w:sz w:val="24"/>
          <w:szCs w:val="24"/>
        </w:rPr>
      </w:pPr>
      <w:r w:rsidRPr="00671C82">
        <w:rPr>
          <w:noProof/>
        </w:rPr>
        <w:drawing>
          <wp:inline distT="0" distB="0" distL="0" distR="0" wp14:anchorId="69A1BD14" wp14:editId="7CDF9A14">
            <wp:extent cx="5938772" cy="2797791"/>
            <wp:effectExtent l="0" t="0" r="5080" b="317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2"/>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954203" cy="2805061"/>
                    </a:xfrm>
                    <a:prstGeom prst="rect">
                      <a:avLst/>
                    </a:prstGeom>
                    <a:noFill/>
                    <a:ln>
                      <a:noFill/>
                    </a:ln>
                  </pic:spPr>
                </pic:pic>
              </a:graphicData>
            </a:graphic>
          </wp:inline>
        </w:drawing>
      </w:r>
    </w:p>
    <w:p w14:paraId="29F65592" w14:textId="77777777" w:rsidR="00C20F59" w:rsidRDefault="00C20F59" w:rsidP="00C20F59">
      <w:pPr>
        <w:pStyle w:val="Caption"/>
        <w:spacing w:line="360" w:lineRule="auto"/>
      </w:pPr>
      <w:bookmarkStart w:id="17" w:name="_Toc225177772"/>
      <w:r>
        <w:t xml:space="preserve">Figure </w:t>
      </w:r>
      <w:r>
        <w:fldChar w:fldCharType="begin"/>
      </w:r>
      <w:r>
        <w:instrText xml:space="preserve"> SEQ Figure \* ARABIC </w:instrText>
      </w:r>
      <w:r>
        <w:fldChar w:fldCharType="separate"/>
      </w:r>
      <w:r>
        <w:rPr>
          <w:noProof/>
        </w:rPr>
        <w:t>7</w:t>
      </w:r>
      <w:r>
        <w:rPr>
          <w:noProof/>
        </w:rPr>
        <w:fldChar w:fldCharType="end"/>
      </w:r>
      <w:r>
        <w:t xml:space="preserve">: </w:t>
      </w:r>
      <w:r w:rsidRPr="000F5439">
        <w:t>RACI Matrix (Project Financial Management)</w:t>
      </w:r>
      <w:r>
        <w:t>; (Source: Author)</w:t>
      </w:r>
      <w:bookmarkEnd w:id="17"/>
    </w:p>
    <w:p w14:paraId="6A3D9C40" w14:textId="77777777" w:rsidR="00C20F59" w:rsidRPr="0031743F" w:rsidRDefault="00C20F59" w:rsidP="00C20F59">
      <w:pPr>
        <w:pStyle w:val="Heading2"/>
        <w:spacing w:line="360" w:lineRule="auto"/>
        <w:rPr>
          <w:rFonts w:ascii="Times New Roman" w:hAnsi="Times New Roman" w:cs="Times New Roman"/>
          <w:color w:val="auto"/>
          <w:sz w:val="28"/>
          <w:szCs w:val="28"/>
          <w:u w:val="single"/>
        </w:rPr>
      </w:pPr>
      <w:bookmarkStart w:id="18" w:name="_Toc225194584"/>
      <w:r w:rsidRPr="0031743F">
        <w:rPr>
          <w:rFonts w:ascii="Times New Roman" w:hAnsi="Times New Roman" w:cs="Times New Roman"/>
          <w:color w:val="auto"/>
          <w:sz w:val="28"/>
          <w:szCs w:val="28"/>
          <w:u w:val="single"/>
        </w:rPr>
        <w:t>C2. Cost Baseline System</w:t>
      </w:r>
      <w:bookmarkEnd w:id="18"/>
    </w:p>
    <w:p w14:paraId="58A037C3" w14:textId="77777777" w:rsidR="00C20F59" w:rsidRPr="0031743F" w:rsidRDefault="00C20F59" w:rsidP="00C20F59">
      <w:pPr>
        <w:pStyle w:val="NormalWeb"/>
        <w:spacing w:line="360" w:lineRule="auto"/>
        <w:jc w:val="both"/>
      </w:pPr>
      <w:r w:rsidRPr="0031743F">
        <w:t>A solid cost base is established based on the Work Breakdown Structure (WBS) and the least cost Breakdown Structure (CBS) (Cerezo-Narvaez et al., 2020). Integrated baseline is a combination of scope, cost, and schedule, which is the basis of the performance measurement. To be precise, a risk register measures the possible financial effects, which allows for making cost changes in advance.</w:t>
      </w:r>
    </w:p>
    <w:p w14:paraId="15881EFD" w14:textId="77777777" w:rsidR="00C20F59" w:rsidRPr="0031743F" w:rsidRDefault="00C20F59" w:rsidP="00C20F59">
      <w:pPr>
        <w:pStyle w:val="Heading2"/>
        <w:spacing w:line="360" w:lineRule="auto"/>
        <w:rPr>
          <w:rFonts w:ascii="Times New Roman" w:hAnsi="Times New Roman" w:cs="Times New Roman"/>
          <w:color w:val="auto"/>
          <w:sz w:val="28"/>
          <w:szCs w:val="28"/>
          <w:u w:val="single"/>
        </w:rPr>
      </w:pPr>
      <w:bookmarkStart w:id="19" w:name="_Toc225194585"/>
      <w:r w:rsidRPr="0031743F">
        <w:rPr>
          <w:rFonts w:ascii="Times New Roman" w:hAnsi="Times New Roman" w:cs="Times New Roman"/>
          <w:color w:val="auto"/>
          <w:sz w:val="28"/>
          <w:szCs w:val="28"/>
          <w:u w:val="single"/>
        </w:rPr>
        <w:lastRenderedPageBreak/>
        <w:t>C3. Contingency Budgeting</w:t>
      </w:r>
      <w:bookmarkEnd w:id="19"/>
    </w:p>
    <w:p w14:paraId="2219A003" w14:textId="77777777" w:rsidR="00C20F59" w:rsidRPr="0031743F" w:rsidRDefault="00C20F59" w:rsidP="00C20F59">
      <w:pPr>
        <w:pStyle w:val="NormalWeb"/>
        <w:spacing w:line="360" w:lineRule="auto"/>
        <w:jc w:val="both"/>
      </w:pPr>
      <w:r w:rsidRPr="0031743F">
        <w:t>Contingency budgeting is critical for managing uncertainties. The project incorporates:</w:t>
      </w:r>
    </w:p>
    <w:p w14:paraId="4C1C4D3C" w14:textId="77777777" w:rsidR="00C20F59" w:rsidRPr="0031743F" w:rsidRDefault="00C20F59" w:rsidP="00C20F59">
      <w:pPr>
        <w:pStyle w:val="NormalWeb"/>
        <w:numPr>
          <w:ilvl w:val="0"/>
          <w:numId w:val="2"/>
        </w:numPr>
        <w:spacing w:line="360" w:lineRule="auto"/>
        <w:jc w:val="both"/>
      </w:pPr>
      <w:r w:rsidRPr="0031743F">
        <w:rPr>
          <w:rStyle w:val="Strong"/>
          <w:rFonts w:eastAsiaTheme="majorEastAsia"/>
        </w:rPr>
        <w:t>Project Contingency:</w:t>
      </w:r>
      <w:r w:rsidRPr="0031743F">
        <w:t xml:space="preserve"> Approximately 10% of CAPEX (£5 million) to address identified risks.</w:t>
      </w:r>
    </w:p>
    <w:p w14:paraId="74CBCED6" w14:textId="77777777" w:rsidR="00C20F59" w:rsidRPr="0031743F" w:rsidRDefault="00C20F59" w:rsidP="00C20F59">
      <w:pPr>
        <w:pStyle w:val="NormalWeb"/>
        <w:numPr>
          <w:ilvl w:val="0"/>
          <w:numId w:val="2"/>
        </w:numPr>
        <w:spacing w:line="360" w:lineRule="auto"/>
        <w:jc w:val="both"/>
      </w:pPr>
      <w:r w:rsidRPr="0031743F">
        <w:rPr>
          <w:rStyle w:val="Strong"/>
          <w:rFonts w:eastAsiaTheme="majorEastAsia"/>
        </w:rPr>
        <w:t>Management Reserve:</w:t>
      </w:r>
      <w:r w:rsidRPr="0031743F">
        <w:t xml:space="preserve"> 2–3% of total cost for unforeseen risks requiring sponsor approval.</w:t>
      </w:r>
    </w:p>
    <w:p w14:paraId="49CAD1FE" w14:textId="77777777" w:rsidR="00C20F59" w:rsidRPr="0031743F" w:rsidRDefault="00C20F59" w:rsidP="00C20F59">
      <w:pPr>
        <w:pStyle w:val="NormalWeb"/>
        <w:numPr>
          <w:ilvl w:val="0"/>
          <w:numId w:val="2"/>
        </w:numPr>
        <w:spacing w:line="360" w:lineRule="auto"/>
        <w:jc w:val="both"/>
      </w:pPr>
      <w:r w:rsidRPr="0031743F">
        <w:rPr>
          <w:rStyle w:val="Strong"/>
          <w:rFonts w:eastAsiaTheme="majorEastAsia"/>
        </w:rPr>
        <w:t>Inflation Allowance:</w:t>
      </w:r>
      <w:r w:rsidRPr="0031743F">
        <w:t xml:space="preserve"> Adjusted for 2.5% annual inflation.</w:t>
      </w:r>
    </w:p>
    <w:p w14:paraId="04E6C6A2" w14:textId="77777777" w:rsidR="00C20F59" w:rsidRPr="0031743F" w:rsidRDefault="00C20F59" w:rsidP="00C20F59">
      <w:pPr>
        <w:pStyle w:val="NormalWeb"/>
        <w:spacing w:line="360" w:lineRule="auto"/>
        <w:jc w:val="both"/>
      </w:pPr>
      <w:r w:rsidRPr="0031743F">
        <w:t>This tiered approach ensures controlled fund allocation and prevents budget overruns.</w:t>
      </w:r>
    </w:p>
    <w:p w14:paraId="245EE1A9" w14:textId="77777777" w:rsidR="00C20F59" w:rsidRPr="0031743F" w:rsidRDefault="00C20F59" w:rsidP="00C20F59">
      <w:pPr>
        <w:pStyle w:val="Heading2"/>
        <w:spacing w:line="360" w:lineRule="auto"/>
        <w:rPr>
          <w:rFonts w:ascii="Times New Roman" w:hAnsi="Times New Roman" w:cs="Times New Roman"/>
          <w:color w:val="auto"/>
          <w:sz w:val="28"/>
          <w:szCs w:val="28"/>
          <w:u w:val="single"/>
        </w:rPr>
      </w:pPr>
      <w:bookmarkStart w:id="20" w:name="_Toc225194586"/>
      <w:r w:rsidRPr="0031743F">
        <w:rPr>
          <w:rFonts w:ascii="Times New Roman" w:hAnsi="Times New Roman" w:cs="Times New Roman"/>
          <w:color w:val="auto"/>
          <w:sz w:val="28"/>
          <w:szCs w:val="28"/>
          <w:u w:val="single"/>
        </w:rPr>
        <w:t>C4. Earned Value Management (EVM)</w:t>
      </w:r>
      <w:bookmarkEnd w:id="20"/>
    </w:p>
    <w:p w14:paraId="6703DBB2" w14:textId="77777777" w:rsidR="00C20F59" w:rsidRDefault="00C20F59" w:rsidP="00C20F59">
      <w:pPr>
        <w:pStyle w:val="NormalWeb"/>
        <w:spacing w:line="360" w:lineRule="auto"/>
        <w:jc w:val="both"/>
      </w:pPr>
      <w:r>
        <w:t xml:space="preserve">EVM provides a quantitative method for tracking performance using </w:t>
      </w:r>
      <w:r>
        <w:rPr>
          <w:color w:val="000000"/>
          <w:shd w:val="clear" w:color="auto" w:fill="FFFFFF"/>
        </w:rPr>
        <w:t>(Proaño-Narváez et al., 2022)</w:t>
      </w:r>
      <w:r>
        <w:t>:</w:t>
      </w:r>
    </w:p>
    <w:p w14:paraId="1A102A90" w14:textId="77777777" w:rsidR="00C20F59" w:rsidRDefault="00C20F59" w:rsidP="00C20F59">
      <w:pPr>
        <w:pStyle w:val="NormalWeb"/>
        <w:numPr>
          <w:ilvl w:val="0"/>
          <w:numId w:val="3"/>
        </w:numPr>
        <w:spacing w:line="360" w:lineRule="auto"/>
        <w:jc w:val="both"/>
      </w:pPr>
      <w:r>
        <w:rPr>
          <w:rStyle w:val="Strong"/>
          <w:rFonts w:eastAsiaTheme="majorEastAsia"/>
        </w:rPr>
        <w:t>Planned Value (PV)</w:t>
      </w:r>
    </w:p>
    <w:p w14:paraId="793D8331" w14:textId="77777777" w:rsidR="00C20F59" w:rsidRDefault="00C20F59" w:rsidP="00C20F59">
      <w:pPr>
        <w:pStyle w:val="NormalWeb"/>
        <w:numPr>
          <w:ilvl w:val="0"/>
          <w:numId w:val="3"/>
        </w:numPr>
        <w:spacing w:line="360" w:lineRule="auto"/>
        <w:jc w:val="both"/>
      </w:pPr>
      <w:r>
        <w:rPr>
          <w:rStyle w:val="Strong"/>
          <w:rFonts w:eastAsiaTheme="majorEastAsia"/>
        </w:rPr>
        <w:t>Earned Value (EV)</w:t>
      </w:r>
    </w:p>
    <w:p w14:paraId="47DEE76F" w14:textId="77777777" w:rsidR="00C20F59" w:rsidRDefault="00C20F59" w:rsidP="00C20F59">
      <w:pPr>
        <w:pStyle w:val="NormalWeb"/>
        <w:numPr>
          <w:ilvl w:val="0"/>
          <w:numId w:val="3"/>
        </w:numPr>
        <w:spacing w:line="360" w:lineRule="auto"/>
        <w:jc w:val="both"/>
      </w:pPr>
      <w:r>
        <w:rPr>
          <w:rStyle w:val="Strong"/>
          <w:rFonts w:eastAsiaTheme="majorEastAsia"/>
        </w:rPr>
        <w:t>Actual Cost (AC)</w:t>
      </w:r>
    </w:p>
    <w:p w14:paraId="4D61783F" w14:textId="77777777" w:rsidR="00C20F59" w:rsidRDefault="00C20F59" w:rsidP="00C20F59">
      <w:pPr>
        <w:pStyle w:val="NormalWeb"/>
        <w:spacing w:line="360" w:lineRule="auto"/>
        <w:jc w:val="both"/>
      </w:pPr>
      <w:r>
        <w:rPr>
          <w:rStyle w:val="Strong"/>
          <w:rFonts w:eastAsiaTheme="majorEastAsia"/>
        </w:rPr>
        <w:t>Key Indicators:</w:t>
      </w:r>
    </w:p>
    <w:tbl>
      <w:tblPr>
        <w:tblStyle w:val="TableGrid"/>
        <w:tblW w:w="5000" w:type="pct"/>
        <w:tblLook w:val="04A0" w:firstRow="1" w:lastRow="0" w:firstColumn="1" w:lastColumn="0" w:noHBand="0" w:noVBand="1"/>
      </w:tblPr>
      <w:tblGrid>
        <w:gridCol w:w="983"/>
        <w:gridCol w:w="1201"/>
        <w:gridCol w:w="941"/>
        <w:gridCol w:w="5891"/>
      </w:tblGrid>
      <w:tr w:rsidR="00C20F59" w:rsidRPr="00AA0B5D" w14:paraId="4BEAF105" w14:textId="77777777" w:rsidTr="006B3D70">
        <w:tc>
          <w:tcPr>
            <w:tcW w:w="545" w:type="pct"/>
            <w:hideMark/>
          </w:tcPr>
          <w:p w14:paraId="2F4EEA72" w14:textId="77777777" w:rsidR="00C20F59" w:rsidRPr="00AA0B5D" w:rsidRDefault="00C20F59" w:rsidP="006B3D70">
            <w:pPr>
              <w:spacing w:line="360" w:lineRule="auto"/>
              <w:jc w:val="center"/>
              <w:rPr>
                <w:rFonts w:eastAsia="Times New Roman" w:cs="Times New Roman"/>
                <w:b/>
                <w:bCs/>
                <w:szCs w:val="24"/>
                <w:lang w:eastAsia="en-IN"/>
              </w:rPr>
            </w:pPr>
            <w:r w:rsidRPr="00AA0B5D">
              <w:rPr>
                <w:rFonts w:eastAsia="Times New Roman" w:cs="Times New Roman"/>
                <w:b/>
                <w:bCs/>
                <w:szCs w:val="24"/>
                <w:lang w:eastAsia="en-IN"/>
              </w:rPr>
              <w:t>Metric</w:t>
            </w:r>
          </w:p>
        </w:tc>
        <w:tc>
          <w:tcPr>
            <w:tcW w:w="666" w:type="pct"/>
            <w:hideMark/>
          </w:tcPr>
          <w:p w14:paraId="0184DDED" w14:textId="77777777" w:rsidR="00C20F59" w:rsidRPr="00AA0B5D" w:rsidRDefault="00C20F59" w:rsidP="006B3D70">
            <w:pPr>
              <w:spacing w:line="360" w:lineRule="auto"/>
              <w:jc w:val="center"/>
              <w:rPr>
                <w:rFonts w:eastAsia="Times New Roman" w:cs="Times New Roman"/>
                <w:b/>
                <w:bCs/>
                <w:szCs w:val="24"/>
                <w:lang w:eastAsia="en-IN"/>
              </w:rPr>
            </w:pPr>
            <w:r w:rsidRPr="00AA0B5D">
              <w:rPr>
                <w:rFonts w:eastAsia="Times New Roman" w:cs="Times New Roman"/>
                <w:b/>
                <w:bCs/>
                <w:szCs w:val="24"/>
                <w:lang w:eastAsia="en-IN"/>
              </w:rPr>
              <w:t>Formula</w:t>
            </w:r>
          </w:p>
        </w:tc>
        <w:tc>
          <w:tcPr>
            <w:tcW w:w="522" w:type="pct"/>
            <w:hideMark/>
          </w:tcPr>
          <w:p w14:paraId="61427DA6" w14:textId="77777777" w:rsidR="00C20F59" w:rsidRPr="00AA0B5D" w:rsidRDefault="00C20F59" w:rsidP="006B3D70">
            <w:pPr>
              <w:spacing w:line="360" w:lineRule="auto"/>
              <w:jc w:val="center"/>
              <w:rPr>
                <w:rFonts w:eastAsia="Times New Roman" w:cs="Times New Roman"/>
                <w:b/>
                <w:bCs/>
                <w:szCs w:val="24"/>
                <w:lang w:eastAsia="en-IN"/>
              </w:rPr>
            </w:pPr>
            <w:r w:rsidRPr="00AA0B5D">
              <w:rPr>
                <w:rFonts w:eastAsia="Times New Roman" w:cs="Times New Roman"/>
                <w:b/>
                <w:bCs/>
                <w:szCs w:val="24"/>
                <w:lang w:eastAsia="en-IN"/>
              </w:rPr>
              <w:t>Result</w:t>
            </w:r>
          </w:p>
        </w:tc>
        <w:tc>
          <w:tcPr>
            <w:tcW w:w="3267" w:type="pct"/>
            <w:hideMark/>
          </w:tcPr>
          <w:p w14:paraId="4EDB3E1E" w14:textId="77777777" w:rsidR="00C20F59" w:rsidRPr="00AA0B5D" w:rsidRDefault="00C20F59" w:rsidP="006B3D70">
            <w:pPr>
              <w:spacing w:line="360" w:lineRule="auto"/>
              <w:jc w:val="center"/>
              <w:rPr>
                <w:rFonts w:eastAsia="Times New Roman" w:cs="Times New Roman"/>
                <w:b/>
                <w:bCs/>
                <w:szCs w:val="24"/>
                <w:lang w:eastAsia="en-IN"/>
              </w:rPr>
            </w:pPr>
            <w:r w:rsidRPr="00AA0B5D">
              <w:rPr>
                <w:rFonts w:eastAsia="Times New Roman" w:cs="Times New Roman"/>
                <w:b/>
                <w:bCs/>
                <w:szCs w:val="24"/>
                <w:lang w:eastAsia="en-IN"/>
              </w:rPr>
              <w:t>Interpretation</w:t>
            </w:r>
          </w:p>
        </w:tc>
      </w:tr>
      <w:tr w:rsidR="00C20F59" w:rsidRPr="00AA0B5D" w14:paraId="044CBB27" w14:textId="77777777" w:rsidTr="006B3D70">
        <w:tc>
          <w:tcPr>
            <w:tcW w:w="545" w:type="pct"/>
            <w:hideMark/>
          </w:tcPr>
          <w:p w14:paraId="0F2D2AC8" w14:textId="77777777" w:rsidR="00C20F59" w:rsidRPr="00AA0B5D" w:rsidRDefault="00C20F59" w:rsidP="006B3D70">
            <w:pPr>
              <w:spacing w:line="360" w:lineRule="auto"/>
              <w:rPr>
                <w:rFonts w:eastAsia="Times New Roman" w:cs="Times New Roman"/>
                <w:szCs w:val="24"/>
                <w:lang w:eastAsia="en-IN"/>
              </w:rPr>
            </w:pPr>
            <w:r w:rsidRPr="00AA0B5D">
              <w:rPr>
                <w:rFonts w:eastAsia="Times New Roman" w:cs="Times New Roman"/>
                <w:szCs w:val="24"/>
                <w:lang w:eastAsia="en-IN"/>
              </w:rPr>
              <w:t>CPI</w:t>
            </w:r>
          </w:p>
        </w:tc>
        <w:tc>
          <w:tcPr>
            <w:tcW w:w="666" w:type="pct"/>
            <w:hideMark/>
          </w:tcPr>
          <w:p w14:paraId="52CEE597" w14:textId="77777777" w:rsidR="00C20F59" w:rsidRPr="00AA0B5D" w:rsidRDefault="00C20F59" w:rsidP="006B3D70">
            <w:pPr>
              <w:spacing w:line="360" w:lineRule="auto"/>
              <w:rPr>
                <w:rFonts w:eastAsia="Times New Roman" w:cs="Times New Roman"/>
                <w:szCs w:val="24"/>
                <w:lang w:eastAsia="en-IN"/>
              </w:rPr>
            </w:pPr>
            <w:r w:rsidRPr="00AA0B5D">
              <w:rPr>
                <w:rFonts w:eastAsia="Times New Roman" w:cs="Times New Roman"/>
                <w:szCs w:val="24"/>
                <w:lang w:eastAsia="en-IN"/>
              </w:rPr>
              <w:t>EV / AC</w:t>
            </w:r>
          </w:p>
        </w:tc>
        <w:tc>
          <w:tcPr>
            <w:tcW w:w="522" w:type="pct"/>
            <w:hideMark/>
          </w:tcPr>
          <w:p w14:paraId="664AAEC4" w14:textId="77777777" w:rsidR="00C20F59" w:rsidRPr="00AA0B5D" w:rsidRDefault="00C20F59" w:rsidP="006B3D70">
            <w:pPr>
              <w:spacing w:line="360" w:lineRule="auto"/>
              <w:rPr>
                <w:rFonts w:eastAsia="Times New Roman" w:cs="Times New Roman"/>
                <w:szCs w:val="24"/>
                <w:lang w:eastAsia="en-IN"/>
              </w:rPr>
            </w:pPr>
            <w:r w:rsidRPr="00AA0B5D">
              <w:rPr>
                <w:rFonts w:eastAsia="Times New Roman" w:cs="Times New Roman"/>
                <w:b/>
                <w:bCs/>
                <w:szCs w:val="24"/>
                <w:lang w:eastAsia="en-IN"/>
              </w:rPr>
              <w:t>0.84</w:t>
            </w:r>
          </w:p>
        </w:tc>
        <w:tc>
          <w:tcPr>
            <w:tcW w:w="3267" w:type="pct"/>
            <w:hideMark/>
          </w:tcPr>
          <w:p w14:paraId="5A1F7808" w14:textId="77777777" w:rsidR="00C20F59" w:rsidRPr="00AA0B5D" w:rsidRDefault="00C20F59" w:rsidP="006B3D70">
            <w:pPr>
              <w:spacing w:line="360" w:lineRule="auto"/>
              <w:rPr>
                <w:rFonts w:eastAsia="Times New Roman" w:cs="Times New Roman"/>
                <w:szCs w:val="24"/>
                <w:lang w:eastAsia="en-IN"/>
              </w:rPr>
            </w:pPr>
            <w:r w:rsidRPr="00AA0B5D">
              <w:rPr>
                <w:rFonts w:eastAsia="Times New Roman" w:cs="Times New Roman"/>
                <w:szCs w:val="24"/>
                <w:lang w:eastAsia="en-IN"/>
              </w:rPr>
              <w:t>Significant cost overrun (inefficient cost performance)</w:t>
            </w:r>
          </w:p>
        </w:tc>
      </w:tr>
      <w:tr w:rsidR="00C20F59" w:rsidRPr="00AA0B5D" w14:paraId="298EE2DB" w14:textId="77777777" w:rsidTr="006B3D70">
        <w:tc>
          <w:tcPr>
            <w:tcW w:w="545" w:type="pct"/>
            <w:hideMark/>
          </w:tcPr>
          <w:p w14:paraId="0EB47E65" w14:textId="77777777" w:rsidR="00C20F59" w:rsidRPr="00AA0B5D" w:rsidRDefault="00C20F59" w:rsidP="006B3D70">
            <w:pPr>
              <w:spacing w:line="360" w:lineRule="auto"/>
              <w:rPr>
                <w:rFonts w:eastAsia="Times New Roman" w:cs="Times New Roman"/>
                <w:szCs w:val="24"/>
                <w:lang w:eastAsia="en-IN"/>
              </w:rPr>
            </w:pPr>
            <w:r w:rsidRPr="00AA0B5D">
              <w:rPr>
                <w:rFonts w:eastAsia="Times New Roman" w:cs="Times New Roman"/>
                <w:szCs w:val="24"/>
                <w:lang w:eastAsia="en-IN"/>
              </w:rPr>
              <w:t>SPI</w:t>
            </w:r>
          </w:p>
        </w:tc>
        <w:tc>
          <w:tcPr>
            <w:tcW w:w="666" w:type="pct"/>
            <w:hideMark/>
          </w:tcPr>
          <w:p w14:paraId="3D619726" w14:textId="77777777" w:rsidR="00C20F59" w:rsidRPr="00AA0B5D" w:rsidRDefault="00C20F59" w:rsidP="006B3D70">
            <w:pPr>
              <w:spacing w:line="360" w:lineRule="auto"/>
              <w:rPr>
                <w:rFonts w:eastAsia="Times New Roman" w:cs="Times New Roman"/>
                <w:szCs w:val="24"/>
                <w:lang w:eastAsia="en-IN"/>
              </w:rPr>
            </w:pPr>
            <w:r w:rsidRPr="00AA0B5D">
              <w:rPr>
                <w:rFonts w:eastAsia="Times New Roman" w:cs="Times New Roman"/>
                <w:szCs w:val="24"/>
                <w:lang w:eastAsia="en-IN"/>
              </w:rPr>
              <w:t>EV / PV</w:t>
            </w:r>
          </w:p>
        </w:tc>
        <w:tc>
          <w:tcPr>
            <w:tcW w:w="522" w:type="pct"/>
            <w:hideMark/>
          </w:tcPr>
          <w:p w14:paraId="63F057F5" w14:textId="77777777" w:rsidR="00C20F59" w:rsidRPr="00AA0B5D" w:rsidRDefault="00C20F59" w:rsidP="006B3D70">
            <w:pPr>
              <w:spacing w:line="360" w:lineRule="auto"/>
              <w:rPr>
                <w:rFonts w:eastAsia="Times New Roman" w:cs="Times New Roman"/>
                <w:szCs w:val="24"/>
                <w:lang w:eastAsia="en-IN"/>
              </w:rPr>
            </w:pPr>
            <w:r w:rsidRPr="00AA0B5D">
              <w:rPr>
                <w:rFonts w:eastAsia="Times New Roman" w:cs="Times New Roman"/>
                <w:b/>
                <w:bCs/>
                <w:szCs w:val="24"/>
                <w:lang w:eastAsia="en-IN"/>
              </w:rPr>
              <w:t>0.92</w:t>
            </w:r>
          </w:p>
        </w:tc>
        <w:tc>
          <w:tcPr>
            <w:tcW w:w="3267" w:type="pct"/>
            <w:hideMark/>
          </w:tcPr>
          <w:p w14:paraId="166B32F7" w14:textId="77777777" w:rsidR="00C20F59" w:rsidRPr="00AA0B5D" w:rsidRDefault="00C20F59" w:rsidP="006B3D70">
            <w:pPr>
              <w:spacing w:line="360" w:lineRule="auto"/>
              <w:rPr>
                <w:rFonts w:eastAsia="Times New Roman" w:cs="Times New Roman"/>
                <w:szCs w:val="24"/>
                <w:lang w:eastAsia="en-IN"/>
              </w:rPr>
            </w:pPr>
            <w:r>
              <w:rPr>
                <w:rFonts w:eastAsia="Times New Roman" w:cs="Times New Roman"/>
                <w:szCs w:val="24"/>
                <w:lang w:eastAsia="en-IN"/>
              </w:rPr>
              <w:t>The p</w:t>
            </w:r>
            <w:r w:rsidRPr="00AA0B5D">
              <w:rPr>
                <w:rFonts w:eastAsia="Times New Roman" w:cs="Times New Roman"/>
                <w:szCs w:val="24"/>
                <w:lang w:eastAsia="en-IN"/>
              </w:rPr>
              <w:t>roject is behind schedule</w:t>
            </w:r>
          </w:p>
        </w:tc>
      </w:tr>
    </w:tbl>
    <w:p w14:paraId="287B8F30" w14:textId="67AE6A5A" w:rsidR="00C20F59" w:rsidRPr="00C20F59" w:rsidRDefault="00C20F59" w:rsidP="00C20F59"/>
    <w:p w14:paraId="2F725F03" w14:textId="77777777" w:rsidR="00C20F59" w:rsidRPr="0031743F" w:rsidRDefault="00C20F59" w:rsidP="00C20F59">
      <w:pPr>
        <w:rPr>
          <w:rFonts w:ascii="Times New Roman" w:hAnsi="Times New Roman" w:cs="Times New Roman"/>
          <w:sz w:val="24"/>
          <w:szCs w:val="24"/>
        </w:rPr>
      </w:pPr>
      <w:r w:rsidRPr="0031743F">
        <w:rPr>
          <w:rFonts w:ascii="Times New Roman" w:hAnsi="Times New Roman" w:cs="Times New Roman"/>
          <w:sz w:val="24"/>
          <w:szCs w:val="24"/>
        </w:rPr>
        <w:t>A CPI of 0.84 indicates significant cost inefficiency, meaning the project is over budget, while an SPI of 0.92 suggests moderate schedule delays. These results highlight underlying performance issues that require corrective action to prevent further cost overruns and project delays (Malingkas, 2025).</w:t>
      </w:r>
    </w:p>
    <w:p w14:paraId="0D4AC978" w14:textId="77777777" w:rsidR="00C20F59" w:rsidRDefault="00C20F59" w:rsidP="00C20F59">
      <w:pPr>
        <w:pStyle w:val="NormalWeb"/>
        <w:spacing w:line="360" w:lineRule="auto"/>
        <w:jc w:val="both"/>
      </w:pPr>
      <w:r>
        <w:rPr>
          <w:noProof/>
        </w:rPr>
        <w:lastRenderedPageBreak/>
        <w:drawing>
          <wp:inline distT="0" distB="0" distL="0" distR="0" wp14:anchorId="21B617EB" wp14:editId="61C0573A">
            <wp:extent cx="4572000" cy="2743200"/>
            <wp:effectExtent l="0" t="0" r="0" b="0"/>
            <wp:docPr id="10" name="Chart 10"/>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2AC80489" w14:textId="77777777" w:rsidR="0031743F" w:rsidRDefault="0031743F" w:rsidP="00C20F59">
      <w:pPr>
        <w:pStyle w:val="Heading2"/>
        <w:spacing w:line="360" w:lineRule="auto"/>
        <w:rPr>
          <w:rFonts w:ascii="Times New Roman" w:hAnsi="Times New Roman" w:cs="Times New Roman"/>
          <w:color w:val="auto"/>
          <w:sz w:val="28"/>
          <w:szCs w:val="28"/>
          <w:u w:val="single"/>
        </w:rPr>
      </w:pPr>
    </w:p>
    <w:p w14:paraId="28929461" w14:textId="77777777" w:rsidR="0031743F" w:rsidRDefault="0031743F" w:rsidP="00C20F59">
      <w:pPr>
        <w:pStyle w:val="Heading2"/>
        <w:spacing w:line="360" w:lineRule="auto"/>
        <w:rPr>
          <w:rFonts w:ascii="Times New Roman" w:hAnsi="Times New Roman" w:cs="Times New Roman"/>
          <w:color w:val="auto"/>
          <w:sz w:val="28"/>
          <w:szCs w:val="28"/>
          <w:u w:val="single"/>
        </w:rPr>
      </w:pPr>
    </w:p>
    <w:p w14:paraId="091FBD84" w14:textId="5662D502" w:rsidR="00C20F59" w:rsidRPr="0031743F" w:rsidRDefault="00C20F59" w:rsidP="00C20F59">
      <w:pPr>
        <w:pStyle w:val="Heading2"/>
        <w:spacing w:line="360" w:lineRule="auto"/>
        <w:rPr>
          <w:rFonts w:ascii="Times New Roman" w:hAnsi="Times New Roman" w:cs="Times New Roman"/>
          <w:color w:val="auto"/>
          <w:sz w:val="28"/>
          <w:szCs w:val="28"/>
          <w:u w:val="single"/>
        </w:rPr>
      </w:pPr>
      <w:bookmarkStart w:id="21" w:name="_Toc225194587"/>
      <w:r w:rsidRPr="0031743F">
        <w:rPr>
          <w:rFonts w:ascii="Times New Roman" w:hAnsi="Times New Roman" w:cs="Times New Roman"/>
          <w:color w:val="auto"/>
          <w:sz w:val="28"/>
          <w:szCs w:val="28"/>
          <w:u w:val="single"/>
        </w:rPr>
        <w:t>C5. Cost Monitoring Process</w:t>
      </w:r>
      <w:bookmarkEnd w:id="21"/>
    </w:p>
    <w:p w14:paraId="5FA5DDDE" w14:textId="77777777" w:rsidR="00C20F59" w:rsidRPr="0031743F" w:rsidRDefault="00C20F59" w:rsidP="00C20F59">
      <w:pPr>
        <w:spacing w:before="100" w:beforeAutospacing="1" w:after="100" w:afterAutospacing="1" w:line="360" w:lineRule="auto"/>
        <w:rPr>
          <w:rFonts w:ascii="Times New Roman" w:eastAsia="Times New Roman" w:hAnsi="Times New Roman" w:cs="Times New Roman"/>
          <w:sz w:val="24"/>
          <w:szCs w:val="24"/>
          <w:lang w:val="en-IN" w:eastAsia="en-IN"/>
        </w:rPr>
      </w:pPr>
      <w:r w:rsidRPr="0031743F">
        <w:rPr>
          <w:rFonts w:ascii="Times New Roman" w:eastAsia="Times New Roman" w:hAnsi="Times New Roman" w:cs="Times New Roman"/>
          <w:sz w:val="24"/>
          <w:szCs w:val="24"/>
          <w:lang w:val="en-IN" w:eastAsia="en-IN"/>
        </w:rPr>
        <w:t>A structured monitoring cycle is implemented:</w:t>
      </w:r>
    </w:p>
    <w:p w14:paraId="793D751F" w14:textId="77777777" w:rsidR="00C20F59" w:rsidRPr="0031743F" w:rsidRDefault="00C20F59" w:rsidP="00C20F59">
      <w:pPr>
        <w:pStyle w:val="ListParagraph"/>
        <w:numPr>
          <w:ilvl w:val="0"/>
          <w:numId w:val="5"/>
        </w:numPr>
        <w:spacing w:before="100" w:beforeAutospacing="1" w:after="100" w:afterAutospacing="1" w:line="360" w:lineRule="auto"/>
        <w:jc w:val="both"/>
        <w:rPr>
          <w:rFonts w:ascii="Times New Roman" w:eastAsia="Times New Roman" w:hAnsi="Times New Roman" w:cs="Times New Roman"/>
          <w:szCs w:val="24"/>
          <w:lang w:val="en-IN" w:eastAsia="en-IN"/>
        </w:rPr>
      </w:pPr>
      <w:r w:rsidRPr="0031743F">
        <w:rPr>
          <w:rFonts w:ascii="Times New Roman" w:eastAsia="Times New Roman" w:hAnsi="Times New Roman" w:cs="Times New Roman"/>
          <w:b/>
          <w:bCs/>
          <w:szCs w:val="24"/>
          <w:lang w:val="en-IN" w:eastAsia="en-IN"/>
        </w:rPr>
        <w:t>Monthly Reviews:</w:t>
      </w:r>
      <w:r w:rsidRPr="0031743F">
        <w:rPr>
          <w:rFonts w:ascii="Times New Roman" w:eastAsia="Times New Roman" w:hAnsi="Times New Roman" w:cs="Times New Roman"/>
          <w:szCs w:val="24"/>
          <w:lang w:val="en-IN" w:eastAsia="en-IN"/>
        </w:rPr>
        <w:t xml:space="preserve"> Compare planned vs actual costs</w:t>
      </w:r>
      <w:r w:rsidRPr="0031743F">
        <w:rPr>
          <w:rFonts w:ascii="Times New Roman" w:hAnsi="Times New Roman" w:cs="Times New Roman"/>
        </w:rPr>
        <w:t xml:space="preserve"> </w:t>
      </w:r>
      <w:r w:rsidRPr="0031743F">
        <w:rPr>
          <w:rFonts w:ascii="Times New Roman" w:hAnsi="Times New Roman" w:cs="Times New Roman"/>
          <w:color w:val="000000"/>
          <w:shd w:val="clear" w:color="auto" w:fill="FFFFFF"/>
        </w:rPr>
        <w:t>(Malingkas, 2025).</w:t>
      </w:r>
    </w:p>
    <w:p w14:paraId="45C3208B" w14:textId="7DDC652D" w:rsidR="00C20F59" w:rsidRPr="0031743F" w:rsidRDefault="00C20F59" w:rsidP="00C20F59">
      <w:pPr>
        <w:pStyle w:val="ListParagraph"/>
        <w:numPr>
          <w:ilvl w:val="0"/>
          <w:numId w:val="5"/>
        </w:numPr>
        <w:spacing w:before="100" w:beforeAutospacing="1" w:after="100" w:afterAutospacing="1" w:line="360" w:lineRule="auto"/>
        <w:jc w:val="both"/>
        <w:rPr>
          <w:rFonts w:ascii="Times New Roman" w:eastAsia="Times New Roman" w:hAnsi="Times New Roman" w:cs="Times New Roman"/>
          <w:szCs w:val="24"/>
          <w:lang w:val="en-IN" w:eastAsia="en-IN"/>
        </w:rPr>
      </w:pPr>
      <w:r w:rsidRPr="0031743F">
        <w:rPr>
          <w:rFonts w:ascii="Times New Roman" w:eastAsia="Times New Roman" w:hAnsi="Times New Roman" w:cs="Times New Roman"/>
          <w:b/>
          <w:bCs/>
          <w:szCs w:val="24"/>
          <w:lang w:val="en-IN" w:eastAsia="en-IN"/>
        </w:rPr>
        <w:t>EAC Forecast:</w:t>
      </w:r>
      <w:r w:rsidRPr="0031743F">
        <w:rPr>
          <w:rFonts w:ascii="Times New Roman" w:hAnsi="Times New Roman" w:cs="Times New Roman"/>
        </w:rPr>
        <w:t xml:space="preserve"> </w:t>
      </w:r>
      <w:r w:rsidRPr="0031743F">
        <w:rPr>
          <w:rFonts w:ascii="Times New Roman" w:eastAsia="Times New Roman" w:hAnsi="Times New Roman" w:cs="Times New Roman"/>
          <w:szCs w:val="24"/>
          <w:lang w:eastAsia="en-IN"/>
        </w:rPr>
        <w:t>This projected overrun represents a substantial deviation from the initial budget and may significantly reduce overall project profitability if not addressed promptly.</w:t>
      </w:r>
    </w:p>
    <w:p w14:paraId="69C45F1E" w14:textId="77777777" w:rsidR="00C20F59" w:rsidRPr="0031743F" w:rsidRDefault="00C20F59" w:rsidP="00C20F59">
      <w:pPr>
        <w:pStyle w:val="ListParagraph"/>
        <w:spacing w:before="100" w:beforeAutospacing="1" w:after="100" w:afterAutospacing="1" w:line="360" w:lineRule="auto"/>
        <w:rPr>
          <w:rFonts w:ascii="Times New Roman" w:eastAsia="Times New Roman" w:hAnsi="Times New Roman" w:cs="Times New Roman"/>
          <w:szCs w:val="24"/>
          <w:lang w:val="en-IN" w:eastAsia="en-IN"/>
        </w:rPr>
      </w:pPr>
      <w:r w:rsidRPr="0031743F">
        <w:rPr>
          <w:rFonts w:ascii="Times New Roman" w:eastAsia="Times New Roman" w:hAnsi="Times New Roman" w:cs="Times New Roman"/>
          <w:szCs w:val="24"/>
          <w:lang w:val="en-IN" w:eastAsia="en-IN"/>
        </w:rPr>
        <w:t xml:space="preserve">EAC = BAC / CPI = £50M / 0.84 ≈ </w:t>
      </w:r>
      <w:r w:rsidRPr="0031743F">
        <w:rPr>
          <w:rFonts w:ascii="Times New Roman" w:eastAsia="Times New Roman" w:hAnsi="Times New Roman" w:cs="Times New Roman"/>
          <w:b/>
          <w:bCs/>
          <w:szCs w:val="24"/>
          <w:lang w:val="en-IN" w:eastAsia="en-IN"/>
        </w:rPr>
        <w:t>£59.52M</w:t>
      </w:r>
    </w:p>
    <w:p w14:paraId="2D81EDF2" w14:textId="77777777" w:rsidR="00C20F59" w:rsidRPr="0031743F" w:rsidRDefault="00C20F59" w:rsidP="00C20F59">
      <w:pPr>
        <w:pStyle w:val="ListParagraph"/>
        <w:spacing w:before="100" w:beforeAutospacing="1" w:after="100" w:afterAutospacing="1" w:line="360" w:lineRule="auto"/>
        <w:rPr>
          <w:rFonts w:ascii="Times New Roman" w:eastAsia="Times New Roman" w:hAnsi="Times New Roman" w:cs="Times New Roman"/>
          <w:szCs w:val="24"/>
          <w:lang w:val="en-IN" w:eastAsia="en-IN"/>
        </w:rPr>
      </w:pPr>
      <w:r w:rsidRPr="0031743F">
        <w:rPr>
          <w:rFonts w:ascii="Times New Roman" w:eastAsia="Times New Roman" w:hAnsi="Times New Roman" w:cs="Times New Roman"/>
          <w:szCs w:val="24"/>
          <w:lang w:val="en-IN" w:eastAsia="en-IN"/>
        </w:rPr>
        <w:t xml:space="preserve">→ Indicates </w:t>
      </w:r>
      <w:r w:rsidRPr="0031743F">
        <w:rPr>
          <w:rFonts w:ascii="Times New Roman" w:eastAsia="Times New Roman" w:hAnsi="Times New Roman" w:cs="Times New Roman"/>
          <w:b/>
          <w:bCs/>
          <w:szCs w:val="24"/>
          <w:lang w:val="en-IN" w:eastAsia="en-IN"/>
        </w:rPr>
        <w:t>£9.52M cost overrun.</w:t>
      </w:r>
      <w:r w:rsidRPr="0031743F">
        <w:rPr>
          <w:rFonts w:ascii="Times New Roman" w:eastAsia="Times New Roman" w:hAnsi="Times New Roman" w:cs="Times New Roman"/>
          <w:szCs w:val="24"/>
          <w:lang w:val="en-IN" w:eastAsia="en-IN"/>
        </w:rPr>
        <w:t xml:space="preserve"> </w:t>
      </w:r>
    </w:p>
    <w:p w14:paraId="6C9233E7" w14:textId="77777777" w:rsidR="00C20F59" w:rsidRPr="0031743F" w:rsidRDefault="00C20F59" w:rsidP="00C20F59">
      <w:pPr>
        <w:pStyle w:val="ListParagraph"/>
        <w:numPr>
          <w:ilvl w:val="0"/>
          <w:numId w:val="5"/>
        </w:numPr>
        <w:spacing w:before="100" w:beforeAutospacing="1" w:after="100" w:afterAutospacing="1" w:line="360" w:lineRule="auto"/>
        <w:jc w:val="both"/>
        <w:rPr>
          <w:rFonts w:ascii="Times New Roman" w:eastAsia="Times New Roman" w:hAnsi="Times New Roman" w:cs="Times New Roman"/>
          <w:szCs w:val="24"/>
          <w:lang w:val="en-IN" w:eastAsia="en-IN"/>
        </w:rPr>
      </w:pPr>
      <w:r w:rsidRPr="0031743F">
        <w:rPr>
          <w:rFonts w:ascii="Times New Roman" w:eastAsia="Times New Roman" w:hAnsi="Times New Roman" w:cs="Times New Roman"/>
          <w:b/>
          <w:bCs/>
          <w:szCs w:val="24"/>
          <w:lang w:val="en-IN" w:eastAsia="en-IN"/>
        </w:rPr>
        <w:t>Variance Analysis:</w:t>
      </w:r>
      <w:r w:rsidRPr="0031743F">
        <w:rPr>
          <w:rFonts w:ascii="Times New Roman" w:eastAsia="Times New Roman" w:hAnsi="Times New Roman" w:cs="Times New Roman"/>
          <w:szCs w:val="24"/>
          <w:lang w:val="en-IN" w:eastAsia="en-IN"/>
        </w:rPr>
        <w:t xml:space="preserve"> Identify causes and take corrective action </w:t>
      </w:r>
      <w:r w:rsidRPr="0031743F">
        <w:rPr>
          <w:rFonts w:ascii="Times New Roman" w:hAnsi="Times New Roman" w:cs="Times New Roman"/>
        </w:rPr>
        <w:t>(Hamza, 2026)</w:t>
      </w:r>
    </w:p>
    <w:p w14:paraId="5F8F5FA9" w14:textId="77777777" w:rsidR="00C20F59" w:rsidRPr="0031743F" w:rsidRDefault="00C20F59" w:rsidP="00C20F59">
      <w:pPr>
        <w:pStyle w:val="Heading2"/>
        <w:spacing w:line="360" w:lineRule="auto"/>
        <w:rPr>
          <w:rFonts w:ascii="Times New Roman" w:hAnsi="Times New Roman" w:cs="Times New Roman"/>
          <w:color w:val="auto"/>
          <w:sz w:val="28"/>
          <w:szCs w:val="28"/>
          <w:u w:val="single"/>
        </w:rPr>
      </w:pPr>
      <w:bookmarkStart w:id="22" w:name="_Toc225194588"/>
      <w:r w:rsidRPr="0031743F">
        <w:rPr>
          <w:rFonts w:ascii="Times New Roman" w:hAnsi="Times New Roman" w:cs="Times New Roman"/>
          <w:color w:val="auto"/>
          <w:sz w:val="28"/>
          <w:szCs w:val="28"/>
          <w:u w:val="single"/>
        </w:rPr>
        <w:t>C6. Scope Creep Control</w:t>
      </w:r>
      <w:bookmarkEnd w:id="22"/>
    </w:p>
    <w:p w14:paraId="1A55BB8D" w14:textId="77777777" w:rsidR="00C20F59" w:rsidRPr="0031743F" w:rsidRDefault="00C20F59" w:rsidP="00C20F59">
      <w:pPr>
        <w:pStyle w:val="NormalWeb"/>
        <w:spacing w:line="360" w:lineRule="auto"/>
        <w:jc w:val="both"/>
      </w:pPr>
      <w:r w:rsidRPr="0031743F">
        <w:t>Scope creep is controlled through:</w:t>
      </w:r>
    </w:p>
    <w:p w14:paraId="6608CBF0" w14:textId="77777777" w:rsidR="00C20F59" w:rsidRPr="0031743F" w:rsidRDefault="00C20F59" w:rsidP="00C20F59">
      <w:pPr>
        <w:pStyle w:val="NormalWeb"/>
        <w:numPr>
          <w:ilvl w:val="0"/>
          <w:numId w:val="6"/>
        </w:numPr>
        <w:spacing w:line="360" w:lineRule="auto"/>
        <w:jc w:val="both"/>
      </w:pPr>
      <w:r w:rsidRPr="0031743F">
        <w:t xml:space="preserve">A formal </w:t>
      </w:r>
      <w:r w:rsidRPr="0031743F">
        <w:rPr>
          <w:rStyle w:val="Strong"/>
          <w:rFonts w:eastAsiaTheme="majorEastAsia"/>
        </w:rPr>
        <w:t>change control system</w:t>
      </w:r>
      <w:r w:rsidRPr="0031743F">
        <w:t xml:space="preserve"> requires justification and cost evaluation.</w:t>
      </w:r>
    </w:p>
    <w:p w14:paraId="7A84AD78" w14:textId="77777777" w:rsidR="00C20F59" w:rsidRPr="0031743F" w:rsidRDefault="00C20F59" w:rsidP="00C20F59">
      <w:pPr>
        <w:pStyle w:val="NormalWeb"/>
        <w:numPr>
          <w:ilvl w:val="0"/>
          <w:numId w:val="6"/>
        </w:numPr>
        <w:spacing w:line="360" w:lineRule="auto"/>
        <w:jc w:val="both"/>
      </w:pPr>
      <w:r w:rsidRPr="0031743F">
        <w:t xml:space="preserve">Defined an </w:t>
      </w:r>
      <w:r w:rsidRPr="0031743F">
        <w:rPr>
          <w:rStyle w:val="Strong"/>
          <w:rFonts w:eastAsiaTheme="majorEastAsia"/>
        </w:rPr>
        <w:t>approval hierarchy</w:t>
      </w:r>
      <w:r w:rsidRPr="0031743F">
        <w:t xml:space="preserve"> for all changes.</w:t>
      </w:r>
    </w:p>
    <w:p w14:paraId="4EFFDB64" w14:textId="77777777" w:rsidR="00C20F59" w:rsidRPr="0031743F" w:rsidRDefault="00C20F59" w:rsidP="00C20F59">
      <w:pPr>
        <w:pStyle w:val="NormalWeb"/>
        <w:numPr>
          <w:ilvl w:val="0"/>
          <w:numId w:val="6"/>
        </w:numPr>
        <w:spacing w:line="360" w:lineRule="auto"/>
        <w:jc w:val="both"/>
      </w:pPr>
      <w:r w:rsidRPr="0031743F">
        <w:t xml:space="preserve">Comprehensive </w:t>
      </w:r>
      <w:r w:rsidRPr="0031743F">
        <w:rPr>
          <w:rStyle w:val="Strong"/>
          <w:rFonts w:eastAsiaTheme="majorEastAsia"/>
        </w:rPr>
        <w:t>documentation</w:t>
      </w:r>
      <w:r w:rsidRPr="0031743F">
        <w:t xml:space="preserve"> to track cumulative impacts.</w:t>
      </w:r>
    </w:p>
    <w:p w14:paraId="48905C7A" w14:textId="77777777" w:rsidR="00C20F59" w:rsidRPr="0031743F" w:rsidRDefault="00C20F59" w:rsidP="00C20F59">
      <w:pPr>
        <w:pStyle w:val="Heading2"/>
        <w:spacing w:line="360" w:lineRule="auto"/>
        <w:rPr>
          <w:rFonts w:ascii="Times New Roman" w:hAnsi="Times New Roman" w:cs="Times New Roman"/>
          <w:color w:val="auto"/>
          <w:sz w:val="28"/>
          <w:szCs w:val="28"/>
          <w:u w:val="single"/>
        </w:rPr>
      </w:pPr>
      <w:bookmarkStart w:id="23" w:name="_Toc225194589"/>
      <w:r w:rsidRPr="0031743F">
        <w:rPr>
          <w:rFonts w:ascii="Times New Roman" w:hAnsi="Times New Roman" w:cs="Times New Roman"/>
          <w:color w:val="auto"/>
          <w:sz w:val="28"/>
          <w:szCs w:val="28"/>
          <w:u w:val="single"/>
        </w:rPr>
        <w:lastRenderedPageBreak/>
        <w:t>C7. Risk Mitigation Strategies</w:t>
      </w:r>
      <w:bookmarkEnd w:id="23"/>
    </w:p>
    <w:p w14:paraId="6538834B" w14:textId="77777777" w:rsidR="00C20F59" w:rsidRPr="0031743F" w:rsidRDefault="00C20F59" w:rsidP="00C20F59">
      <w:pPr>
        <w:pStyle w:val="NormalWeb"/>
        <w:spacing w:line="360" w:lineRule="auto"/>
        <w:jc w:val="both"/>
      </w:pPr>
      <w:r w:rsidRPr="0031743F">
        <w:t>Financial risks are mitigated through:</w:t>
      </w:r>
    </w:p>
    <w:p w14:paraId="4411BF52" w14:textId="77777777" w:rsidR="00C20F59" w:rsidRPr="0031743F" w:rsidRDefault="00C20F59" w:rsidP="00C20F59">
      <w:pPr>
        <w:pStyle w:val="NormalWeb"/>
        <w:numPr>
          <w:ilvl w:val="0"/>
          <w:numId w:val="7"/>
        </w:numPr>
        <w:spacing w:line="360" w:lineRule="auto"/>
        <w:jc w:val="both"/>
      </w:pPr>
      <w:r w:rsidRPr="0031743F">
        <w:rPr>
          <w:rStyle w:val="Strong"/>
          <w:rFonts w:eastAsiaTheme="majorEastAsia"/>
        </w:rPr>
        <w:t>Fixed-price contracts</w:t>
      </w:r>
      <w:r w:rsidRPr="0031743F">
        <w:t xml:space="preserve"> to control cost escalation.</w:t>
      </w:r>
    </w:p>
    <w:p w14:paraId="77E575EA" w14:textId="77777777" w:rsidR="00C20F59" w:rsidRPr="0031743F" w:rsidRDefault="00C20F59" w:rsidP="00C20F59">
      <w:pPr>
        <w:numPr>
          <w:ilvl w:val="0"/>
          <w:numId w:val="8"/>
        </w:numPr>
        <w:spacing w:before="100" w:beforeAutospacing="1" w:after="100" w:afterAutospacing="1" w:line="360" w:lineRule="auto"/>
        <w:rPr>
          <w:rFonts w:ascii="Times New Roman" w:eastAsia="Times New Roman" w:hAnsi="Times New Roman" w:cs="Times New Roman"/>
          <w:szCs w:val="24"/>
          <w:lang w:val="en-IN" w:eastAsia="en-IN"/>
        </w:rPr>
      </w:pPr>
      <w:r w:rsidRPr="0031743F">
        <w:rPr>
          <w:rStyle w:val="Strong"/>
          <w:rFonts w:ascii="Times New Roman" w:hAnsi="Times New Roman" w:cs="Times New Roman"/>
        </w:rPr>
        <w:t>Hedging strategies</w:t>
      </w:r>
      <w:r w:rsidRPr="0031743F">
        <w:rPr>
          <w:rFonts w:ascii="Times New Roman" w:hAnsi="Times New Roman" w:cs="Times New Roman"/>
        </w:rPr>
        <w:t xml:space="preserve"> to manage commodity and currency risks </w:t>
      </w:r>
      <w:r w:rsidRPr="0031743F">
        <w:rPr>
          <w:rFonts w:ascii="Times New Roman" w:eastAsia="Times New Roman" w:hAnsi="Times New Roman" w:cs="Times New Roman"/>
          <w:szCs w:val="24"/>
          <w:lang w:val="en-IN" w:eastAsia="en-IN"/>
        </w:rPr>
        <w:t>(Reddy, 2024)</w:t>
      </w:r>
      <w:r w:rsidRPr="0031743F">
        <w:rPr>
          <w:rFonts w:ascii="Times New Roman" w:hAnsi="Times New Roman" w:cs="Times New Roman"/>
        </w:rPr>
        <w:t>.</w:t>
      </w:r>
    </w:p>
    <w:p w14:paraId="38E99D00" w14:textId="77777777" w:rsidR="00C20F59" w:rsidRPr="0031743F" w:rsidRDefault="00C20F59" w:rsidP="00C20F59">
      <w:pPr>
        <w:pStyle w:val="NormalWeb"/>
        <w:numPr>
          <w:ilvl w:val="0"/>
          <w:numId w:val="7"/>
        </w:numPr>
        <w:spacing w:line="360" w:lineRule="auto"/>
        <w:jc w:val="both"/>
      </w:pPr>
      <w:r w:rsidRPr="0031743F">
        <w:rPr>
          <w:rStyle w:val="Strong"/>
          <w:rFonts w:eastAsiaTheme="majorEastAsia"/>
        </w:rPr>
        <w:t>Insurance coverage</w:t>
      </w:r>
      <w:r w:rsidRPr="0031743F">
        <w:t xml:space="preserve"> (e.g., construction and operational risks).</w:t>
      </w:r>
    </w:p>
    <w:p w14:paraId="7538E0BD" w14:textId="77777777" w:rsidR="00C20F59" w:rsidRPr="0031743F" w:rsidRDefault="00C20F59" w:rsidP="00C20F59">
      <w:pPr>
        <w:pStyle w:val="NormalWeb"/>
        <w:numPr>
          <w:ilvl w:val="0"/>
          <w:numId w:val="7"/>
        </w:numPr>
        <w:spacing w:line="360" w:lineRule="auto"/>
        <w:jc w:val="both"/>
      </w:pPr>
      <w:r w:rsidRPr="0031743F">
        <w:rPr>
          <w:rStyle w:val="Strong"/>
          <w:rFonts w:eastAsiaTheme="majorEastAsia"/>
        </w:rPr>
        <w:t>Procurement controls</w:t>
      </w:r>
      <w:r w:rsidRPr="0031743F">
        <w:t xml:space="preserve"> ensure competitive pricing and supplier reliability.</w:t>
      </w:r>
    </w:p>
    <w:p w14:paraId="2212A767" w14:textId="77777777" w:rsidR="00C20F59" w:rsidRPr="0031743F" w:rsidRDefault="00C20F59" w:rsidP="00C20F59">
      <w:pPr>
        <w:pStyle w:val="Heading2"/>
        <w:spacing w:line="360" w:lineRule="auto"/>
        <w:rPr>
          <w:rFonts w:ascii="Times New Roman" w:hAnsi="Times New Roman" w:cs="Times New Roman"/>
          <w:color w:val="auto"/>
          <w:sz w:val="28"/>
          <w:szCs w:val="28"/>
          <w:u w:val="single"/>
        </w:rPr>
      </w:pPr>
      <w:bookmarkStart w:id="24" w:name="_Toc225194590"/>
      <w:r w:rsidRPr="0031743F">
        <w:rPr>
          <w:rFonts w:ascii="Times New Roman" w:hAnsi="Times New Roman" w:cs="Times New Roman"/>
          <w:color w:val="auto"/>
          <w:sz w:val="28"/>
          <w:szCs w:val="28"/>
          <w:u w:val="single"/>
        </w:rPr>
        <w:t>C8. Practical Dashboard</w:t>
      </w:r>
      <w:bookmarkEnd w:id="24"/>
    </w:p>
    <w:p w14:paraId="40ACCDE5" w14:textId="77777777" w:rsidR="00C20F59" w:rsidRDefault="00C20F59" w:rsidP="00C20F59">
      <w:pPr>
        <w:pStyle w:val="NormalWeb"/>
        <w:keepNext/>
        <w:spacing w:line="360" w:lineRule="auto"/>
        <w:jc w:val="both"/>
      </w:pPr>
      <w:r w:rsidRPr="0010219F">
        <w:rPr>
          <w:noProof/>
        </w:rPr>
        <w:drawing>
          <wp:inline distT="0" distB="0" distL="0" distR="0" wp14:anchorId="3B30BE02" wp14:editId="57F6339C">
            <wp:extent cx="5731510" cy="3774440"/>
            <wp:effectExtent l="0" t="0" r="254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731510" cy="3774440"/>
                    </a:xfrm>
                    <a:prstGeom prst="rect">
                      <a:avLst/>
                    </a:prstGeom>
                  </pic:spPr>
                </pic:pic>
              </a:graphicData>
            </a:graphic>
          </wp:inline>
        </w:drawing>
      </w:r>
    </w:p>
    <w:p w14:paraId="40639BDD" w14:textId="77777777" w:rsidR="00C20F59" w:rsidRDefault="00C20F59" w:rsidP="00C20F59">
      <w:pPr>
        <w:pStyle w:val="Caption"/>
        <w:spacing w:line="360" w:lineRule="auto"/>
      </w:pPr>
      <w:bookmarkStart w:id="25" w:name="_Toc225177773"/>
      <w:r>
        <w:t xml:space="preserve">Figure </w:t>
      </w:r>
      <w:r>
        <w:fldChar w:fldCharType="begin"/>
      </w:r>
      <w:r>
        <w:instrText xml:space="preserve"> SEQ Figure \* ARABIC </w:instrText>
      </w:r>
      <w:r>
        <w:fldChar w:fldCharType="separate"/>
      </w:r>
      <w:r>
        <w:rPr>
          <w:noProof/>
        </w:rPr>
        <w:t>8</w:t>
      </w:r>
      <w:r>
        <w:rPr>
          <w:noProof/>
        </w:rPr>
        <w:fldChar w:fldCharType="end"/>
      </w:r>
      <w:r>
        <w:t>: Dashboard (Source: Author)</w:t>
      </w:r>
      <w:bookmarkEnd w:id="25"/>
    </w:p>
    <w:p w14:paraId="485F46AD" w14:textId="77777777" w:rsidR="00C20F59" w:rsidRDefault="00C20F59" w:rsidP="00C20F59">
      <w:pPr>
        <w:pStyle w:val="NormalWeb"/>
        <w:spacing w:line="360" w:lineRule="auto"/>
        <w:jc w:val="both"/>
      </w:pPr>
    </w:p>
    <w:p w14:paraId="0A272914" w14:textId="77777777" w:rsidR="00C20F59" w:rsidRDefault="00C20F59" w:rsidP="00C20F59">
      <w:pPr>
        <w:spacing w:line="360" w:lineRule="auto"/>
      </w:pPr>
      <w:r>
        <w:br w:type="page"/>
      </w:r>
    </w:p>
    <w:p w14:paraId="1B5F89A8" w14:textId="77777777" w:rsidR="00C20F59" w:rsidRPr="0031743F" w:rsidRDefault="00C20F59" w:rsidP="00C20F59">
      <w:pPr>
        <w:pStyle w:val="Heading1"/>
        <w:spacing w:line="360" w:lineRule="auto"/>
        <w:rPr>
          <w:rFonts w:ascii="Times New Roman" w:hAnsi="Times New Roman" w:cs="Times New Roman"/>
          <w:color w:val="auto"/>
          <w:sz w:val="28"/>
          <w:szCs w:val="28"/>
          <w:u w:val="single"/>
          <w:lang w:val="en-IN"/>
        </w:rPr>
      </w:pPr>
      <w:bookmarkStart w:id="26" w:name="_Toc225194591"/>
      <w:r w:rsidRPr="0031743F">
        <w:rPr>
          <w:rFonts w:ascii="Times New Roman" w:hAnsi="Times New Roman" w:cs="Times New Roman"/>
          <w:color w:val="auto"/>
          <w:sz w:val="28"/>
          <w:szCs w:val="28"/>
          <w:u w:val="single"/>
        </w:rPr>
        <w:lastRenderedPageBreak/>
        <w:t>6. Section D: Financial Reporting Framework</w:t>
      </w:r>
      <w:bookmarkEnd w:id="26"/>
    </w:p>
    <w:p w14:paraId="4BB3E0B1" w14:textId="20D45F47" w:rsidR="00C20F59" w:rsidRPr="0031743F" w:rsidRDefault="00A00BA3" w:rsidP="00C20F59">
      <w:pPr>
        <w:spacing w:before="100" w:beforeAutospacing="1" w:after="100" w:afterAutospacing="1" w:line="360" w:lineRule="auto"/>
        <w:jc w:val="both"/>
        <w:rPr>
          <w:rFonts w:ascii="Times New Roman" w:eastAsia="Times New Roman" w:hAnsi="Times New Roman" w:cs="Times New Roman"/>
          <w:sz w:val="24"/>
          <w:szCs w:val="24"/>
          <w:lang w:val="en-IN" w:eastAsia="en-IN"/>
        </w:rPr>
      </w:pPr>
      <w:r w:rsidRPr="0031743F">
        <w:rPr>
          <w:rFonts w:ascii="Times New Roman" w:eastAsia="Times New Roman" w:hAnsi="Times New Roman" w:cs="Times New Roman"/>
          <w:sz w:val="24"/>
          <w:szCs w:val="24"/>
          <w:lang w:eastAsia="en-IN"/>
        </w:rPr>
        <w:t>An effective financial reporting framework is essential for ensuring transparency, accountability, and informed decision-making throughout the project lifecycle (Sakyi et al., 2022).</w:t>
      </w:r>
    </w:p>
    <w:p w14:paraId="2D24DC30" w14:textId="1FB1AFDA" w:rsidR="00A00BA3" w:rsidRDefault="00A00BA3" w:rsidP="00A00BA3">
      <w:pPr>
        <w:pStyle w:val="NormalWeb"/>
        <w:spacing w:line="360" w:lineRule="auto"/>
        <w:jc w:val="both"/>
      </w:pPr>
    </w:p>
    <w:p w14:paraId="7A1FE79D" w14:textId="77777777" w:rsidR="00A00BA3" w:rsidRDefault="00A00BA3" w:rsidP="00A00BA3">
      <w:pPr>
        <w:pStyle w:val="Heading2"/>
        <w:spacing w:line="360" w:lineRule="auto"/>
        <w:rPr>
          <w:rFonts w:ascii="Times New Roman" w:hAnsi="Times New Roman" w:cs="Times New Roman"/>
          <w:color w:val="auto"/>
          <w:sz w:val="28"/>
          <w:szCs w:val="28"/>
          <w:u w:val="single"/>
        </w:rPr>
      </w:pPr>
      <w:bookmarkStart w:id="27" w:name="_Toc225194592"/>
      <w:r w:rsidRPr="0031743F">
        <w:rPr>
          <w:rFonts w:ascii="Times New Roman" w:hAnsi="Times New Roman" w:cs="Times New Roman"/>
          <w:color w:val="auto"/>
          <w:sz w:val="28"/>
          <w:szCs w:val="28"/>
          <w:u w:val="single"/>
        </w:rPr>
        <w:t>D1. Reporting Types &amp; Frequency</w:t>
      </w:r>
      <w:bookmarkEnd w:id="27"/>
    </w:p>
    <w:p w14:paraId="02E18A87" w14:textId="77777777" w:rsidR="0031743F" w:rsidRPr="0031743F" w:rsidRDefault="0031743F" w:rsidP="0031743F"/>
    <w:tbl>
      <w:tblPr>
        <w:tblStyle w:val="TableGrid"/>
        <w:tblW w:w="0" w:type="auto"/>
        <w:tblLook w:val="04A0" w:firstRow="1" w:lastRow="0" w:firstColumn="1" w:lastColumn="0" w:noHBand="0" w:noVBand="1"/>
      </w:tblPr>
      <w:tblGrid>
        <w:gridCol w:w="2001"/>
        <w:gridCol w:w="1274"/>
        <w:gridCol w:w="5697"/>
      </w:tblGrid>
      <w:tr w:rsidR="00A00BA3" w14:paraId="6A41566E" w14:textId="77777777" w:rsidTr="006B3D70">
        <w:tc>
          <w:tcPr>
            <w:tcW w:w="0" w:type="auto"/>
            <w:hideMark/>
          </w:tcPr>
          <w:p w14:paraId="35056B7F" w14:textId="77777777" w:rsidR="00A00BA3" w:rsidRDefault="00A00BA3" w:rsidP="006B3D70">
            <w:pPr>
              <w:spacing w:line="360" w:lineRule="auto"/>
              <w:rPr>
                <w:b/>
                <w:bCs/>
              </w:rPr>
            </w:pPr>
            <w:r>
              <w:rPr>
                <w:b/>
                <w:bCs/>
              </w:rPr>
              <w:t>Report Type</w:t>
            </w:r>
          </w:p>
        </w:tc>
        <w:tc>
          <w:tcPr>
            <w:tcW w:w="0" w:type="auto"/>
            <w:hideMark/>
          </w:tcPr>
          <w:p w14:paraId="2BF9AB8C" w14:textId="77777777" w:rsidR="00A00BA3" w:rsidRDefault="00A00BA3" w:rsidP="006B3D70">
            <w:pPr>
              <w:spacing w:line="360" w:lineRule="auto"/>
              <w:rPr>
                <w:b/>
                <w:bCs/>
              </w:rPr>
            </w:pPr>
            <w:r>
              <w:rPr>
                <w:b/>
                <w:bCs/>
              </w:rPr>
              <w:t>Frequency</w:t>
            </w:r>
          </w:p>
        </w:tc>
        <w:tc>
          <w:tcPr>
            <w:tcW w:w="0" w:type="auto"/>
            <w:hideMark/>
          </w:tcPr>
          <w:p w14:paraId="2436ED7B" w14:textId="77777777" w:rsidR="00A00BA3" w:rsidRDefault="00A00BA3" w:rsidP="006B3D70">
            <w:pPr>
              <w:spacing w:line="360" w:lineRule="auto"/>
              <w:rPr>
                <w:b/>
                <w:bCs/>
              </w:rPr>
            </w:pPr>
            <w:r>
              <w:rPr>
                <w:b/>
                <w:bCs/>
              </w:rPr>
              <w:t>Purpose</w:t>
            </w:r>
          </w:p>
        </w:tc>
      </w:tr>
      <w:tr w:rsidR="00A00BA3" w14:paraId="5CB5547C" w14:textId="77777777" w:rsidTr="006B3D70">
        <w:tc>
          <w:tcPr>
            <w:tcW w:w="0" w:type="auto"/>
            <w:hideMark/>
          </w:tcPr>
          <w:p w14:paraId="679DB67D" w14:textId="77777777" w:rsidR="00A00BA3" w:rsidRDefault="00A00BA3" w:rsidP="006B3D70">
            <w:pPr>
              <w:spacing w:line="360" w:lineRule="auto"/>
            </w:pPr>
            <w:r>
              <w:t>Cost Reports</w:t>
            </w:r>
          </w:p>
        </w:tc>
        <w:tc>
          <w:tcPr>
            <w:tcW w:w="0" w:type="auto"/>
            <w:hideMark/>
          </w:tcPr>
          <w:p w14:paraId="286ED545" w14:textId="77777777" w:rsidR="00A00BA3" w:rsidRDefault="00A00BA3" w:rsidP="006B3D70">
            <w:pPr>
              <w:spacing w:line="360" w:lineRule="auto"/>
            </w:pPr>
            <w:r>
              <w:t>Monthly</w:t>
            </w:r>
          </w:p>
        </w:tc>
        <w:tc>
          <w:tcPr>
            <w:tcW w:w="0" w:type="auto"/>
            <w:hideMark/>
          </w:tcPr>
          <w:p w14:paraId="3EF87535" w14:textId="77777777" w:rsidR="00A00BA3" w:rsidRDefault="00A00BA3" w:rsidP="006B3D70">
            <w:pPr>
              <w:spacing w:line="360" w:lineRule="auto"/>
            </w:pPr>
            <w:r>
              <w:t>Track budget vs. actual expenditure and identify variances</w:t>
            </w:r>
          </w:p>
        </w:tc>
      </w:tr>
      <w:tr w:rsidR="00A00BA3" w14:paraId="77534F9E" w14:textId="77777777" w:rsidTr="006B3D70">
        <w:tc>
          <w:tcPr>
            <w:tcW w:w="0" w:type="auto"/>
            <w:hideMark/>
          </w:tcPr>
          <w:p w14:paraId="3376F7E8" w14:textId="77777777" w:rsidR="00A00BA3" w:rsidRDefault="00A00BA3" w:rsidP="006B3D70">
            <w:pPr>
              <w:spacing w:line="360" w:lineRule="auto"/>
            </w:pPr>
            <w:r>
              <w:t>KPI Dashboard</w:t>
            </w:r>
          </w:p>
        </w:tc>
        <w:tc>
          <w:tcPr>
            <w:tcW w:w="0" w:type="auto"/>
            <w:hideMark/>
          </w:tcPr>
          <w:p w14:paraId="76115778" w14:textId="77777777" w:rsidR="00A00BA3" w:rsidRDefault="00A00BA3" w:rsidP="006B3D70">
            <w:pPr>
              <w:spacing w:line="360" w:lineRule="auto"/>
            </w:pPr>
            <w:r>
              <w:t>Weekly</w:t>
            </w:r>
          </w:p>
        </w:tc>
        <w:tc>
          <w:tcPr>
            <w:tcW w:w="0" w:type="auto"/>
            <w:hideMark/>
          </w:tcPr>
          <w:p w14:paraId="12558EC8" w14:textId="77777777" w:rsidR="00A00BA3" w:rsidRDefault="00A00BA3" w:rsidP="006B3D70">
            <w:pPr>
              <w:spacing w:line="360" w:lineRule="auto"/>
            </w:pPr>
            <w:r>
              <w:t>Monitor performance indicators (CPI, SPI)</w:t>
            </w:r>
          </w:p>
        </w:tc>
      </w:tr>
      <w:tr w:rsidR="00A00BA3" w14:paraId="15CD3CA9" w14:textId="77777777" w:rsidTr="006B3D70">
        <w:tc>
          <w:tcPr>
            <w:tcW w:w="0" w:type="auto"/>
            <w:hideMark/>
          </w:tcPr>
          <w:p w14:paraId="52224CBE" w14:textId="77777777" w:rsidR="00A00BA3" w:rsidRDefault="00A00BA3" w:rsidP="006B3D70">
            <w:pPr>
              <w:spacing w:line="360" w:lineRule="auto"/>
            </w:pPr>
            <w:r>
              <w:t>Cash Flow Reports</w:t>
            </w:r>
          </w:p>
        </w:tc>
        <w:tc>
          <w:tcPr>
            <w:tcW w:w="0" w:type="auto"/>
            <w:hideMark/>
          </w:tcPr>
          <w:p w14:paraId="08E7080B" w14:textId="77777777" w:rsidR="00A00BA3" w:rsidRDefault="00A00BA3" w:rsidP="006B3D70">
            <w:pPr>
              <w:spacing w:line="360" w:lineRule="auto"/>
            </w:pPr>
            <w:r>
              <w:t>Quarterly</w:t>
            </w:r>
          </w:p>
        </w:tc>
        <w:tc>
          <w:tcPr>
            <w:tcW w:w="0" w:type="auto"/>
            <w:hideMark/>
          </w:tcPr>
          <w:p w14:paraId="222C3A81" w14:textId="77777777" w:rsidR="00A00BA3" w:rsidRDefault="00A00BA3" w:rsidP="006B3D70">
            <w:pPr>
              <w:spacing w:line="360" w:lineRule="auto"/>
            </w:pPr>
            <w:r>
              <w:t>Assess liquidity, inflows, and outflows</w:t>
            </w:r>
          </w:p>
        </w:tc>
      </w:tr>
    </w:tbl>
    <w:p w14:paraId="29DE54F6" w14:textId="77777777" w:rsidR="0031743F" w:rsidRDefault="0031743F" w:rsidP="00A00BA3">
      <w:pPr>
        <w:pStyle w:val="Heading2"/>
        <w:rPr>
          <w:rFonts w:ascii="Times New Roman" w:hAnsi="Times New Roman" w:cs="Times New Roman"/>
          <w:color w:val="auto"/>
          <w:sz w:val="28"/>
          <w:szCs w:val="28"/>
          <w:u w:val="single"/>
        </w:rPr>
      </w:pPr>
    </w:p>
    <w:p w14:paraId="7D9CD20B" w14:textId="7A47A6FE" w:rsidR="00A00BA3" w:rsidRPr="0031743F" w:rsidRDefault="00A00BA3" w:rsidP="00A00BA3">
      <w:pPr>
        <w:pStyle w:val="Heading2"/>
        <w:rPr>
          <w:rFonts w:ascii="Times New Roman" w:hAnsi="Times New Roman" w:cs="Times New Roman"/>
          <w:color w:val="auto"/>
          <w:sz w:val="28"/>
          <w:szCs w:val="28"/>
          <w:u w:val="single"/>
        </w:rPr>
      </w:pPr>
      <w:bookmarkStart w:id="28" w:name="_Toc225194593"/>
      <w:r w:rsidRPr="0031743F">
        <w:rPr>
          <w:rFonts w:ascii="Times New Roman" w:hAnsi="Times New Roman" w:cs="Times New Roman"/>
          <w:color w:val="auto"/>
          <w:sz w:val="28"/>
          <w:szCs w:val="28"/>
          <w:u w:val="single"/>
        </w:rPr>
        <w:t>D2. Key KPIs</w:t>
      </w:r>
      <w:bookmarkEnd w:id="28"/>
    </w:p>
    <w:p w14:paraId="0432E81C" w14:textId="77777777" w:rsidR="00A00BA3" w:rsidRDefault="00A00BA3" w:rsidP="00A00BA3">
      <w:pPr>
        <w:pStyle w:val="NormalWeb"/>
        <w:spacing w:line="360" w:lineRule="auto"/>
        <w:jc w:val="both"/>
      </w:pPr>
      <w:r>
        <w:t>Key financial indicators, derived from Earned Value Management (EVM), are used to evaluate performance:</w:t>
      </w:r>
    </w:p>
    <w:tbl>
      <w:tblPr>
        <w:tblStyle w:val="TableGrid"/>
        <w:tblW w:w="5000" w:type="pct"/>
        <w:tblLook w:val="04A0" w:firstRow="1" w:lastRow="0" w:firstColumn="1" w:lastColumn="0" w:noHBand="0" w:noVBand="1"/>
      </w:tblPr>
      <w:tblGrid>
        <w:gridCol w:w="1843"/>
        <w:gridCol w:w="1825"/>
        <w:gridCol w:w="1922"/>
        <w:gridCol w:w="3426"/>
      </w:tblGrid>
      <w:tr w:rsidR="00A00BA3" w14:paraId="5A134590" w14:textId="77777777" w:rsidTr="006B3D70">
        <w:tc>
          <w:tcPr>
            <w:tcW w:w="1022" w:type="pct"/>
            <w:hideMark/>
          </w:tcPr>
          <w:p w14:paraId="2FFF343E" w14:textId="77777777" w:rsidR="00A00BA3" w:rsidRDefault="00A00BA3" w:rsidP="006B3D70">
            <w:pPr>
              <w:spacing w:line="360" w:lineRule="auto"/>
              <w:rPr>
                <w:b/>
                <w:bCs/>
              </w:rPr>
            </w:pPr>
            <w:r>
              <w:rPr>
                <w:b/>
                <w:bCs/>
              </w:rPr>
              <w:t>KPI</w:t>
            </w:r>
          </w:p>
        </w:tc>
        <w:tc>
          <w:tcPr>
            <w:tcW w:w="1012" w:type="pct"/>
            <w:hideMark/>
          </w:tcPr>
          <w:p w14:paraId="6C83FF98" w14:textId="77777777" w:rsidR="00A00BA3" w:rsidRDefault="00A00BA3" w:rsidP="006B3D70">
            <w:pPr>
              <w:spacing w:line="360" w:lineRule="auto"/>
              <w:rPr>
                <w:b/>
                <w:bCs/>
              </w:rPr>
            </w:pPr>
            <w:r>
              <w:rPr>
                <w:b/>
                <w:bCs/>
              </w:rPr>
              <w:t>Formula</w:t>
            </w:r>
          </w:p>
        </w:tc>
        <w:tc>
          <w:tcPr>
            <w:tcW w:w="1066" w:type="pct"/>
            <w:hideMark/>
          </w:tcPr>
          <w:p w14:paraId="1EF15897" w14:textId="77777777" w:rsidR="00A00BA3" w:rsidRDefault="00A00BA3" w:rsidP="006B3D70">
            <w:pPr>
              <w:spacing w:line="360" w:lineRule="auto"/>
              <w:rPr>
                <w:b/>
                <w:bCs/>
              </w:rPr>
            </w:pPr>
            <w:r>
              <w:rPr>
                <w:b/>
                <w:bCs/>
              </w:rPr>
              <w:t>Example</w:t>
            </w:r>
          </w:p>
        </w:tc>
        <w:tc>
          <w:tcPr>
            <w:tcW w:w="1900" w:type="pct"/>
            <w:hideMark/>
          </w:tcPr>
          <w:p w14:paraId="2BE061C3" w14:textId="77777777" w:rsidR="00A00BA3" w:rsidRDefault="00A00BA3" w:rsidP="006B3D70">
            <w:pPr>
              <w:spacing w:line="360" w:lineRule="auto"/>
              <w:rPr>
                <w:b/>
                <w:bCs/>
              </w:rPr>
            </w:pPr>
            <w:r>
              <w:rPr>
                <w:b/>
                <w:bCs/>
              </w:rPr>
              <w:t>Interpretation</w:t>
            </w:r>
          </w:p>
        </w:tc>
      </w:tr>
      <w:tr w:rsidR="00A00BA3" w14:paraId="18174FBA" w14:textId="77777777" w:rsidTr="006B3D70">
        <w:tc>
          <w:tcPr>
            <w:tcW w:w="1022" w:type="pct"/>
            <w:hideMark/>
          </w:tcPr>
          <w:p w14:paraId="30608958" w14:textId="77777777" w:rsidR="00A00BA3" w:rsidRDefault="00A00BA3" w:rsidP="006B3D70">
            <w:pPr>
              <w:spacing w:line="360" w:lineRule="auto"/>
            </w:pPr>
            <w:r>
              <w:t>CPI</w:t>
            </w:r>
          </w:p>
        </w:tc>
        <w:tc>
          <w:tcPr>
            <w:tcW w:w="1012" w:type="pct"/>
            <w:hideMark/>
          </w:tcPr>
          <w:p w14:paraId="0281BB41" w14:textId="77777777" w:rsidR="00A00BA3" w:rsidRDefault="00A00BA3" w:rsidP="006B3D70">
            <w:pPr>
              <w:spacing w:line="360" w:lineRule="auto"/>
            </w:pPr>
            <w:r>
              <w:t>EV / AC</w:t>
            </w:r>
          </w:p>
        </w:tc>
        <w:tc>
          <w:tcPr>
            <w:tcW w:w="1066" w:type="pct"/>
            <w:hideMark/>
          </w:tcPr>
          <w:p w14:paraId="45F96EA0" w14:textId="77777777" w:rsidR="00A00BA3" w:rsidRDefault="00A00BA3" w:rsidP="006B3D70">
            <w:pPr>
              <w:spacing w:line="360" w:lineRule="auto"/>
            </w:pPr>
            <w:r>
              <w:rPr>
                <w:rStyle w:val="Strong"/>
              </w:rPr>
              <w:t>0.84</w:t>
            </w:r>
          </w:p>
        </w:tc>
        <w:tc>
          <w:tcPr>
            <w:tcW w:w="1900" w:type="pct"/>
            <w:hideMark/>
          </w:tcPr>
          <w:p w14:paraId="0D15CAF2" w14:textId="77777777" w:rsidR="00A00BA3" w:rsidRDefault="00A00BA3" w:rsidP="006B3D70">
            <w:pPr>
              <w:spacing w:line="360" w:lineRule="auto"/>
            </w:pPr>
            <w:r>
              <w:t>Indicates cost inefficiency (over budget)</w:t>
            </w:r>
          </w:p>
        </w:tc>
      </w:tr>
      <w:tr w:rsidR="00A00BA3" w14:paraId="7B0F6FA6" w14:textId="77777777" w:rsidTr="006B3D70">
        <w:tc>
          <w:tcPr>
            <w:tcW w:w="1022" w:type="pct"/>
            <w:hideMark/>
          </w:tcPr>
          <w:p w14:paraId="515A53AF" w14:textId="77777777" w:rsidR="00A00BA3" w:rsidRDefault="00A00BA3" w:rsidP="006B3D70">
            <w:pPr>
              <w:spacing w:line="360" w:lineRule="auto"/>
            </w:pPr>
            <w:r>
              <w:t>SPI</w:t>
            </w:r>
          </w:p>
        </w:tc>
        <w:tc>
          <w:tcPr>
            <w:tcW w:w="1012" w:type="pct"/>
            <w:hideMark/>
          </w:tcPr>
          <w:p w14:paraId="1149347F" w14:textId="77777777" w:rsidR="00A00BA3" w:rsidRDefault="00A00BA3" w:rsidP="006B3D70">
            <w:pPr>
              <w:spacing w:line="360" w:lineRule="auto"/>
            </w:pPr>
            <w:r>
              <w:t>EV / PV</w:t>
            </w:r>
          </w:p>
        </w:tc>
        <w:tc>
          <w:tcPr>
            <w:tcW w:w="1066" w:type="pct"/>
            <w:hideMark/>
          </w:tcPr>
          <w:p w14:paraId="406FB066" w14:textId="77777777" w:rsidR="00A00BA3" w:rsidRDefault="00A00BA3" w:rsidP="006B3D70">
            <w:pPr>
              <w:spacing w:line="360" w:lineRule="auto"/>
            </w:pPr>
            <w:r>
              <w:rPr>
                <w:rStyle w:val="Strong"/>
              </w:rPr>
              <w:t>0.92</w:t>
            </w:r>
          </w:p>
        </w:tc>
        <w:tc>
          <w:tcPr>
            <w:tcW w:w="1900" w:type="pct"/>
            <w:hideMark/>
          </w:tcPr>
          <w:p w14:paraId="17CEFEBE" w14:textId="77777777" w:rsidR="00A00BA3" w:rsidRDefault="00A00BA3" w:rsidP="006B3D70">
            <w:pPr>
              <w:spacing w:line="360" w:lineRule="auto"/>
            </w:pPr>
            <w:r>
              <w:t>Indicates schedule delay</w:t>
            </w:r>
          </w:p>
        </w:tc>
      </w:tr>
      <w:tr w:rsidR="00A00BA3" w14:paraId="3696C6CD" w14:textId="77777777" w:rsidTr="006B3D70">
        <w:tc>
          <w:tcPr>
            <w:tcW w:w="1022" w:type="pct"/>
            <w:hideMark/>
          </w:tcPr>
          <w:p w14:paraId="1A3B2F17" w14:textId="77777777" w:rsidR="00A00BA3" w:rsidRDefault="00A00BA3" w:rsidP="006B3D70">
            <w:pPr>
              <w:spacing w:line="360" w:lineRule="auto"/>
            </w:pPr>
            <w:r>
              <w:t>Cost Variance (CV)</w:t>
            </w:r>
          </w:p>
        </w:tc>
        <w:tc>
          <w:tcPr>
            <w:tcW w:w="1012" w:type="pct"/>
            <w:hideMark/>
          </w:tcPr>
          <w:p w14:paraId="6B8A3B87" w14:textId="77777777" w:rsidR="00A00BA3" w:rsidRDefault="00A00BA3" w:rsidP="006B3D70">
            <w:pPr>
              <w:spacing w:line="360" w:lineRule="auto"/>
            </w:pPr>
            <w:r>
              <w:t>EV − AC</w:t>
            </w:r>
          </w:p>
        </w:tc>
        <w:tc>
          <w:tcPr>
            <w:tcW w:w="1066" w:type="pct"/>
            <w:hideMark/>
          </w:tcPr>
          <w:p w14:paraId="311A9065" w14:textId="77777777" w:rsidR="00A00BA3" w:rsidRDefault="00A00BA3" w:rsidP="006B3D70">
            <w:pPr>
              <w:spacing w:line="360" w:lineRule="auto"/>
            </w:pPr>
            <w:r>
              <w:t>−£2M</w:t>
            </w:r>
          </w:p>
        </w:tc>
        <w:tc>
          <w:tcPr>
            <w:tcW w:w="1900" w:type="pct"/>
            <w:hideMark/>
          </w:tcPr>
          <w:p w14:paraId="63225153" w14:textId="77777777" w:rsidR="00A00BA3" w:rsidRDefault="00A00BA3" w:rsidP="006B3D70">
            <w:pPr>
              <w:spacing w:line="360" w:lineRule="auto"/>
            </w:pPr>
            <w:r>
              <w:t>Negative variance shows overspending</w:t>
            </w:r>
          </w:p>
        </w:tc>
      </w:tr>
      <w:tr w:rsidR="00A00BA3" w14:paraId="20330B6A" w14:textId="77777777" w:rsidTr="006B3D70">
        <w:tc>
          <w:tcPr>
            <w:tcW w:w="1022" w:type="pct"/>
            <w:hideMark/>
          </w:tcPr>
          <w:p w14:paraId="515584A8" w14:textId="77777777" w:rsidR="00A00BA3" w:rsidRDefault="00A00BA3" w:rsidP="006B3D70">
            <w:pPr>
              <w:spacing w:line="360" w:lineRule="auto"/>
            </w:pPr>
            <w:r>
              <w:t>Burn Rate</w:t>
            </w:r>
          </w:p>
        </w:tc>
        <w:tc>
          <w:tcPr>
            <w:tcW w:w="1012" w:type="pct"/>
            <w:hideMark/>
          </w:tcPr>
          <w:p w14:paraId="58CF073B" w14:textId="77777777" w:rsidR="00A00BA3" w:rsidRDefault="00A00BA3" w:rsidP="006B3D70">
            <w:pPr>
              <w:spacing w:line="360" w:lineRule="auto"/>
            </w:pPr>
            <w:r>
              <w:t>Monthly spend</w:t>
            </w:r>
          </w:p>
        </w:tc>
        <w:tc>
          <w:tcPr>
            <w:tcW w:w="1066" w:type="pct"/>
            <w:hideMark/>
          </w:tcPr>
          <w:p w14:paraId="19555959" w14:textId="77777777" w:rsidR="00A00BA3" w:rsidRDefault="00A00BA3" w:rsidP="006B3D70">
            <w:pPr>
              <w:spacing w:line="360" w:lineRule="auto"/>
            </w:pPr>
            <w:r>
              <w:t>£4M/month</w:t>
            </w:r>
          </w:p>
        </w:tc>
        <w:tc>
          <w:tcPr>
            <w:tcW w:w="1900" w:type="pct"/>
            <w:hideMark/>
          </w:tcPr>
          <w:p w14:paraId="7A5168EB" w14:textId="77777777" w:rsidR="00A00BA3" w:rsidRDefault="00A00BA3" w:rsidP="006B3D70">
            <w:pPr>
              <w:spacing w:line="360" w:lineRule="auto"/>
            </w:pPr>
            <w:r>
              <w:t>Measures the rate of budget consumption</w:t>
            </w:r>
          </w:p>
        </w:tc>
      </w:tr>
      <w:tr w:rsidR="00A00BA3" w14:paraId="5EEAA6AE" w14:textId="77777777" w:rsidTr="006B3D70">
        <w:tc>
          <w:tcPr>
            <w:tcW w:w="1022" w:type="pct"/>
            <w:hideMark/>
          </w:tcPr>
          <w:p w14:paraId="6149A7B7" w14:textId="77777777" w:rsidR="00A00BA3" w:rsidRDefault="00A00BA3" w:rsidP="006B3D70">
            <w:pPr>
              <w:spacing w:line="360" w:lineRule="auto"/>
            </w:pPr>
            <w:r>
              <w:t>Cash Flow</w:t>
            </w:r>
          </w:p>
        </w:tc>
        <w:tc>
          <w:tcPr>
            <w:tcW w:w="1012" w:type="pct"/>
            <w:hideMark/>
          </w:tcPr>
          <w:p w14:paraId="61B3F8E3" w14:textId="77777777" w:rsidR="00A00BA3" w:rsidRDefault="00A00BA3" w:rsidP="006B3D70">
            <w:pPr>
              <w:spacing w:line="360" w:lineRule="auto"/>
            </w:pPr>
            <w:r>
              <w:t>Inflows − Outflows</w:t>
            </w:r>
          </w:p>
        </w:tc>
        <w:tc>
          <w:tcPr>
            <w:tcW w:w="1066" w:type="pct"/>
            <w:hideMark/>
          </w:tcPr>
          <w:p w14:paraId="505FFB66" w14:textId="77777777" w:rsidR="00A00BA3" w:rsidRDefault="00A00BA3" w:rsidP="006B3D70">
            <w:pPr>
              <w:spacing w:line="360" w:lineRule="auto"/>
            </w:pPr>
            <w:r>
              <w:t>Positive/Negative</w:t>
            </w:r>
          </w:p>
        </w:tc>
        <w:tc>
          <w:tcPr>
            <w:tcW w:w="1900" w:type="pct"/>
            <w:hideMark/>
          </w:tcPr>
          <w:p w14:paraId="0D3C5738" w14:textId="77777777" w:rsidR="00A00BA3" w:rsidRDefault="00A00BA3" w:rsidP="006B3D70">
            <w:pPr>
              <w:spacing w:line="360" w:lineRule="auto"/>
            </w:pPr>
            <w:r>
              <w:t>Determines liquidity position</w:t>
            </w:r>
          </w:p>
        </w:tc>
      </w:tr>
    </w:tbl>
    <w:p w14:paraId="0B44448D" w14:textId="77777777" w:rsidR="0031743F" w:rsidRDefault="0031743F" w:rsidP="00A00BA3">
      <w:pPr>
        <w:pStyle w:val="Heading2"/>
      </w:pPr>
    </w:p>
    <w:p w14:paraId="7957AE6F" w14:textId="77777777" w:rsidR="0031743F" w:rsidRDefault="0031743F" w:rsidP="00A00BA3">
      <w:pPr>
        <w:pStyle w:val="Heading2"/>
      </w:pPr>
    </w:p>
    <w:p w14:paraId="6B0948E9" w14:textId="55069A3B" w:rsidR="00A00BA3" w:rsidRDefault="00A00BA3" w:rsidP="00A00BA3">
      <w:pPr>
        <w:pStyle w:val="Heading2"/>
        <w:rPr>
          <w:rFonts w:ascii="Times New Roman" w:hAnsi="Times New Roman" w:cs="Times New Roman"/>
          <w:color w:val="auto"/>
          <w:sz w:val="28"/>
          <w:szCs w:val="28"/>
          <w:u w:val="single"/>
        </w:rPr>
      </w:pPr>
      <w:bookmarkStart w:id="29" w:name="_Toc225194594"/>
      <w:r w:rsidRPr="0031743F">
        <w:rPr>
          <w:rFonts w:ascii="Times New Roman" w:hAnsi="Times New Roman" w:cs="Times New Roman"/>
          <w:color w:val="auto"/>
          <w:sz w:val="28"/>
          <w:szCs w:val="28"/>
          <w:u w:val="single"/>
        </w:rPr>
        <w:t>D3. Governance Structure</w:t>
      </w:r>
      <w:bookmarkEnd w:id="29"/>
    </w:p>
    <w:p w14:paraId="2D640E9F" w14:textId="77777777" w:rsidR="0031743F" w:rsidRPr="0031743F" w:rsidRDefault="0031743F" w:rsidP="0031743F"/>
    <w:tbl>
      <w:tblPr>
        <w:tblStyle w:val="TableGrid"/>
        <w:tblW w:w="5000" w:type="pct"/>
        <w:tblLook w:val="04A0" w:firstRow="1" w:lastRow="0" w:firstColumn="1" w:lastColumn="0" w:noHBand="0" w:noVBand="1"/>
      </w:tblPr>
      <w:tblGrid>
        <w:gridCol w:w="4323"/>
        <w:gridCol w:w="2892"/>
        <w:gridCol w:w="1801"/>
      </w:tblGrid>
      <w:tr w:rsidR="00A00BA3" w14:paraId="1241CC78" w14:textId="77777777" w:rsidTr="006B3D70">
        <w:tc>
          <w:tcPr>
            <w:tcW w:w="2397" w:type="pct"/>
            <w:hideMark/>
          </w:tcPr>
          <w:p w14:paraId="5E3EFB78" w14:textId="77777777" w:rsidR="00A00BA3" w:rsidRDefault="00A00BA3" w:rsidP="006B3D70">
            <w:pPr>
              <w:spacing w:line="360" w:lineRule="auto"/>
              <w:rPr>
                <w:b/>
                <w:bCs/>
              </w:rPr>
            </w:pPr>
            <w:r>
              <w:rPr>
                <w:b/>
                <w:bCs/>
              </w:rPr>
              <w:t>Stakeholder</w:t>
            </w:r>
          </w:p>
        </w:tc>
        <w:tc>
          <w:tcPr>
            <w:tcW w:w="1604" w:type="pct"/>
            <w:hideMark/>
          </w:tcPr>
          <w:p w14:paraId="314208EE" w14:textId="77777777" w:rsidR="00A00BA3" w:rsidRDefault="00A00BA3" w:rsidP="006B3D70">
            <w:pPr>
              <w:spacing w:line="360" w:lineRule="auto"/>
              <w:rPr>
                <w:b/>
                <w:bCs/>
              </w:rPr>
            </w:pPr>
            <w:r>
              <w:rPr>
                <w:b/>
                <w:bCs/>
              </w:rPr>
              <w:t>Report Type</w:t>
            </w:r>
          </w:p>
        </w:tc>
        <w:tc>
          <w:tcPr>
            <w:tcW w:w="999" w:type="pct"/>
            <w:hideMark/>
          </w:tcPr>
          <w:p w14:paraId="4D5D603C" w14:textId="77777777" w:rsidR="00A00BA3" w:rsidRDefault="00A00BA3" w:rsidP="006B3D70">
            <w:pPr>
              <w:spacing w:line="360" w:lineRule="auto"/>
              <w:rPr>
                <w:b/>
                <w:bCs/>
              </w:rPr>
            </w:pPr>
            <w:r>
              <w:rPr>
                <w:b/>
                <w:bCs/>
              </w:rPr>
              <w:t>Frequency</w:t>
            </w:r>
          </w:p>
        </w:tc>
      </w:tr>
      <w:tr w:rsidR="00A00BA3" w14:paraId="3967BBDB" w14:textId="77777777" w:rsidTr="006B3D70">
        <w:tc>
          <w:tcPr>
            <w:tcW w:w="2397" w:type="pct"/>
            <w:hideMark/>
          </w:tcPr>
          <w:p w14:paraId="014DD5F0" w14:textId="77777777" w:rsidR="00A00BA3" w:rsidRDefault="00A00BA3" w:rsidP="006B3D70">
            <w:pPr>
              <w:spacing w:line="360" w:lineRule="auto"/>
            </w:pPr>
            <w:r>
              <w:t>Project Manager</w:t>
            </w:r>
          </w:p>
        </w:tc>
        <w:tc>
          <w:tcPr>
            <w:tcW w:w="1604" w:type="pct"/>
            <w:hideMark/>
          </w:tcPr>
          <w:p w14:paraId="22151076" w14:textId="77777777" w:rsidR="00A00BA3" w:rsidRDefault="00A00BA3" w:rsidP="006B3D70">
            <w:pPr>
              <w:spacing w:line="360" w:lineRule="auto"/>
            </w:pPr>
            <w:r>
              <w:t>KPI Dashboard</w:t>
            </w:r>
          </w:p>
        </w:tc>
        <w:tc>
          <w:tcPr>
            <w:tcW w:w="999" w:type="pct"/>
            <w:hideMark/>
          </w:tcPr>
          <w:p w14:paraId="1D254228" w14:textId="77777777" w:rsidR="00A00BA3" w:rsidRDefault="00A00BA3" w:rsidP="006B3D70">
            <w:pPr>
              <w:spacing w:line="360" w:lineRule="auto"/>
            </w:pPr>
            <w:r>
              <w:t>Weekly</w:t>
            </w:r>
          </w:p>
        </w:tc>
      </w:tr>
      <w:tr w:rsidR="00A00BA3" w14:paraId="282B4401" w14:textId="77777777" w:rsidTr="006B3D70">
        <w:tc>
          <w:tcPr>
            <w:tcW w:w="2397" w:type="pct"/>
            <w:hideMark/>
          </w:tcPr>
          <w:p w14:paraId="5B9E8F0B" w14:textId="77777777" w:rsidR="00A00BA3" w:rsidRDefault="00A00BA3" w:rsidP="006B3D70">
            <w:pPr>
              <w:spacing w:line="360" w:lineRule="auto"/>
            </w:pPr>
            <w:r>
              <w:t>Chief Financial Officer (CFO)</w:t>
            </w:r>
          </w:p>
        </w:tc>
        <w:tc>
          <w:tcPr>
            <w:tcW w:w="1604" w:type="pct"/>
            <w:hideMark/>
          </w:tcPr>
          <w:p w14:paraId="6CE29048" w14:textId="77777777" w:rsidR="00A00BA3" w:rsidRDefault="00A00BA3" w:rsidP="006B3D70">
            <w:pPr>
              <w:spacing w:line="360" w:lineRule="auto"/>
            </w:pPr>
            <w:r>
              <w:t>Cost Reports</w:t>
            </w:r>
          </w:p>
        </w:tc>
        <w:tc>
          <w:tcPr>
            <w:tcW w:w="999" w:type="pct"/>
            <w:hideMark/>
          </w:tcPr>
          <w:p w14:paraId="4AC5FA97" w14:textId="77777777" w:rsidR="00A00BA3" w:rsidRDefault="00A00BA3" w:rsidP="006B3D70">
            <w:pPr>
              <w:spacing w:line="360" w:lineRule="auto"/>
            </w:pPr>
            <w:r>
              <w:t>Monthly</w:t>
            </w:r>
          </w:p>
        </w:tc>
      </w:tr>
      <w:tr w:rsidR="00A00BA3" w14:paraId="75E7F336" w14:textId="77777777" w:rsidTr="006B3D70">
        <w:tc>
          <w:tcPr>
            <w:tcW w:w="2397" w:type="pct"/>
            <w:hideMark/>
          </w:tcPr>
          <w:p w14:paraId="1EDCA957" w14:textId="77777777" w:rsidR="00A00BA3" w:rsidRDefault="00A00BA3" w:rsidP="006B3D70">
            <w:pPr>
              <w:spacing w:line="360" w:lineRule="auto"/>
            </w:pPr>
            <w:r>
              <w:t>Investors / Sponsors</w:t>
            </w:r>
          </w:p>
        </w:tc>
        <w:tc>
          <w:tcPr>
            <w:tcW w:w="1604" w:type="pct"/>
            <w:hideMark/>
          </w:tcPr>
          <w:p w14:paraId="12593351" w14:textId="77777777" w:rsidR="00A00BA3" w:rsidRDefault="00A00BA3" w:rsidP="006B3D70">
            <w:pPr>
              <w:spacing w:line="360" w:lineRule="auto"/>
            </w:pPr>
            <w:r>
              <w:t>Financial Summary</w:t>
            </w:r>
          </w:p>
        </w:tc>
        <w:tc>
          <w:tcPr>
            <w:tcW w:w="999" w:type="pct"/>
            <w:hideMark/>
          </w:tcPr>
          <w:p w14:paraId="0312738F" w14:textId="77777777" w:rsidR="00A00BA3" w:rsidRDefault="00A00BA3" w:rsidP="006B3D70">
            <w:pPr>
              <w:spacing w:line="360" w:lineRule="auto"/>
            </w:pPr>
            <w:r>
              <w:t>Quarterly</w:t>
            </w:r>
          </w:p>
        </w:tc>
      </w:tr>
    </w:tbl>
    <w:p w14:paraId="5E6A5CA6" w14:textId="77777777" w:rsidR="00A00BA3" w:rsidRDefault="00A00BA3" w:rsidP="00A00BA3">
      <w:pPr>
        <w:pStyle w:val="NormalWeb"/>
        <w:spacing w:line="360" w:lineRule="auto"/>
        <w:jc w:val="both"/>
      </w:pPr>
      <w:r>
        <w:t>This structure ensures that relevant financial information is delivered to stakeholders based on their roles and decision-making responsibilities.</w:t>
      </w:r>
    </w:p>
    <w:p w14:paraId="31712ACA" w14:textId="77777777" w:rsidR="00A00BA3" w:rsidRPr="0031743F" w:rsidRDefault="00A00BA3" w:rsidP="00A00BA3">
      <w:pPr>
        <w:pStyle w:val="Heading2"/>
        <w:spacing w:line="360" w:lineRule="auto"/>
        <w:rPr>
          <w:rFonts w:ascii="Times New Roman" w:hAnsi="Times New Roman" w:cs="Times New Roman"/>
          <w:color w:val="auto"/>
          <w:sz w:val="28"/>
          <w:szCs w:val="28"/>
          <w:u w:val="single"/>
        </w:rPr>
      </w:pPr>
      <w:bookmarkStart w:id="30" w:name="_Toc225194595"/>
      <w:r w:rsidRPr="0031743F">
        <w:rPr>
          <w:rFonts w:ascii="Times New Roman" w:hAnsi="Times New Roman" w:cs="Times New Roman"/>
          <w:color w:val="auto"/>
          <w:sz w:val="28"/>
          <w:szCs w:val="28"/>
          <w:u w:val="single"/>
        </w:rPr>
        <w:t>D4. Financial Tools</w:t>
      </w:r>
      <w:bookmarkEnd w:id="30"/>
    </w:p>
    <w:p w14:paraId="5D836318" w14:textId="77777777" w:rsidR="00A00BA3" w:rsidRDefault="00A00BA3" w:rsidP="00A00BA3">
      <w:pPr>
        <w:pStyle w:val="NormalWeb"/>
        <w:spacing w:line="360" w:lineRule="auto"/>
        <w:jc w:val="both"/>
      </w:pPr>
      <w:r>
        <w:t>Advanced systems enhance reporting accuracy and efficiency:</w:t>
      </w:r>
    </w:p>
    <w:p w14:paraId="147D7626" w14:textId="77777777" w:rsidR="00A00BA3" w:rsidRDefault="00A00BA3" w:rsidP="00A00BA3">
      <w:pPr>
        <w:numPr>
          <w:ilvl w:val="0"/>
          <w:numId w:val="9"/>
        </w:numPr>
        <w:spacing w:before="100" w:beforeAutospacing="1" w:after="100" w:afterAutospacing="1" w:line="360" w:lineRule="auto"/>
        <w:jc w:val="both"/>
      </w:pPr>
      <w:r>
        <w:rPr>
          <w:rStyle w:val="Strong"/>
        </w:rPr>
        <w:t>ERP systems (SAP, Oracle):</w:t>
      </w:r>
      <w:r>
        <w:t xml:space="preserve"> Integrate financial, procurement, and accounting data </w:t>
      </w:r>
      <w:r>
        <w:rPr>
          <w:color w:val="000000"/>
          <w:shd w:val="clear" w:color="auto" w:fill="FFFFFF"/>
        </w:rPr>
        <w:t>(Babalola Olabowale, 2023)</w:t>
      </w:r>
    </w:p>
    <w:p w14:paraId="2C2A4EE5" w14:textId="77777777" w:rsidR="00A00BA3" w:rsidRDefault="00A00BA3" w:rsidP="00A00BA3">
      <w:pPr>
        <w:numPr>
          <w:ilvl w:val="0"/>
          <w:numId w:val="9"/>
        </w:numPr>
        <w:spacing w:before="100" w:beforeAutospacing="1" w:after="100" w:afterAutospacing="1" w:line="360" w:lineRule="auto"/>
        <w:jc w:val="both"/>
      </w:pPr>
      <w:r>
        <w:rPr>
          <w:rStyle w:val="Strong"/>
        </w:rPr>
        <w:t>Project management tools (Primavera, MS Project):</w:t>
      </w:r>
      <w:r>
        <w:t xml:space="preserve"> Support scheduling, cost tracking, and forecasting </w:t>
      </w:r>
    </w:p>
    <w:p w14:paraId="6E217EC8" w14:textId="4EDFEE3F" w:rsidR="00A00BA3" w:rsidRDefault="00A00BA3" w:rsidP="00A00BA3">
      <w:pPr>
        <w:pStyle w:val="NormalWeb"/>
        <w:keepNext/>
        <w:spacing w:line="360" w:lineRule="auto"/>
        <w:jc w:val="both"/>
      </w:pPr>
      <w:r>
        <w:rPr>
          <w:noProof/>
        </w:rPr>
        <w:drawing>
          <wp:inline distT="0" distB="0" distL="0" distR="0" wp14:anchorId="0B1D5B70" wp14:editId="00499AAD">
            <wp:extent cx="5835840" cy="2238233"/>
            <wp:effectExtent l="19050" t="0" r="12700" b="0"/>
            <wp:docPr id="11" name="Diagram 1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7" r:lo="rId18" r:qs="rId19" r:cs="rId20"/>
              </a:graphicData>
            </a:graphic>
          </wp:inline>
        </w:drawing>
      </w:r>
    </w:p>
    <w:p w14:paraId="1609A576" w14:textId="547A7DB7" w:rsidR="00A00BA3" w:rsidRDefault="00B2205B" w:rsidP="00A00BA3">
      <w:pPr>
        <w:pStyle w:val="Caption"/>
        <w:spacing w:line="360" w:lineRule="auto"/>
      </w:pPr>
      <w:bookmarkStart w:id="31" w:name="_Toc225177774"/>
      <w:r>
        <w:t xml:space="preserve">                                      </w:t>
      </w:r>
      <w:r w:rsidR="00A00BA3">
        <w:t xml:space="preserve">Figure </w:t>
      </w:r>
      <w:r w:rsidR="00A00BA3">
        <w:fldChar w:fldCharType="begin"/>
      </w:r>
      <w:r w:rsidR="00A00BA3">
        <w:instrText xml:space="preserve"> SEQ Figure \* ARABIC </w:instrText>
      </w:r>
      <w:r w:rsidR="00A00BA3">
        <w:fldChar w:fldCharType="separate"/>
      </w:r>
      <w:r w:rsidR="00A00BA3">
        <w:rPr>
          <w:noProof/>
        </w:rPr>
        <w:t>9</w:t>
      </w:r>
      <w:r w:rsidR="00A00BA3">
        <w:rPr>
          <w:noProof/>
        </w:rPr>
        <w:fldChar w:fldCharType="end"/>
      </w:r>
      <w:r w:rsidR="00A00BA3">
        <w:t xml:space="preserve">: </w:t>
      </w:r>
      <w:r w:rsidR="00A00BA3" w:rsidRPr="00A4243A">
        <w:t>Software Integration Diagram</w:t>
      </w:r>
      <w:r w:rsidR="00A00BA3">
        <w:t xml:space="preserve"> (Source: Author)</w:t>
      </w:r>
      <w:bookmarkEnd w:id="31"/>
    </w:p>
    <w:p w14:paraId="78DB8B3A" w14:textId="77777777" w:rsidR="00B2205B" w:rsidRDefault="00B2205B" w:rsidP="00A00BA3">
      <w:pPr>
        <w:pStyle w:val="Heading2"/>
        <w:spacing w:line="360" w:lineRule="auto"/>
        <w:rPr>
          <w:rFonts w:ascii="Times New Roman" w:hAnsi="Times New Roman" w:cs="Times New Roman"/>
          <w:color w:val="auto"/>
          <w:sz w:val="28"/>
          <w:szCs w:val="28"/>
          <w:u w:val="single"/>
        </w:rPr>
      </w:pPr>
    </w:p>
    <w:p w14:paraId="598756EE" w14:textId="7A35B131" w:rsidR="00A00BA3" w:rsidRPr="00B2205B" w:rsidRDefault="00A00BA3" w:rsidP="00A00BA3">
      <w:pPr>
        <w:pStyle w:val="Heading2"/>
        <w:spacing w:line="360" w:lineRule="auto"/>
        <w:rPr>
          <w:rFonts w:ascii="Times New Roman" w:hAnsi="Times New Roman" w:cs="Times New Roman"/>
          <w:color w:val="auto"/>
          <w:sz w:val="28"/>
          <w:szCs w:val="28"/>
          <w:u w:val="single"/>
        </w:rPr>
      </w:pPr>
      <w:bookmarkStart w:id="32" w:name="_Toc225194596"/>
      <w:r w:rsidRPr="00B2205B">
        <w:rPr>
          <w:rFonts w:ascii="Times New Roman" w:hAnsi="Times New Roman" w:cs="Times New Roman"/>
          <w:color w:val="auto"/>
          <w:sz w:val="28"/>
          <w:szCs w:val="28"/>
          <w:u w:val="single"/>
        </w:rPr>
        <w:t>D5. Reporting Benefits</w:t>
      </w:r>
      <w:bookmarkEnd w:id="32"/>
    </w:p>
    <w:p w14:paraId="661CC861" w14:textId="77777777" w:rsidR="00A00BA3" w:rsidRPr="00B2205B" w:rsidRDefault="00A00BA3" w:rsidP="00A00BA3">
      <w:pPr>
        <w:rPr>
          <w:rFonts w:ascii="Times New Roman" w:hAnsi="Times New Roman" w:cs="Times New Roman"/>
          <w:sz w:val="24"/>
          <w:szCs w:val="24"/>
        </w:rPr>
      </w:pPr>
      <w:r w:rsidRPr="00B2205B">
        <w:rPr>
          <w:rFonts w:ascii="Times New Roman" w:hAnsi="Times New Roman" w:cs="Times New Roman"/>
          <w:sz w:val="24"/>
          <w:szCs w:val="24"/>
        </w:rPr>
        <w:t>A well-structured reporting system enhances financial visibility by providing real-time insights into project performance and strengthening accountability through clearly defined roles and responsibilities (Ogundipe et al., 2024).</w:t>
      </w:r>
    </w:p>
    <w:p w14:paraId="79400F92" w14:textId="77777777" w:rsidR="00A00BA3" w:rsidRPr="00B2205B" w:rsidRDefault="00A00BA3" w:rsidP="00A00BA3">
      <w:pPr>
        <w:rPr>
          <w:rFonts w:ascii="Times New Roman" w:hAnsi="Times New Roman" w:cs="Times New Roman"/>
          <w:sz w:val="24"/>
          <w:szCs w:val="24"/>
        </w:rPr>
      </w:pPr>
      <w:r w:rsidRPr="00B2205B">
        <w:rPr>
          <w:rFonts w:ascii="Times New Roman" w:hAnsi="Times New Roman" w:cs="Times New Roman"/>
          <w:sz w:val="24"/>
          <w:szCs w:val="24"/>
        </w:rPr>
        <w:t>Furthermore, it supports data-driven decision-making by enabling timely identification of cost overruns, schedule delays, and financial risks, thereby ensuring that corrective actions can be implemented effectively to achieve project objectives.</w:t>
      </w:r>
    </w:p>
    <w:p w14:paraId="5017DDBC" w14:textId="77777777" w:rsidR="00A00BA3" w:rsidRPr="00B2205B" w:rsidRDefault="00A00BA3" w:rsidP="00A00BA3">
      <w:pPr>
        <w:rPr>
          <w:rFonts w:ascii="Times New Roman" w:hAnsi="Times New Roman" w:cs="Times New Roman"/>
          <w:sz w:val="24"/>
          <w:szCs w:val="24"/>
        </w:rPr>
      </w:pPr>
    </w:p>
    <w:p w14:paraId="75273359" w14:textId="77777777" w:rsidR="00A00BA3" w:rsidRDefault="00A00BA3" w:rsidP="00A00BA3"/>
    <w:p w14:paraId="500ECEC7" w14:textId="77777777" w:rsidR="00A00BA3" w:rsidRDefault="00A00BA3" w:rsidP="00A00BA3"/>
    <w:p w14:paraId="593588B7" w14:textId="77777777" w:rsidR="0031743F" w:rsidRDefault="0031743F" w:rsidP="00A00BA3"/>
    <w:p w14:paraId="7F206855" w14:textId="77777777" w:rsidR="0031743F" w:rsidRDefault="0031743F" w:rsidP="00A00BA3"/>
    <w:p w14:paraId="0CB8E20E" w14:textId="77777777" w:rsidR="0031743F" w:rsidRDefault="0031743F" w:rsidP="00A00BA3"/>
    <w:p w14:paraId="7F01C1F3" w14:textId="77777777" w:rsidR="0031743F" w:rsidRDefault="0031743F" w:rsidP="00A00BA3"/>
    <w:p w14:paraId="18142A58" w14:textId="77777777" w:rsidR="0031743F" w:rsidRDefault="0031743F" w:rsidP="00A00BA3"/>
    <w:p w14:paraId="07532DFE" w14:textId="77777777" w:rsidR="0031743F" w:rsidRDefault="0031743F" w:rsidP="00A00BA3"/>
    <w:p w14:paraId="438AFC3B" w14:textId="77777777" w:rsidR="0031743F" w:rsidRDefault="0031743F" w:rsidP="00A00BA3"/>
    <w:p w14:paraId="307F7C4E" w14:textId="77777777" w:rsidR="0031743F" w:rsidRDefault="0031743F" w:rsidP="00A00BA3"/>
    <w:p w14:paraId="088B9F06" w14:textId="77777777" w:rsidR="0031743F" w:rsidRDefault="0031743F" w:rsidP="00A00BA3"/>
    <w:p w14:paraId="6ACC59D6" w14:textId="77777777" w:rsidR="0031743F" w:rsidRDefault="0031743F" w:rsidP="00A00BA3"/>
    <w:p w14:paraId="09C2BD81" w14:textId="77777777" w:rsidR="0031743F" w:rsidRDefault="0031743F" w:rsidP="00A00BA3"/>
    <w:p w14:paraId="232A1CE2" w14:textId="77777777" w:rsidR="0031743F" w:rsidRDefault="0031743F" w:rsidP="00A00BA3"/>
    <w:p w14:paraId="1A278B76" w14:textId="77777777" w:rsidR="0031743F" w:rsidRDefault="0031743F" w:rsidP="00A00BA3"/>
    <w:p w14:paraId="7409AA45" w14:textId="77777777" w:rsidR="0031743F" w:rsidRDefault="0031743F" w:rsidP="00A00BA3"/>
    <w:p w14:paraId="4D4B1B22" w14:textId="77777777" w:rsidR="0031743F" w:rsidRDefault="0031743F" w:rsidP="00A00BA3"/>
    <w:p w14:paraId="13415080" w14:textId="77777777" w:rsidR="0031743F" w:rsidRDefault="0031743F" w:rsidP="00A00BA3"/>
    <w:p w14:paraId="107521D9" w14:textId="77777777" w:rsidR="0031743F" w:rsidRDefault="0031743F" w:rsidP="00A00BA3"/>
    <w:p w14:paraId="5A0C602D" w14:textId="77777777" w:rsidR="0031743F" w:rsidRDefault="0031743F" w:rsidP="00A00BA3"/>
    <w:p w14:paraId="48E5E635" w14:textId="77777777" w:rsidR="0031743F" w:rsidRPr="00A00BA3" w:rsidRDefault="0031743F" w:rsidP="00A00BA3"/>
    <w:p w14:paraId="2EC04DBB" w14:textId="77777777" w:rsidR="00A00BA3" w:rsidRPr="00B2205B" w:rsidRDefault="00A00BA3" w:rsidP="00A00BA3">
      <w:pPr>
        <w:pStyle w:val="Heading1"/>
        <w:spacing w:line="360" w:lineRule="auto"/>
        <w:rPr>
          <w:rFonts w:ascii="Times New Roman" w:hAnsi="Times New Roman" w:cs="Times New Roman"/>
          <w:color w:val="auto"/>
          <w:sz w:val="28"/>
          <w:szCs w:val="28"/>
          <w:u w:val="single"/>
          <w:lang w:val="en-IN"/>
        </w:rPr>
      </w:pPr>
      <w:bookmarkStart w:id="33" w:name="_Toc225194597"/>
      <w:r w:rsidRPr="00B2205B">
        <w:rPr>
          <w:rFonts w:ascii="Times New Roman" w:hAnsi="Times New Roman" w:cs="Times New Roman"/>
          <w:color w:val="auto"/>
          <w:sz w:val="28"/>
          <w:szCs w:val="28"/>
        </w:rPr>
        <w:lastRenderedPageBreak/>
        <w:t xml:space="preserve">7. </w:t>
      </w:r>
      <w:r w:rsidRPr="00B2205B">
        <w:rPr>
          <w:rFonts w:ascii="Times New Roman" w:hAnsi="Times New Roman" w:cs="Times New Roman"/>
          <w:color w:val="auto"/>
          <w:sz w:val="28"/>
          <w:szCs w:val="28"/>
          <w:u w:val="single"/>
        </w:rPr>
        <w:t>Conclusion &amp; Recommendations</w:t>
      </w:r>
      <w:bookmarkEnd w:id="33"/>
      <w:r w:rsidRPr="00B2205B">
        <w:rPr>
          <w:rFonts w:ascii="Times New Roman" w:hAnsi="Times New Roman" w:cs="Times New Roman"/>
          <w:color w:val="auto"/>
          <w:sz w:val="28"/>
          <w:szCs w:val="28"/>
          <w:u w:val="single"/>
        </w:rPr>
        <w:t xml:space="preserve"> </w:t>
      </w:r>
    </w:p>
    <w:p w14:paraId="437BEBBC" w14:textId="66D4C59B" w:rsidR="00A00BA3" w:rsidRPr="00B2205B" w:rsidRDefault="00A00BA3" w:rsidP="00A00BA3">
      <w:pPr>
        <w:rPr>
          <w:rFonts w:ascii="Times New Roman" w:hAnsi="Times New Roman" w:cs="Times New Roman"/>
          <w:sz w:val="24"/>
          <w:szCs w:val="24"/>
        </w:rPr>
      </w:pPr>
      <w:r w:rsidRPr="00B2205B">
        <w:rPr>
          <w:rFonts w:ascii="Times New Roman" w:hAnsi="Times New Roman" w:cs="Times New Roman"/>
          <w:sz w:val="24"/>
          <w:szCs w:val="24"/>
        </w:rPr>
        <w:t xml:space="preserve">The financial evaluation indicates that the renewable energy project is conditionally feasible, with investment appraisal results demonstrating a positive Net Present Value and an Internal Rate of Return slightly exceeding the cost of capital. However, the </w:t>
      </w:r>
      <w:r w:rsidR="002A3E79" w:rsidRPr="00B2205B">
        <w:rPr>
          <w:rFonts w:ascii="Times New Roman" w:hAnsi="Times New Roman" w:cs="Times New Roman"/>
          <w:sz w:val="24"/>
          <w:szCs w:val="24"/>
        </w:rPr>
        <w:t>low</w:t>
      </w:r>
      <w:r w:rsidRPr="00B2205B">
        <w:rPr>
          <w:rFonts w:ascii="Times New Roman" w:hAnsi="Times New Roman" w:cs="Times New Roman"/>
          <w:sz w:val="24"/>
          <w:szCs w:val="24"/>
        </w:rPr>
        <w:t xml:space="preserve"> level of value creation suggests that the project offers only limited financial attractiveness when considered in relation to its scale and associated risks.</w:t>
      </w:r>
    </w:p>
    <w:p w14:paraId="040F71BA" w14:textId="77777777" w:rsidR="00A00BA3" w:rsidRPr="00B2205B" w:rsidRDefault="00A00BA3" w:rsidP="00A00BA3">
      <w:pPr>
        <w:rPr>
          <w:rFonts w:ascii="Times New Roman" w:hAnsi="Times New Roman" w:cs="Times New Roman"/>
          <w:sz w:val="24"/>
          <w:szCs w:val="24"/>
        </w:rPr>
      </w:pPr>
      <w:r w:rsidRPr="00B2205B">
        <w:rPr>
          <w:rFonts w:ascii="Times New Roman" w:hAnsi="Times New Roman" w:cs="Times New Roman"/>
          <w:sz w:val="24"/>
          <w:szCs w:val="24"/>
        </w:rPr>
        <w:t>The proposed financing structure, combining debt, equity, and green finance, provides a balanced approach that aligns cost efficiency with risk distribution and sustainability objectives. Nevertheless, the results of scenario and sensitivity analyses reveal a high degree of exposure to cost overruns and revenue fluctuations, indicating that the project lacks strong financial resilience under adverse conditions.</w:t>
      </w:r>
    </w:p>
    <w:p w14:paraId="5F8AABA9" w14:textId="33001161" w:rsidR="00A00BA3" w:rsidRPr="00B2205B" w:rsidRDefault="00A00BA3" w:rsidP="00A00BA3">
      <w:pPr>
        <w:rPr>
          <w:rFonts w:ascii="Times New Roman" w:hAnsi="Times New Roman" w:cs="Times New Roman"/>
          <w:sz w:val="24"/>
          <w:szCs w:val="24"/>
        </w:rPr>
      </w:pPr>
      <w:r w:rsidRPr="00B2205B">
        <w:rPr>
          <w:rFonts w:ascii="Times New Roman" w:hAnsi="Times New Roman" w:cs="Times New Roman"/>
          <w:sz w:val="24"/>
          <w:szCs w:val="24"/>
        </w:rPr>
        <w:t xml:space="preserve">Furthermore, while financial control mechanisms such as Earned Value Management, contingency reserves, and structured governance frameworks enhance monitoring and transparency, their effectiveness depends on consistent implementation and </w:t>
      </w:r>
      <w:r w:rsidR="002A3E79" w:rsidRPr="00B2205B">
        <w:rPr>
          <w:rFonts w:ascii="Times New Roman" w:hAnsi="Times New Roman" w:cs="Times New Roman"/>
          <w:sz w:val="24"/>
          <w:szCs w:val="24"/>
        </w:rPr>
        <w:t>initiative-taking</w:t>
      </w:r>
      <w:r w:rsidRPr="00B2205B">
        <w:rPr>
          <w:rFonts w:ascii="Times New Roman" w:hAnsi="Times New Roman" w:cs="Times New Roman"/>
          <w:sz w:val="24"/>
          <w:szCs w:val="24"/>
        </w:rPr>
        <w:t xml:space="preserve"> management.</w:t>
      </w:r>
    </w:p>
    <w:p w14:paraId="65E849FC" w14:textId="77777777" w:rsidR="00A00BA3" w:rsidRPr="00B2205B" w:rsidRDefault="00A00BA3" w:rsidP="00A00BA3">
      <w:pPr>
        <w:rPr>
          <w:rFonts w:ascii="Times New Roman" w:hAnsi="Times New Roman" w:cs="Times New Roman"/>
          <w:sz w:val="24"/>
          <w:szCs w:val="24"/>
        </w:rPr>
      </w:pPr>
      <w:r w:rsidRPr="00B2205B">
        <w:rPr>
          <w:rFonts w:ascii="Times New Roman" w:hAnsi="Times New Roman" w:cs="Times New Roman"/>
          <w:sz w:val="24"/>
          <w:szCs w:val="24"/>
        </w:rPr>
        <w:t>From a strategic perspective, the project should only proceed if supported by enhanced cost control, conservative financial forecasting, and robust risk mitigation strategies. Without such improvements, the project may not deliver sufficient returns to justify its capital intensity and exposure to financial uncertainty.</w:t>
      </w:r>
    </w:p>
    <w:p w14:paraId="1B6B2F5A" w14:textId="77777777" w:rsidR="00A00BA3" w:rsidRPr="00B2205B" w:rsidRDefault="00A00BA3" w:rsidP="00A00BA3">
      <w:pPr>
        <w:rPr>
          <w:rFonts w:ascii="Times New Roman" w:hAnsi="Times New Roman" w:cs="Times New Roman"/>
          <w:sz w:val="24"/>
          <w:szCs w:val="24"/>
        </w:rPr>
      </w:pPr>
      <w:r w:rsidRPr="00B2205B">
        <w:rPr>
          <w:rFonts w:ascii="Times New Roman" w:hAnsi="Times New Roman" w:cs="Times New Roman"/>
          <w:sz w:val="24"/>
          <w:szCs w:val="24"/>
        </w:rPr>
        <w:t>Overall, while technically and financially feasible, the project cannot be considered strongly attractive in its current form, highlighting the importance of disciplined financial management to ensure long-term sustainability and value creation.</w:t>
      </w:r>
    </w:p>
    <w:p w14:paraId="2B8D3263" w14:textId="77777777" w:rsidR="00A00BA3" w:rsidRPr="00B2205B" w:rsidRDefault="00A00BA3" w:rsidP="00A00BA3">
      <w:pPr>
        <w:rPr>
          <w:rFonts w:ascii="Times New Roman" w:hAnsi="Times New Roman" w:cs="Times New Roman"/>
        </w:rPr>
      </w:pPr>
    </w:p>
    <w:p w14:paraId="4D2B8ED2" w14:textId="77777777" w:rsidR="00A00BA3" w:rsidRPr="00B2205B" w:rsidRDefault="00A00BA3" w:rsidP="00A00BA3">
      <w:pPr>
        <w:rPr>
          <w:rFonts w:ascii="Times New Roman" w:hAnsi="Times New Roman" w:cs="Times New Roman"/>
        </w:rPr>
      </w:pPr>
    </w:p>
    <w:p w14:paraId="3DC7DE06" w14:textId="77777777" w:rsidR="00A00BA3" w:rsidRDefault="00A00BA3" w:rsidP="00A00BA3"/>
    <w:p w14:paraId="2DC40F74" w14:textId="77777777" w:rsidR="00A00BA3" w:rsidRDefault="00A00BA3" w:rsidP="00A00BA3"/>
    <w:p w14:paraId="4F09FAD7" w14:textId="77777777" w:rsidR="00A00BA3" w:rsidRDefault="00A00BA3" w:rsidP="00A00BA3"/>
    <w:p w14:paraId="1EED7C09" w14:textId="77777777" w:rsidR="00A00BA3" w:rsidRDefault="00A00BA3" w:rsidP="00A00BA3"/>
    <w:p w14:paraId="276CD948" w14:textId="77777777" w:rsidR="00A00BA3" w:rsidRDefault="00A00BA3" w:rsidP="00A00BA3"/>
    <w:p w14:paraId="2BFA2812" w14:textId="77777777" w:rsidR="00A00BA3" w:rsidRDefault="00A00BA3" w:rsidP="00A00BA3"/>
    <w:p w14:paraId="4A39046A" w14:textId="77777777" w:rsidR="00A00BA3" w:rsidRDefault="00A00BA3" w:rsidP="00A00BA3"/>
    <w:p w14:paraId="13F98EB2" w14:textId="77777777" w:rsidR="00A00BA3" w:rsidRDefault="00A00BA3" w:rsidP="00A00BA3"/>
    <w:p w14:paraId="30DC43F0" w14:textId="77777777" w:rsidR="00A00BA3" w:rsidRDefault="00A00BA3" w:rsidP="00A00BA3"/>
    <w:p w14:paraId="3259E4AA" w14:textId="77777777" w:rsidR="00A00BA3" w:rsidRDefault="00A00BA3" w:rsidP="00A00BA3"/>
    <w:p w14:paraId="288F3E2C" w14:textId="77777777" w:rsidR="00A00BA3" w:rsidRDefault="00A00BA3" w:rsidP="00A00BA3"/>
    <w:p w14:paraId="2C8E4A5D" w14:textId="77777777" w:rsidR="00A00BA3" w:rsidRDefault="00A00BA3" w:rsidP="00A00BA3"/>
    <w:p w14:paraId="01C8998C" w14:textId="77777777" w:rsidR="00A00BA3" w:rsidRPr="00B2205B" w:rsidRDefault="00A00BA3" w:rsidP="00A00BA3">
      <w:pPr>
        <w:rPr>
          <w:rFonts w:ascii="Times New Roman" w:hAnsi="Times New Roman" w:cs="Times New Roman"/>
          <w:sz w:val="28"/>
          <w:szCs w:val="28"/>
        </w:rPr>
      </w:pPr>
      <w:r w:rsidRPr="00B2205B">
        <w:rPr>
          <w:rFonts w:ascii="Times New Roman" w:hAnsi="Times New Roman" w:cs="Times New Roman"/>
          <w:b/>
          <w:bCs/>
          <w:sz w:val="28"/>
          <w:szCs w:val="28"/>
        </w:rPr>
        <w:lastRenderedPageBreak/>
        <w:t>References</w:t>
      </w:r>
    </w:p>
    <w:p w14:paraId="07B744D6" w14:textId="77777777" w:rsidR="00A00BA3" w:rsidRPr="00B2205B" w:rsidRDefault="00A00BA3" w:rsidP="00A00BA3">
      <w:pPr>
        <w:rPr>
          <w:sz w:val="24"/>
          <w:szCs w:val="24"/>
        </w:rPr>
      </w:pPr>
      <w:r w:rsidRPr="00B2205B">
        <w:rPr>
          <w:sz w:val="24"/>
          <w:szCs w:val="24"/>
        </w:rPr>
        <w:t xml:space="preserve">Baindu Gobio-Thomas, L., Darwish, M. and Stojceska, V. (2023). </w:t>
      </w:r>
      <w:r w:rsidRPr="00B2205B">
        <w:rPr>
          <w:i/>
          <w:iCs/>
          <w:sz w:val="24"/>
          <w:szCs w:val="24"/>
        </w:rPr>
        <w:t>Review on the economic impacts of solar thermal power plants</w:t>
      </w:r>
      <w:r w:rsidRPr="00B2205B">
        <w:rPr>
          <w:sz w:val="24"/>
          <w:szCs w:val="24"/>
        </w:rPr>
        <w:t xml:space="preserve">. Thermal Science and Engineering Progress, 46, p.102224. </w:t>
      </w:r>
      <w:hyperlink r:id="rId22" w:tgtFrame="_new" w:history="1">
        <w:r w:rsidRPr="00B2205B">
          <w:rPr>
            <w:rStyle w:val="Hyperlink"/>
            <w:sz w:val="24"/>
            <w:szCs w:val="24"/>
          </w:rPr>
          <w:t>https://doi.org/10.1016/j.tsep.2023.102224</w:t>
        </w:r>
      </w:hyperlink>
    </w:p>
    <w:p w14:paraId="1CD88955" w14:textId="77777777" w:rsidR="00A00BA3" w:rsidRPr="00B2205B" w:rsidRDefault="00A00BA3" w:rsidP="00A00BA3">
      <w:pPr>
        <w:rPr>
          <w:sz w:val="24"/>
          <w:szCs w:val="24"/>
        </w:rPr>
      </w:pPr>
      <w:r w:rsidRPr="00B2205B">
        <w:rPr>
          <w:sz w:val="24"/>
          <w:szCs w:val="24"/>
        </w:rPr>
        <w:t xml:space="preserve">Babalola, O. (2023). </w:t>
      </w:r>
      <w:r w:rsidRPr="00B2205B">
        <w:rPr>
          <w:i/>
          <w:iCs/>
          <w:sz w:val="24"/>
          <w:szCs w:val="24"/>
        </w:rPr>
        <w:t>Financial forecasting and planning with ERP</w:t>
      </w:r>
      <w:r w:rsidRPr="00B2205B">
        <w:rPr>
          <w:sz w:val="24"/>
          <w:szCs w:val="24"/>
        </w:rPr>
        <w:t xml:space="preserve">. ResearchGate. Available at: </w:t>
      </w:r>
      <w:hyperlink r:id="rId23" w:tgtFrame="_new" w:history="1">
        <w:r w:rsidRPr="00B2205B">
          <w:rPr>
            <w:rStyle w:val="Hyperlink"/>
            <w:sz w:val="24"/>
            <w:szCs w:val="24"/>
          </w:rPr>
          <w:t>https://www.researchgate.net/publication/399359200_FINANCIAL_FORECASTING_AND_PLANNING_WITH_ERP</w:t>
        </w:r>
      </w:hyperlink>
      <w:r w:rsidRPr="00B2205B">
        <w:rPr>
          <w:sz w:val="24"/>
          <w:szCs w:val="24"/>
        </w:rPr>
        <w:t xml:space="preserve"> (Accessed: 23 March 2026).</w:t>
      </w:r>
    </w:p>
    <w:p w14:paraId="3A194634" w14:textId="77777777" w:rsidR="00A00BA3" w:rsidRPr="00B2205B" w:rsidRDefault="00A00BA3" w:rsidP="00A00BA3">
      <w:pPr>
        <w:rPr>
          <w:sz w:val="24"/>
          <w:szCs w:val="24"/>
        </w:rPr>
      </w:pPr>
      <w:r w:rsidRPr="00B2205B">
        <w:rPr>
          <w:sz w:val="24"/>
          <w:szCs w:val="24"/>
        </w:rPr>
        <w:t xml:space="preserve">Bassey, K.E., Aigbovbiosa, J. and Agupugo, C. (2024). </w:t>
      </w:r>
      <w:r w:rsidRPr="00B2205B">
        <w:rPr>
          <w:i/>
          <w:iCs/>
          <w:sz w:val="24"/>
          <w:szCs w:val="24"/>
        </w:rPr>
        <w:t>Risk management strategies in renewable energy investment</w:t>
      </w:r>
      <w:r w:rsidRPr="00B2205B">
        <w:rPr>
          <w:sz w:val="24"/>
          <w:szCs w:val="24"/>
        </w:rPr>
        <w:t xml:space="preserve">. ResearchGate, 11(1), pp.138–148. </w:t>
      </w:r>
      <w:hyperlink r:id="rId24" w:tgtFrame="_new" w:history="1">
        <w:r w:rsidRPr="00B2205B">
          <w:rPr>
            <w:rStyle w:val="Hyperlink"/>
            <w:sz w:val="24"/>
            <w:szCs w:val="24"/>
          </w:rPr>
          <w:t>https://doi.org/10.5281/zenodo.13311076</w:t>
        </w:r>
      </w:hyperlink>
    </w:p>
    <w:p w14:paraId="3BFA6159" w14:textId="25C1B71C" w:rsidR="002A3E79" w:rsidRDefault="002A3E79" w:rsidP="00A00BA3">
      <w:pPr>
        <w:rPr>
          <w:sz w:val="24"/>
          <w:szCs w:val="24"/>
        </w:rPr>
      </w:pPr>
      <w:r w:rsidRPr="002A3E79">
        <w:rPr>
          <w:sz w:val="24"/>
          <w:szCs w:val="24"/>
        </w:rPr>
        <w:t xml:space="preserve">Cerezo-Narváez, A., Pastor-Fernández, A., Otero-Mateo, </w:t>
      </w:r>
      <w:r w:rsidRPr="002A3E79">
        <w:rPr>
          <w:sz w:val="24"/>
          <w:szCs w:val="24"/>
        </w:rPr>
        <w:t>M.,</w:t>
      </w:r>
      <w:r w:rsidRPr="002A3E79">
        <w:rPr>
          <w:sz w:val="24"/>
          <w:szCs w:val="24"/>
        </w:rPr>
        <w:t xml:space="preserve"> and Ballesteros-Pérez, P. (2020). </w:t>
      </w:r>
      <w:r w:rsidRPr="002A3E79">
        <w:rPr>
          <w:i/>
          <w:iCs/>
          <w:sz w:val="24"/>
          <w:szCs w:val="24"/>
        </w:rPr>
        <w:t>Integration of cost and work breakdown structures in the management of construction projects</w:t>
      </w:r>
      <w:r w:rsidRPr="002A3E79">
        <w:rPr>
          <w:sz w:val="24"/>
          <w:szCs w:val="24"/>
        </w:rPr>
        <w:t xml:space="preserve">. Applied Sciences, 10(4), p.1386. </w:t>
      </w:r>
      <w:hyperlink r:id="rId25" w:tgtFrame="_new" w:history="1">
        <w:r w:rsidRPr="002A3E79">
          <w:rPr>
            <w:rStyle w:val="Hyperlink"/>
            <w:sz w:val="24"/>
            <w:szCs w:val="24"/>
          </w:rPr>
          <w:t>https://doi.org/10.3390/app10041386</w:t>
        </w:r>
      </w:hyperlink>
    </w:p>
    <w:p w14:paraId="04034070" w14:textId="6F62CA5E" w:rsidR="00A00BA3" w:rsidRPr="00B2205B" w:rsidRDefault="00A00BA3" w:rsidP="00A00BA3">
      <w:pPr>
        <w:rPr>
          <w:sz w:val="24"/>
          <w:szCs w:val="24"/>
        </w:rPr>
      </w:pPr>
      <w:r w:rsidRPr="00B2205B">
        <w:rPr>
          <w:sz w:val="24"/>
          <w:szCs w:val="24"/>
        </w:rPr>
        <w:t xml:space="preserve">Dema, M.A. (2024). </w:t>
      </w:r>
      <w:r w:rsidRPr="00B2205B">
        <w:rPr>
          <w:i/>
          <w:iCs/>
          <w:sz w:val="24"/>
          <w:szCs w:val="24"/>
        </w:rPr>
        <w:t>An in-depth study on credit risk in commercial banks</w:t>
      </w:r>
      <w:r w:rsidRPr="00B2205B">
        <w:rPr>
          <w:sz w:val="24"/>
          <w:szCs w:val="24"/>
        </w:rPr>
        <w:t xml:space="preserve">. ResearchGate. </w:t>
      </w:r>
      <w:hyperlink r:id="rId26" w:tgtFrame="_new" w:history="1">
        <w:r w:rsidRPr="00B2205B">
          <w:rPr>
            <w:rStyle w:val="Hyperlink"/>
            <w:sz w:val="24"/>
            <w:szCs w:val="24"/>
          </w:rPr>
          <w:t>https://doi.org/10.5281/zenodo.12794314</w:t>
        </w:r>
      </w:hyperlink>
    </w:p>
    <w:p w14:paraId="0BCBAF47" w14:textId="77777777" w:rsidR="00A00BA3" w:rsidRPr="00B2205B" w:rsidRDefault="00A00BA3" w:rsidP="00A00BA3">
      <w:pPr>
        <w:rPr>
          <w:sz w:val="24"/>
          <w:szCs w:val="24"/>
        </w:rPr>
      </w:pPr>
      <w:r w:rsidRPr="00B2205B">
        <w:rPr>
          <w:sz w:val="24"/>
          <w:szCs w:val="24"/>
        </w:rPr>
        <w:t xml:space="preserve">Desta, M. (2025). </w:t>
      </w:r>
      <w:r w:rsidRPr="00B2205B">
        <w:rPr>
          <w:i/>
          <w:iCs/>
          <w:sz w:val="24"/>
          <w:szCs w:val="24"/>
        </w:rPr>
        <w:t>Equity financing 101: How companies raise capital through equity</w:t>
      </w:r>
      <w:r w:rsidRPr="00B2205B">
        <w:rPr>
          <w:sz w:val="24"/>
          <w:szCs w:val="24"/>
        </w:rPr>
        <w:t xml:space="preserve">. Academy of Accounting and Financial Studies Journal, 29(1), pp.1–3. Available at: </w:t>
      </w:r>
      <w:hyperlink r:id="rId27" w:tgtFrame="_new" w:history="1">
        <w:r w:rsidRPr="00B2205B">
          <w:rPr>
            <w:rStyle w:val="Hyperlink"/>
            <w:sz w:val="24"/>
            <w:szCs w:val="24"/>
          </w:rPr>
          <w:t>https://www.abacademies.org/articles/equity-financing-101-how-companies-raise-capital-through-equity.pdf</w:t>
        </w:r>
      </w:hyperlink>
    </w:p>
    <w:p w14:paraId="200FFF2D" w14:textId="77777777" w:rsidR="00A00BA3" w:rsidRPr="00B2205B" w:rsidRDefault="00A00BA3" w:rsidP="00A00BA3">
      <w:pPr>
        <w:rPr>
          <w:sz w:val="24"/>
          <w:szCs w:val="24"/>
        </w:rPr>
      </w:pPr>
      <w:r w:rsidRPr="00B2205B">
        <w:rPr>
          <w:sz w:val="24"/>
          <w:szCs w:val="24"/>
        </w:rPr>
        <w:t xml:space="preserve">Hamza, A. (2026). </w:t>
      </w:r>
      <w:r w:rsidRPr="00B2205B">
        <w:rPr>
          <w:i/>
          <w:iCs/>
          <w:sz w:val="24"/>
          <w:szCs w:val="24"/>
        </w:rPr>
        <w:t>Cash-flow and residual value analysis for construction equipment</w:t>
      </w:r>
      <w:r w:rsidRPr="00B2205B">
        <w:rPr>
          <w:sz w:val="24"/>
          <w:szCs w:val="24"/>
        </w:rPr>
        <w:t xml:space="preserve">. Master’s thesis. University of Alberta. Available at: </w:t>
      </w:r>
      <w:hyperlink r:id="rId28" w:tgtFrame="_new" w:history="1">
        <w:r w:rsidRPr="00B2205B">
          <w:rPr>
            <w:rStyle w:val="Hyperlink"/>
            <w:sz w:val="24"/>
            <w:szCs w:val="24"/>
          </w:rPr>
          <w:t>https://ualberta.scholaris.ca</w:t>
        </w:r>
      </w:hyperlink>
      <w:r w:rsidRPr="00B2205B">
        <w:rPr>
          <w:sz w:val="24"/>
          <w:szCs w:val="24"/>
        </w:rPr>
        <w:t xml:space="preserve"> (Accessed: 23 March 2026).</w:t>
      </w:r>
    </w:p>
    <w:p w14:paraId="2C786E3B" w14:textId="77777777" w:rsidR="00EF7127" w:rsidRDefault="00EF7127" w:rsidP="00A00BA3">
      <w:pPr>
        <w:rPr>
          <w:sz w:val="24"/>
          <w:szCs w:val="24"/>
        </w:rPr>
      </w:pPr>
      <w:r w:rsidRPr="00EF7127">
        <w:rPr>
          <w:sz w:val="24"/>
          <w:szCs w:val="24"/>
        </w:rPr>
        <w:t xml:space="preserve">D’Adamo, I., Ferella, F., Gastaldi, M., Ippolito, N.M. and Lunadei, D. (2025). </w:t>
      </w:r>
      <w:r w:rsidRPr="00EF7127">
        <w:rPr>
          <w:i/>
          <w:iCs/>
          <w:sz w:val="24"/>
          <w:szCs w:val="24"/>
        </w:rPr>
        <w:t>Renewable energy investment analysis</w:t>
      </w:r>
      <w:r w:rsidRPr="00EF7127">
        <w:rPr>
          <w:sz w:val="24"/>
          <w:szCs w:val="24"/>
        </w:rPr>
        <w:t xml:space="preserve">. MethodsX. Available at: </w:t>
      </w:r>
      <w:hyperlink r:id="rId29" w:tgtFrame="_new" w:history="1">
        <w:r w:rsidRPr="00EF7127">
          <w:rPr>
            <w:rStyle w:val="Hyperlink"/>
            <w:sz w:val="24"/>
            <w:szCs w:val="24"/>
          </w:rPr>
          <w:t>https://www.sciencedirect.com/science/article/pii/S2214993725005809</w:t>
        </w:r>
      </w:hyperlink>
      <w:r w:rsidRPr="00EF7127">
        <w:rPr>
          <w:sz w:val="24"/>
          <w:szCs w:val="24"/>
        </w:rPr>
        <w:t xml:space="preserve"> (Accessed: 23 March 2026).</w:t>
      </w:r>
    </w:p>
    <w:p w14:paraId="1380D58C" w14:textId="00B14A34" w:rsidR="00A00BA3" w:rsidRPr="00B2205B" w:rsidRDefault="00A00BA3" w:rsidP="00A00BA3">
      <w:pPr>
        <w:rPr>
          <w:sz w:val="24"/>
          <w:szCs w:val="24"/>
        </w:rPr>
      </w:pPr>
      <w:r w:rsidRPr="00B2205B">
        <w:rPr>
          <w:sz w:val="24"/>
          <w:szCs w:val="24"/>
        </w:rPr>
        <w:t xml:space="preserve">Koopman, K. and Cumberlege, R. (2021). </w:t>
      </w:r>
      <w:r w:rsidRPr="00B2205B">
        <w:rPr>
          <w:i/>
          <w:iCs/>
          <w:sz w:val="24"/>
          <w:szCs w:val="24"/>
        </w:rPr>
        <w:t>Cash flow management by contractors</w:t>
      </w:r>
      <w:r w:rsidRPr="00B2205B">
        <w:rPr>
          <w:sz w:val="24"/>
          <w:szCs w:val="24"/>
        </w:rPr>
        <w:t xml:space="preserve">. IOP Conference Series: Earth and Environmental Science, 654(1), p.012028. Available at: </w:t>
      </w:r>
      <w:hyperlink r:id="rId30" w:tgtFrame="_new" w:history="1">
        <w:r w:rsidRPr="00B2205B">
          <w:rPr>
            <w:rStyle w:val="Hyperlink"/>
            <w:sz w:val="24"/>
            <w:szCs w:val="24"/>
          </w:rPr>
          <w:t>https://www.researchgate.net/publication/349430971</w:t>
        </w:r>
      </w:hyperlink>
      <w:r w:rsidRPr="00B2205B">
        <w:rPr>
          <w:sz w:val="24"/>
          <w:szCs w:val="24"/>
        </w:rPr>
        <w:t xml:space="preserve"> (Accessed: 23 March 2026).</w:t>
      </w:r>
    </w:p>
    <w:p w14:paraId="508D1F85" w14:textId="77777777" w:rsidR="00A00BA3" w:rsidRPr="00B2205B" w:rsidRDefault="00A00BA3" w:rsidP="00A00BA3">
      <w:pPr>
        <w:rPr>
          <w:sz w:val="24"/>
          <w:szCs w:val="24"/>
        </w:rPr>
      </w:pPr>
      <w:r w:rsidRPr="00B2205B">
        <w:rPr>
          <w:sz w:val="24"/>
          <w:szCs w:val="24"/>
        </w:rPr>
        <w:t xml:space="preserve">Malingkas, G.Y. (2025). </w:t>
      </w:r>
      <w:r w:rsidRPr="00B2205B">
        <w:rPr>
          <w:i/>
          <w:iCs/>
          <w:sz w:val="24"/>
          <w:szCs w:val="24"/>
        </w:rPr>
        <w:t>Time and cost management analysis using SPI and CPI methods</w:t>
      </w:r>
      <w:r w:rsidRPr="00B2205B">
        <w:rPr>
          <w:sz w:val="24"/>
          <w:szCs w:val="24"/>
        </w:rPr>
        <w:t xml:space="preserve">. Journal of Social Research, 4(10), pp.2829–2839. </w:t>
      </w:r>
      <w:hyperlink r:id="rId31" w:tgtFrame="_new" w:history="1">
        <w:r w:rsidRPr="00B2205B">
          <w:rPr>
            <w:rStyle w:val="Hyperlink"/>
            <w:sz w:val="24"/>
            <w:szCs w:val="24"/>
          </w:rPr>
          <w:t>https://doi.org/10.55324/josr.v4i10.2734</w:t>
        </w:r>
      </w:hyperlink>
    </w:p>
    <w:p w14:paraId="50FF0BFB" w14:textId="77777777" w:rsidR="00A00BA3" w:rsidRPr="00B2205B" w:rsidRDefault="00A00BA3" w:rsidP="00A00BA3">
      <w:pPr>
        <w:rPr>
          <w:sz w:val="24"/>
          <w:szCs w:val="24"/>
        </w:rPr>
      </w:pPr>
      <w:r w:rsidRPr="00B2205B">
        <w:rPr>
          <w:sz w:val="24"/>
          <w:szCs w:val="24"/>
        </w:rPr>
        <w:t xml:space="preserve">Ning, Y., Cherian, J., Sial, M.S., Álvarez-Otero, S., Comite, U. and Zia-Ud-Din, M. (2022). </w:t>
      </w:r>
      <w:r w:rsidRPr="00B2205B">
        <w:rPr>
          <w:i/>
          <w:iCs/>
          <w:sz w:val="24"/>
          <w:szCs w:val="24"/>
        </w:rPr>
        <w:t>Green bonds as determinants of sustainable financing and investment</w:t>
      </w:r>
      <w:r w:rsidRPr="00B2205B">
        <w:rPr>
          <w:sz w:val="24"/>
          <w:szCs w:val="24"/>
        </w:rPr>
        <w:t xml:space="preserve">. Environmental Science and Pollution Research, 30(22), pp.61324–61339. </w:t>
      </w:r>
      <w:hyperlink r:id="rId32" w:tgtFrame="_new" w:history="1">
        <w:r w:rsidRPr="00B2205B">
          <w:rPr>
            <w:rStyle w:val="Hyperlink"/>
            <w:sz w:val="24"/>
            <w:szCs w:val="24"/>
          </w:rPr>
          <w:t>https://doi.org/10.1007/s11356-021-18454-7</w:t>
        </w:r>
      </w:hyperlink>
    </w:p>
    <w:p w14:paraId="637B6DC7" w14:textId="77777777" w:rsidR="00A00BA3" w:rsidRPr="00B2205B" w:rsidRDefault="00A00BA3" w:rsidP="00A00BA3">
      <w:pPr>
        <w:rPr>
          <w:sz w:val="24"/>
          <w:szCs w:val="24"/>
        </w:rPr>
      </w:pPr>
      <w:r w:rsidRPr="00B2205B">
        <w:rPr>
          <w:sz w:val="24"/>
          <w:szCs w:val="24"/>
        </w:rPr>
        <w:lastRenderedPageBreak/>
        <w:t xml:space="preserve">OECD (2025). </w:t>
      </w:r>
      <w:r w:rsidRPr="00B2205B">
        <w:rPr>
          <w:i/>
          <w:iCs/>
          <w:sz w:val="24"/>
          <w:szCs w:val="24"/>
        </w:rPr>
        <w:t>OECD DAC blended finance guidance 2025</w:t>
      </w:r>
      <w:r w:rsidRPr="00B2205B">
        <w:rPr>
          <w:sz w:val="24"/>
          <w:szCs w:val="24"/>
        </w:rPr>
        <w:t xml:space="preserve">. Available at: </w:t>
      </w:r>
      <w:hyperlink r:id="rId33" w:tgtFrame="_new" w:history="1">
        <w:r w:rsidRPr="00B2205B">
          <w:rPr>
            <w:rStyle w:val="Hyperlink"/>
            <w:sz w:val="24"/>
            <w:szCs w:val="24"/>
          </w:rPr>
          <w:t>https://www.oecd.org</w:t>
        </w:r>
      </w:hyperlink>
      <w:r w:rsidRPr="00B2205B">
        <w:rPr>
          <w:sz w:val="24"/>
          <w:szCs w:val="24"/>
        </w:rPr>
        <w:t xml:space="preserve"> (Accessed: 23 March 2026).</w:t>
      </w:r>
    </w:p>
    <w:p w14:paraId="112F6415" w14:textId="77777777" w:rsidR="00A00BA3" w:rsidRPr="00B2205B" w:rsidRDefault="00A00BA3" w:rsidP="00A00BA3">
      <w:pPr>
        <w:rPr>
          <w:sz w:val="24"/>
          <w:szCs w:val="24"/>
        </w:rPr>
      </w:pPr>
      <w:r w:rsidRPr="00B2205B">
        <w:rPr>
          <w:sz w:val="24"/>
          <w:szCs w:val="24"/>
        </w:rPr>
        <w:t xml:space="preserve">Proaño-Narváez, M., Flores-Vázquez, C., Vásquez Quiroz, P. and Avila-Calle, M. (2022). </w:t>
      </w:r>
      <w:r w:rsidRPr="00B2205B">
        <w:rPr>
          <w:i/>
          <w:iCs/>
          <w:sz w:val="24"/>
          <w:szCs w:val="24"/>
        </w:rPr>
        <w:t>Earned value method for construction projects</w:t>
      </w:r>
      <w:r w:rsidRPr="00B2205B">
        <w:rPr>
          <w:sz w:val="24"/>
          <w:szCs w:val="24"/>
        </w:rPr>
        <w:t xml:space="preserve">. Buildings, 12(3), p.301. </w:t>
      </w:r>
      <w:hyperlink r:id="rId34" w:tgtFrame="_new" w:history="1">
        <w:r w:rsidRPr="00B2205B">
          <w:rPr>
            <w:rStyle w:val="Hyperlink"/>
            <w:sz w:val="24"/>
            <w:szCs w:val="24"/>
          </w:rPr>
          <w:t>https://doi.org/10.3390/buildings12030301</w:t>
        </w:r>
      </w:hyperlink>
    </w:p>
    <w:p w14:paraId="621F259C" w14:textId="77777777" w:rsidR="00A00BA3" w:rsidRPr="00B2205B" w:rsidRDefault="00A00BA3" w:rsidP="00A00BA3">
      <w:pPr>
        <w:rPr>
          <w:sz w:val="24"/>
          <w:szCs w:val="24"/>
        </w:rPr>
      </w:pPr>
      <w:r w:rsidRPr="00B2205B">
        <w:rPr>
          <w:sz w:val="24"/>
          <w:szCs w:val="24"/>
        </w:rPr>
        <w:t xml:space="preserve">Rahmad Dwi Putra Suhanda and Pratami, D. (2021). </w:t>
      </w:r>
      <w:r w:rsidRPr="00B2205B">
        <w:rPr>
          <w:i/>
          <w:iCs/>
          <w:sz w:val="24"/>
          <w:szCs w:val="24"/>
        </w:rPr>
        <w:t>RACI matrix design for managing stakeholders</w:t>
      </w:r>
      <w:r w:rsidRPr="00B2205B">
        <w:rPr>
          <w:sz w:val="24"/>
          <w:szCs w:val="24"/>
        </w:rPr>
        <w:t xml:space="preserve">. International Journal of Innovation in Enterprise System, 5(2), pp.122–133. </w:t>
      </w:r>
      <w:hyperlink r:id="rId35" w:tgtFrame="_new" w:history="1">
        <w:r w:rsidRPr="00B2205B">
          <w:rPr>
            <w:rStyle w:val="Hyperlink"/>
            <w:sz w:val="24"/>
            <w:szCs w:val="24"/>
          </w:rPr>
          <w:t>https://doi.org/10.25124/ijies.v5i02.134</w:t>
        </w:r>
      </w:hyperlink>
    </w:p>
    <w:p w14:paraId="5FF2C369" w14:textId="77777777" w:rsidR="00A00BA3" w:rsidRPr="00B2205B" w:rsidRDefault="00A00BA3" w:rsidP="00A00BA3">
      <w:pPr>
        <w:rPr>
          <w:sz w:val="24"/>
          <w:szCs w:val="24"/>
        </w:rPr>
      </w:pPr>
      <w:r w:rsidRPr="00B2205B">
        <w:rPr>
          <w:sz w:val="24"/>
          <w:szCs w:val="24"/>
        </w:rPr>
        <w:t xml:space="preserve">Razavi, S. et al. (2021). </w:t>
      </w:r>
      <w:r w:rsidRPr="00B2205B">
        <w:rPr>
          <w:i/>
          <w:iCs/>
          <w:sz w:val="24"/>
          <w:szCs w:val="24"/>
        </w:rPr>
        <w:t>The future of sensitivity analysis: An essential discipline for systems modelling</w:t>
      </w:r>
      <w:r w:rsidRPr="00B2205B">
        <w:rPr>
          <w:sz w:val="24"/>
          <w:szCs w:val="24"/>
        </w:rPr>
        <w:t xml:space="preserve">. Environmental Modelling &amp; Software, 137, p.104954. </w:t>
      </w:r>
      <w:hyperlink r:id="rId36" w:tgtFrame="_new" w:history="1">
        <w:r w:rsidRPr="00B2205B">
          <w:rPr>
            <w:rStyle w:val="Hyperlink"/>
            <w:sz w:val="24"/>
            <w:szCs w:val="24"/>
          </w:rPr>
          <w:t>https://doi.org/10.1016/j.envsoft.2020.104954</w:t>
        </w:r>
      </w:hyperlink>
    </w:p>
    <w:p w14:paraId="7F3F8901" w14:textId="77777777" w:rsidR="00A00BA3" w:rsidRPr="00B2205B" w:rsidRDefault="00A00BA3" w:rsidP="00A00BA3">
      <w:pPr>
        <w:rPr>
          <w:sz w:val="24"/>
          <w:szCs w:val="24"/>
        </w:rPr>
      </w:pPr>
      <w:r w:rsidRPr="00B2205B">
        <w:rPr>
          <w:sz w:val="24"/>
          <w:szCs w:val="24"/>
        </w:rPr>
        <w:t xml:space="preserve">Reddy, A.A. (2024). </w:t>
      </w:r>
      <w:r w:rsidRPr="00B2205B">
        <w:rPr>
          <w:i/>
          <w:iCs/>
          <w:sz w:val="24"/>
          <w:szCs w:val="24"/>
        </w:rPr>
        <w:t>Hedging of price risks in base metals</w:t>
      </w:r>
      <w:r w:rsidRPr="00B2205B">
        <w:rPr>
          <w:sz w:val="24"/>
          <w:szCs w:val="24"/>
        </w:rPr>
        <w:t xml:space="preserve">. ResearchGate. Available at: </w:t>
      </w:r>
      <w:hyperlink r:id="rId37" w:tgtFrame="_new" w:history="1">
        <w:r w:rsidRPr="00B2205B">
          <w:rPr>
            <w:rStyle w:val="Hyperlink"/>
            <w:sz w:val="24"/>
            <w:szCs w:val="24"/>
          </w:rPr>
          <w:t>https://www.researchgate.net</w:t>
        </w:r>
      </w:hyperlink>
      <w:r w:rsidRPr="00B2205B">
        <w:rPr>
          <w:sz w:val="24"/>
          <w:szCs w:val="24"/>
        </w:rPr>
        <w:t xml:space="preserve"> (Accessed: 23 March 2026).</w:t>
      </w:r>
    </w:p>
    <w:p w14:paraId="4377E0DA" w14:textId="77777777" w:rsidR="00A00BA3" w:rsidRPr="00B2205B" w:rsidRDefault="00A00BA3" w:rsidP="00A00BA3">
      <w:pPr>
        <w:rPr>
          <w:sz w:val="24"/>
          <w:szCs w:val="24"/>
        </w:rPr>
      </w:pPr>
      <w:r w:rsidRPr="00B2205B">
        <w:rPr>
          <w:sz w:val="24"/>
          <w:szCs w:val="24"/>
        </w:rPr>
        <w:t xml:space="preserve">Sakyi, J.K., Filani, O.M., Nnabueze, S.B., Okojie, J.S. and Ogedengbe, A.O. (2022). </w:t>
      </w:r>
      <w:r w:rsidRPr="00B2205B">
        <w:rPr>
          <w:i/>
          <w:iCs/>
          <w:sz w:val="24"/>
          <w:szCs w:val="24"/>
        </w:rPr>
        <w:t>Developing KPI frameworks to enhance accountability</w:t>
      </w:r>
      <w:r w:rsidRPr="00B2205B">
        <w:rPr>
          <w:sz w:val="24"/>
          <w:szCs w:val="24"/>
        </w:rPr>
        <w:t xml:space="preserve">. Journal of Frontiers in Multidisciplinary Research, 3(2), pp.81–93. </w:t>
      </w:r>
      <w:hyperlink r:id="rId38" w:tgtFrame="_new" w:history="1">
        <w:r w:rsidRPr="00B2205B">
          <w:rPr>
            <w:rStyle w:val="Hyperlink"/>
            <w:sz w:val="24"/>
            <w:szCs w:val="24"/>
          </w:rPr>
          <w:t>https://doi.org/10.54660/.ijfmr.2022.3.2.81-93</w:t>
        </w:r>
      </w:hyperlink>
    </w:p>
    <w:p w14:paraId="68F9DDD7" w14:textId="77777777" w:rsidR="00A00BA3" w:rsidRPr="00B2205B" w:rsidRDefault="00A00BA3" w:rsidP="00A00BA3">
      <w:pPr>
        <w:rPr>
          <w:sz w:val="24"/>
          <w:szCs w:val="24"/>
        </w:rPr>
      </w:pPr>
      <w:r w:rsidRPr="00B2205B">
        <w:rPr>
          <w:sz w:val="24"/>
          <w:szCs w:val="24"/>
        </w:rPr>
        <w:t xml:space="preserve">Savila, S. (2025). </w:t>
      </w:r>
      <w:r w:rsidRPr="00B2205B">
        <w:rPr>
          <w:i/>
          <w:iCs/>
          <w:sz w:val="24"/>
          <w:szCs w:val="24"/>
        </w:rPr>
        <w:t>Optimizing investment project cost controls</w:t>
      </w:r>
      <w:r w:rsidRPr="00B2205B">
        <w:rPr>
          <w:sz w:val="24"/>
          <w:szCs w:val="24"/>
        </w:rPr>
        <w:t xml:space="preserve">. Master’s thesis. Tampere University. Available at: </w:t>
      </w:r>
      <w:hyperlink r:id="rId39" w:tgtFrame="_new" w:history="1">
        <w:r w:rsidRPr="00B2205B">
          <w:rPr>
            <w:rStyle w:val="Hyperlink"/>
            <w:sz w:val="24"/>
            <w:szCs w:val="24"/>
          </w:rPr>
          <w:t>https://trepo.tuni.fi</w:t>
        </w:r>
      </w:hyperlink>
      <w:r w:rsidRPr="00B2205B">
        <w:rPr>
          <w:sz w:val="24"/>
          <w:szCs w:val="24"/>
        </w:rPr>
        <w:t xml:space="preserve"> (Accessed: 23 March 2026).</w:t>
      </w:r>
    </w:p>
    <w:p w14:paraId="54C0685B" w14:textId="77777777" w:rsidR="00A00BA3" w:rsidRPr="00B2205B" w:rsidRDefault="00A00BA3" w:rsidP="00A00BA3">
      <w:pPr>
        <w:rPr>
          <w:sz w:val="24"/>
          <w:szCs w:val="24"/>
        </w:rPr>
      </w:pPr>
      <w:r w:rsidRPr="00B2205B">
        <w:rPr>
          <w:sz w:val="24"/>
          <w:szCs w:val="24"/>
        </w:rPr>
        <w:t xml:space="preserve">Ogundipe, T., Ewim, S.E. and Sam-Bulya, N.J. (2024). </w:t>
      </w:r>
      <w:r w:rsidRPr="00B2205B">
        <w:rPr>
          <w:i/>
          <w:iCs/>
          <w:sz w:val="24"/>
          <w:szCs w:val="24"/>
        </w:rPr>
        <w:t>Enhancing financial reporting through ERP systems</w:t>
      </w:r>
      <w:r w:rsidRPr="00B2205B">
        <w:rPr>
          <w:sz w:val="24"/>
          <w:szCs w:val="24"/>
        </w:rPr>
        <w:t xml:space="preserve">. International Journal of Management &amp; Entrepreneurship Research, 6(10), pp.3415–3458. </w:t>
      </w:r>
      <w:hyperlink r:id="rId40" w:tgtFrame="_new" w:history="1">
        <w:r w:rsidRPr="00B2205B">
          <w:rPr>
            <w:rStyle w:val="Hyperlink"/>
            <w:sz w:val="24"/>
            <w:szCs w:val="24"/>
          </w:rPr>
          <w:t>https://doi.org/10.51594/ijmer.v6i10.1655</w:t>
        </w:r>
      </w:hyperlink>
    </w:p>
    <w:p w14:paraId="7470506F" w14:textId="77777777" w:rsidR="00A00BA3" w:rsidRPr="00B2205B" w:rsidRDefault="00A00BA3" w:rsidP="00A00BA3">
      <w:pPr>
        <w:rPr>
          <w:sz w:val="24"/>
          <w:szCs w:val="24"/>
        </w:rPr>
      </w:pPr>
      <w:r w:rsidRPr="00B2205B">
        <w:rPr>
          <w:sz w:val="24"/>
          <w:szCs w:val="24"/>
        </w:rPr>
        <w:t xml:space="preserve">Wang, Z. (2021). </w:t>
      </w:r>
      <w:r w:rsidRPr="00B2205B">
        <w:rPr>
          <w:i/>
          <w:iCs/>
          <w:sz w:val="24"/>
          <w:szCs w:val="24"/>
        </w:rPr>
        <w:t>Evaluating the accuracy of NPV and IRR investment rules</w:t>
      </w:r>
      <w:r w:rsidRPr="00B2205B">
        <w:rPr>
          <w:sz w:val="24"/>
          <w:szCs w:val="24"/>
        </w:rPr>
        <w:t xml:space="preserve">. Atlantis Press. </w:t>
      </w:r>
      <w:hyperlink r:id="rId41" w:tgtFrame="_new" w:history="1">
        <w:r w:rsidRPr="00B2205B">
          <w:rPr>
            <w:rStyle w:val="Hyperlink"/>
            <w:sz w:val="24"/>
            <w:szCs w:val="24"/>
          </w:rPr>
          <w:t>https://doi.org/10.2991/assehr.k.211209.215</w:t>
        </w:r>
      </w:hyperlink>
    </w:p>
    <w:p w14:paraId="2ABCBA0F" w14:textId="77777777" w:rsidR="00A00BA3" w:rsidRPr="00A00BA3" w:rsidRDefault="00A00BA3" w:rsidP="00A00BA3"/>
    <w:p w14:paraId="7C198B1F" w14:textId="77777777" w:rsidR="00C20F59" w:rsidRDefault="00C20F59"/>
    <w:sectPr w:rsidR="00C20F59">
      <w:footerReference w:type="default" r:id="rId4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1B2C9D3" w14:textId="77777777" w:rsidR="005128B3" w:rsidRDefault="005128B3" w:rsidP="00B2205B">
      <w:pPr>
        <w:spacing w:after="0" w:line="240" w:lineRule="auto"/>
      </w:pPr>
      <w:r>
        <w:separator/>
      </w:r>
    </w:p>
  </w:endnote>
  <w:endnote w:type="continuationSeparator" w:id="0">
    <w:p w14:paraId="2FDBF0F0" w14:textId="77777777" w:rsidR="005128B3" w:rsidRDefault="005128B3" w:rsidP="00B2205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101489790"/>
      <w:docPartObj>
        <w:docPartGallery w:val="Page Numbers (Bottom of Page)"/>
        <w:docPartUnique/>
      </w:docPartObj>
    </w:sdtPr>
    <w:sdtContent>
      <w:p w14:paraId="45E8D3BD" w14:textId="18ED3590" w:rsidR="00B2205B" w:rsidRDefault="00B2205B">
        <w:pPr>
          <w:pStyle w:val="Footer"/>
          <w:jc w:val="center"/>
        </w:pPr>
        <w:r>
          <w:fldChar w:fldCharType="begin"/>
        </w:r>
        <w:r>
          <w:instrText>PAGE   \* MERGEFORMAT</w:instrText>
        </w:r>
        <w:r>
          <w:fldChar w:fldCharType="separate"/>
        </w:r>
        <w:r>
          <w:t>2</w:t>
        </w:r>
        <w:r>
          <w:fldChar w:fldCharType="end"/>
        </w:r>
      </w:p>
    </w:sdtContent>
  </w:sdt>
  <w:p w14:paraId="0B2DACF2" w14:textId="77777777" w:rsidR="00B2205B" w:rsidRDefault="00B2205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AF57794" w14:textId="77777777" w:rsidR="005128B3" w:rsidRDefault="005128B3" w:rsidP="00B2205B">
      <w:pPr>
        <w:spacing w:after="0" w:line="240" w:lineRule="auto"/>
      </w:pPr>
      <w:r>
        <w:separator/>
      </w:r>
    </w:p>
  </w:footnote>
  <w:footnote w:type="continuationSeparator" w:id="0">
    <w:p w14:paraId="40CBA78D" w14:textId="77777777" w:rsidR="005128B3" w:rsidRDefault="005128B3" w:rsidP="00B2205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E14563"/>
    <w:multiLevelType w:val="multilevel"/>
    <w:tmpl w:val="47F842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B250E09"/>
    <w:multiLevelType w:val="multilevel"/>
    <w:tmpl w:val="4A0879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DEA22B7"/>
    <w:multiLevelType w:val="multilevel"/>
    <w:tmpl w:val="00120D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08521EC"/>
    <w:multiLevelType w:val="multilevel"/>
    <w:tmpl w:val="1C7ABC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55240FFE"/>
    <w:multiLevelType w:val="multilevel"/>
    <w:tmpl w:val="92368B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7376582C"/>
    <w:multiLevelType w:val="multilevel"/>
    <w:tmpl w:val="9A6489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73E02AFA"/>
    <w:multiLevelType w:val="hybridMultilevel"/>
    <w:tmpl w:val="EE84FB9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7" w15:restartNumberingAfterBreak="0">
    <w:nsid w:val="75225B45"/>
    <w:multiLevelType w:val="hybridMultilevel"/>
    <w:tmpl w:val="5320697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8" w15:restartNumberingAfterBreak="0">
    <w:nsid w:val="76335E99"/>
    <w:multiLevelType w:val="multilevel"/>
    <w:tmpl w:val="B3CE66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710494439">
    <w:abstractNumId w:val="3"/>
  </w:num>
  <w:num w:numId="2" w16cid:durableId="1145046976">
    <w:abstractNumId w:val="1"/>
  </w:num>
  <w:num w:numId="3" w16cid:durableId="435517704">
    <w:abstractNumId w:val="5"/>
  </w:num>
  <w:num w:numId="4" w16cid:durableId="1000813983">
    <w:abstractNumId w:val="6"/>
  </w:num>
  <w:num w:numId="5" w16cid:durableId="538585828">
    <w:abstractNumId w:val="7"/>
  </w:num>
  <w:num w:numId="6" w16cid:durableId="386804593">
    <w:abstractNumId w:val="4"/>
  </w:num>
  <w:num w:numId="7" w16cid:durableId="1482304697">
    <w:abstractNumId w:val="0"/>
  </w:num>
  <w:num w:numId="8" w16cid:durableId="269238979">
    <w:abstractNumId w:val="2"/>
  </w:num>
  <w:num w:numId="9" w16cid:durableId="2107261540">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A3CD4"/>
    <w:rsid w:val="00004908"/>
    <w:rsid w:val="000D591B"/>
    <w:rsid w:val="002A3E79"/>
    <w:rsid w:val="002F4320"/>
    <w:rsid w:val="0031743F"/>
    <w:rsid w:val="003617AB"/>
    <w:rsid w:val="00396A84"/>
    <w:rsid w:val="00437FBC"/>
    <w:rsid w:val="004A2B2F"/>
    <w:rsid w:val="005128B3"/>
    <w:rsid w:val="005171FD"/>
    <w:rsid w:val="00635D2E"/>
    <w:rsid w:val="006B509C"/>
    <w:rsid w:val="009A3CD4"/>
    <w:rsid w:val="009E39CD"/>
    <w:rsid w:val="00A00BA3"/>
    <w:rsid w:val="00A771B1"/>
    <w:rsid w:val="00AE358D"/>
    <w:rsid w:val="00B2205B"/>
    <w:rsid w:val="00C20F59"/>
    <w:rsid w:val="00C77DFC"/>
    <w:rsid w:val="00CA75A4"/>
    <w:rsid w:val="00CB674A"/>
    <w:rsid w:val="00E5323C"/>
    <w:rsid w:val="00E722EE"/>
    <w:rsid w:val="00EE0134"/>
    <w:rsid w:val="00EF7127"/>
    <w:rsid w:val="00F36891"/>
    <w:rsid w:val="00FE5F8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60A756"/>
  <w15:chartTrackingRefBased/>
  <w15:docId w15:val="{934B748A-CBCF-4D2C-8547-CA0CBBF0B1B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A3CD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9A3CD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A3CD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A3CD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A3CD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A3CD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A3CD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A3CD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A3CD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A3CD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9A3CD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A3CD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A3CD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A3CD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A3CD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A3CD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A3CD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A3CD4"/>
    <w:rPr>
      <w:rFonts w:eastAsiaTheme="majorEastAsia" w:cstheme="majorBidi"/>
      <w:color w:val="272727" w:themeColor="text1" w:themeTint="D8"/>
    </w:rPr>
  </w:style>
  <w:style w:type="paragraph" w:styleId="Title">
    <w:name w:val="Title"/>
    <w:basedOn w:val="Normal"/>
    <w:next w:val="Normal"/>
    <w:link w:val="TitleChar"/>
    <w:uiPriority w:val="10"/>
    <w:qFormat/>
    <w:rsid w:val="009A3CD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A3CD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A3CD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A3CD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A3CD4"/>
    <w:pPr>
      <w:spacing w:before="160"/>
      <w:jc w:val="center"/>
    </w:pPr>
    <w:rPr>
      <w:i/>
      <w:iCs/>
      <w:color w:val="404040" w:themeColor="text1" w:themeTint="BF"/>
    </w:rPr>
  </w:style>
  <w:style w:type="character" w:customStyle="1" w:styleId="QuoteChar">
    <w:name w:val="Quote Char"/>
    <w:basedOn w:val="DefaultParagraphFont"/>
    <w:link w:val="Quote"/>
    <w:uiPriority w:val="29"/>
    <w:rsid w:val="009A3CD4"/>
    <w:rPr>
      <w:i/>
      <w:iCs/>
      <w:color w:val="404040" w:themeColor="text1" w:themeTint="BF"/>
    </w:rPr>
  </w:style>
  <w:style w:type="paragraph" w:styleId="ListParagraph">
    <w:name w:val="List Paragraph"/>
    <w:basedOn w:val="Normal"/>
    <w:uiPriority w:val="34"/>
    <w:qFormat/>
    <w:rsid w:val="009A3CD4"/>
    <w:pPr>
      <w:ind w:left="720"/>
      <w:contextualSpacing/>
    </w:pPr>
  </w:style>
  <w:style w:type="character" w:styleId="IntenseEmphasis">
    <w:name w:val="Intense Emphasis"/>
    <w:basedOn w:val="DefaultParagraphFont"/>
    <w:uiPriority w:val="21"/>
    <w:qFormat/>
    <w:rsid w:val="009A3CD4"/>
    <w:rPr>
      <w:i/>
      <w:iCs/>
      <w:color w:val="0F4761" w:themeColor="accent1" w:themeShade="BF"/>
    </w:rPr>
  </w:style>
  <w:style w:type="paragraph" w:styleId="IntenseQuote">
    <w:name w:val="Intense Quote"/>
    <w:basedOn w:val="Normal"/>
    <w:next w:val="Normal"/>
    <w:link w:val="IntenseQuoteChar"/>
    <w:uiPriority w:val="30"/>
    <w:qFormat/>
    <w:rsid w:val="009A3CD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A3CD4"/>
    <w:rPr>
      <w:i/>
      <w:iCs/>
      <w:color w:val="0F4761" w:themeColor="accent1" w:themeShade="BF"/>
    </w:rPr>
  </w:style>
  <w:style w:type="character" w:styleId="IntenseReference">
    <w:name w:val="Intense Reference"/>
    <w:basedOn w:val="DefaultParagraphFont"/>
    <w:uiPriority w:val="32"/>
    <w:qFormat/>
    <w:rsid w:val="009A3CD4"/>
    <w:rPr>
      <w:b/>
      <w:bCs/>
      <w:smallCaps/>
      <w:color w:val="0F4761" w:themeColor="accent1" w:themeShade="BF"/>
      <w:spacing w:val="5"/>
    </w:rPr>
  </w:style>
  <w:style w:type="paragraph" w:styleId="NormalWeb">
    <w:name w:val="Normal (Web)"/>
    <w:basedOn w:val="Normal"/>
    <w:uiPriority w:val="99"/>
    <w:unhideWhenUsed/>
    <w:rsid w:val="00CB674A"/>
    <w:pPr>
      <w:spacing w:before="100" w:beforeAutospacing="1" w:after="100" w:afterAutospacing="1" w:line="240" w:lineRule="auto"/>
    </w:pPr>
    <w:rPr>
      <w:rFonts w:ascii="Times New Roman" w:eastAsia="Times New Roman" w:hAnsi="Times New Roman" w:cs="Times New Roman"/>
      <w:kern w:val="0"/>
      <w:sz w:val="24"/>
      <w:szCs w:val="24"/>
      <w:lang w:val="en-IN" w:eastAsia="en-IN"/>
      <w14:ligatures w14:val="none"/>
    </w:rPr>
  </w:style>
  <w:style w:type="character" w:styleId="Strong">
    <w:name w:val="Strong"/>
    <w:basedOn w:val="DefaultParagraphFont"/>
    <w:uiPriority w:val="22"/>
    <w:qFormat/>
    <w:rsid w:val="00CB674A"/>
    <w:rPr>
      <w:b/>
      <w:bCs/>
    </w:rPr>
  </w:style>
  <w:style w:type="table" w:styleId="TableGrid">
    <w:name w:val="Table Grid"/>
    <w:basedOn w:val="TableNormal"/>
    <w:uiPriority w:val="39"/>
    <w:rsid w:val="00CB674A"/>
    <w:pPr>
      <w:spacing w:after="0" w:line="240" w:lineRule="auto"/>
    </w:pPr>
    <w:rPr>
      <w:kern w:val="0"/>
      <w:lang w:val="en-IN"/>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CB674A"/>
    <w:pPr>
      <w:spacing w:after="200" w:line="240" w:lineRule="auto"/>
      <w:jc w:val="both"/>
    </w:pPr>
    <w:rPr>
      <w:rFonts w:ascii="Times New Roman" w:hAnsi="Times New Roman"/>
      <w:i/>
      <w:iCs/>
      <w:color w:val="0E2841" w:themeColor="text2"/>
      <w:kern w:val="0"/>
      <w:sz w:val="18"/>
      <w:szCs w:val="18"/>
      <w14:ligatures w14:val="none"/>
    </w:rPr>
  </w:style>
  <w:style w:type="character" w:styleId="Hyperlink">
    <w:name w:val="Hyperlink"/>
    <w:basedOn w:val="DefaultParagraphFont"/>
    <w:uiPriority w:val="99"/>
    <w:unhideWhenUsed/>
    <w:rsid w:val="00A00BA3"/>
    <w:rPr>
      <w:color w:val="467886" w:themeColor="hyperlink"/>
      <w:u w:val="single"/>
    </w:rPr>
  </w:style>
  <w:style w:type="character" w:styleId="UnresolvedMention">
    <w:name w:val="Unresolved Mention"/>
    <w:basedOn w:val="DefaultParagraphFont"/>
    <w:uiPriority w:val="99"/>
    <w:semiHidden/>
    <w:unhideWhenUsed/>
    <w:rsid w:val="00A00BA3"/>
    <w:rPr>
      <w:color w:val="605E5C"/>
      <w:shd w:val="clear" w:color="auto" w:fill="E1DFDD"/>
    </w:rPr>
  </w:style>
  <w:style w:type="paragraph" w:styleId="TOCHeading">
    <w:name w:val="TOC Heading"/>
    <w:basedOn w:val="Heading1"/>
    <w:next w:val="Normal"/>
    <w:uiPriority w:val="39"/>
    <w:unhideWhenUsed/>
    <w:qFormat/>
    <w:rsid w:val="00B2205B"/>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B2205B"/>
    <w:pPr>
      <w:spacing w:after="100"/>
      <w:jc w:val="both"/>
    </w:pPr>
    <w:rPr>
      <w:rFonts w:ascii="Times New Roman" w:hAnsi="Times New Roman"/>
      <w:kern w:val="0"/>
      <w:sz w:val="24"/>
      <w14:ligatures w14:val="none"/>
    </w:rPr>
  </w:style>
  <w:style w:type="paragraph" w:styleId="TOC2">
    <w:name w:val="toc 2"/>
    <w:basedOn w:val="Normal"/>
    <w:next w:val="Normal"/>
    <w:autoRedefine/>
    <w:uiPriority w:val="39"/>
    <w:unhideWhenUsed/>
    <w:rsid w:val="00B2205B"/>
    <w:pPr>
      <w:spacing w:after="100"/>
      <w:ind w:left="240"/>
      <w:jc w:val="both"/>
    </w:pPr>
    <w:rPr>
      <w:rFonts w:ascii="Times New Roman" w:hAnsi="Times New Roman"/>
      <w:kern w:val="0"/>
      <w:sz w:val="24"/>
      <w14:ligatures w14:val="none"/>
    </w:rPr>
  </w:style>
  <w:style w:type="paragraph" w:styleId="TableofFigures">
    <w:name w:val="table of figures"/>
    <w:basedOn w:val="Normal"/>
    <w:next w:val="Normal"/>
    <w:uiPriority w:val="99"/>
    <w:unhideWhenUsed/>
    <w:rsid w:val="00B2205B"/>
    <w:pPr>
      <w:spacing w:after="0"/>
      <w:jc w:val="both"/>
    </w:pPr>
    <w:rPr>
      <w:rFonts w:ascii="Times New Roman" w:hAnsi="Times New Roman"/>
      <w:kern w:val="0"/>
      <w:sz w:val="24"/>
      <w14:ligatures w14:val="none"/>
    </w:rPr>
  </w:style>
  <w:style w:type="paragraph" w:styleId="Header">
    <w:name w:val="header"/>
    <w:basedOn w:val="Normal"/>
    <w:link w:val="HeaderChar"/>
    <w:uiPriority w:val="99"/>
    <w:unhideWhenUsed/>
    <w:rsid w:val="00B2205B"/>
    <w:pPr>
      <w:tabs>
        <w:tab w:val="center" w:pos="4513"/>
        <w:tab w:val="right" w:pos="9026"/>
      </w:tabs>
      <w:spacing w:after="0" w:line="240" w:lineRule="auto"/>
    </w:pPr>
  </w:style>
  <w:style w:type="character" w:customStyle="1" w:styleId="HeaderChar">
    <w:name w:val="Header Char"/>
    <w:basedOn w:val="DefaultParagraphFont"/>
    <w:link w:val="Header"/>
    <w:uiPriority w:val="99"/>
    <w:rsid w:val="00B2205B"/>
  </w:style>
  <w:style w:type="paragraph" w:styleId="Footer">
    <w:name w:val="footer"/>
    <w:basedOn w:val="Normal"/>
    <w:link w:val="FooterChar"/>
    <w:uiPriority w:val="99"/>
    <w:unhideWhenUsed/>
    <w:rsid w:val="00B2205B"/>
    <w:pPr>
      <w:tabs>
        <w:tab w:val="center" w:pos="4513"/>
        <w:tab w:val="right" w:pos="9026"/>
      </w:tabs>
      <w:spacing w:after="0" w:line="240" w:lineRule="auto"/>
    </w:pPr>
  </w:style>
  <w:style w:type="character" w:customStyle="1" w:styleId="FooterChar">
    <w:name w:val="Footer Char"/>
    <w:basedOn w:val="DefaultParagraphFont"/>
    <w:link w:val="Footer"/>
    <w:uiPriority w:val="99"/>
    <w:rsid w:val="00B2205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chart" Target="charts/chart5.xml"/><Relationship Id="rId18" Type="http://schemas.openxmlformats.org/officeDocument/2006/relationships/diagramLayout" Target="diagrams/layout1.xml"/><Relationship Id="rId26" Type="http://schemas.openxmlformats.org/officeDocument/2006/relationships/hyperlink" Target="https://doi.org/10.5281/zenodo.12794314" TargetMode="External"/><Relationship Id="rId39" Type="http://schemas.openxmlformats.org/officeDocument/2006/relationships/hyperlink" Target="https://trepo.tuni.fi" TargetMode="External"/><Relationship Id="rId21" Type="http://schemas.microsoft.com/office/2007/relationships/diagramDrawing" Target="diagrams/drawing1.xml"/><Relationship Id="rId34" Type="http://schemas.openxmlformats.org/officeDocument/2006/relationships/hyperlink" Target="https://doi.org/10.3390/buildings12030301" TargetMode="External"/><Relationship Id="rId42" Type="http://schemas.openxmlformats.org/officeDocument/2006/relationships/footer" Target="footer1.xm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image" Target="media/image4.png"/><Relationship Id="rId20" Type="http://schemas.openxmlformats.org/officeDocument/2006/relationships/diagramColors" Target="diagrams/colors1.xml"/><Relationship Id="rId29" Type="http://schemas.openxmlformats.org/officeDocument/2006/relationships/hyperlink" Target="https://www.sciencedirect.com/science/article/pii/S2214993725005809" TargetMode="External"/><Relationship Id="rId41" Type="http://schemas.openxmlformats.org/officeDocument/2006/relationships/hyperlink" Target="https://doi.org/10.2991/assehr.k.211209.215"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2.emf"/><Relationship Id="rId24" Type="http://schemas.openxmlformats.org/officeDocument/2006/relationships/hyperlink" Target="https://doi.org/10.5281/zenodo.13311076" TargetMode="External"/><Relationship Id="rId32" Type="http://schemas.openxmlformats.org/officeDocument/2006/relationships/hyperlink" Target="https://doi.org/10.1007/s11356-021-18454-7" TargetMode="External"/><Relationship Id="rId37" Type="http://schemas.openxmlformats.org/officeDocument/2006/relationships/hyperlink" Target="https://www.researchgate.net" TargetMode="External"/><Relationship Id="rId40" Type="http://schemas.openxmlformats.org/officeDocument/2006/relationships/hyperlink" Target="https://doi.org/10.51594/ijmer.v6i10.1655" TargetMode="External"/><Relationship Id="rId5" Type="http://schemas.openxmlformats.org/officeDocument/2006/relationships/footnotes" Target="footnotes.xml"/><Relationship Id="rId15" Type="http://schemas.openxmlformats.org/officeDocument/2006/relationships/chart" Target="charts/chart6.xml"/><Relationship Id="rId23" Type="http://schemas.openxmlformats.org/officeDocument/2006/relationships/hyperlink" Target="https://www.researchgate.net/publication/399359200_FINANCIAL_FORECASTING_AND_PLANNING_WITH_ERP" TargetMode="External"/><Relationship Id="rId28" Type="http://schemas.openxmlformats.org/officeDocument/2006/relationships/hyperlink" Target="https://ualberta.scholaris.ca" TargetMode="External"/><Relationship Id="rId36" Type="http://schemas.openxmlformats.org/officeDocument/2006/relationships/hyperlink" Target="https://doi.org/10.1016/j.envsoft.2020.104954" TargetMode="External"/><Relationship Id="rId10" Type="http://schemas.openxmlformats.org/officeDocument/2006/relationships/chart" Target="charts/chart3.xml"/><Relationship Id="rId19" Type="http://schemas.openxmlformats.org/officeDocument/2006/relationships/diagramQuickStyle" Target="diagrams/quickStyle1.xml"/><Relationship Id="rId31" Type="http://schemas.openxmlformats.org/officeDocument/2006/relationships/hyperlink" Target="https://doi.org/10.55324/josr.v4i10.2734" TargetMode="External"/><Relationship Id="rId44"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chart" Target="charts/chart2.xml"/><Relationship Id="rId14" Type="http://schemas.openxmlformats.org/officeDocument/2006/relationships/image" Target="media/image3.emf"/><Relationship Id="rId22" Type="http://schemas.openxmlformats.org/officeDocument/2006/relationships/hyperlink" Target="https://doi.org/10.1016/j.tsep.2023.102224" TargetMode="External"/><Relationship Id="rId27" Type="http://schemas.openxmlformats.org/officeDocument/2006/relationships/hyperlink" Target="https://www.abacademies.org/articles/equity-financing-101-how-companies-raise-capital-through-equity.pdf" TargetMode="External"/><Relationship Id="rId30" Type="http://schemas.openxmlformats.org/officeDocument/2006/relationships/hyperlink" Target="https://www.researchgate.net/publication/349430971" TargetMode="External"/><Relationship Id="rId35" Type="http://schemas.openxmlformats.org/officeDocument/2006/relationships/hyperlink" Target="https://doi.org/10.25124/ijies.v5i02.134" TargetMode="External"/><Relationship Id="rId43" Type="http://schemas.openxmlformats.org/officeDocument/2006/relationships/fontTable" Target="fontTable.xml"/><Relationship Id="rId8" Type="http://schemas.openxmlformats.org/officeDocument/2006/relationships/chart" Target="charts/chart1.xml"/><Relationship Id="rId3" Type="http://schemas.openxmlformats.org/officeDocument/2006/relationships/settings" Target="settings.xml"/><Relationship Id="rId12" Type="http://schemas.openxmlformats.org/officeDocument/2006/relationships/chart" Target="charts/chart4.xml"/><Relationship Id="rId17" Type="http://schemas.openxmlformats.org/officeDocument/2006/relationships/diagramData" Target="diagrams/data1.xml"/><Relationship Id="rId25" Type="http://schemas.openxmlformats.org/officeDocument/2006/relationships/hyperlink" Target="https://doi.org/10.3390/app10041386" TargetMode="External"/><Relationship Id="rId33" Type="http://schemas.openxmlformats.org/officeDocument/2006/relationships/hyperlink" Target="https://www.oecd.org" TargetMode="External"/><Relationship Id="rId38" Type="http://schemas.openxmlformats.org/officeDocument/2006/relationships/hyperlink" Target="https://doi.org/10.54660/.ijfmr.2022.3.2.81-93" TargetMode="External"/></Relationships>
</file>

<file path=word/charts/_rels/chart1.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file:///C:\Users\Asus\Downloads\84YXVSGRWP_ACHA%207028%20%20-%20Resourcing%20and%20Financial%20Management%20for%20Projects(UOW).xlsx" TargetMode="External"/><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oleObject" Target="file:///C:\Users\Asus\Downloads\84YXVSGRWP_ACHA%207028%20%20-%20Resourcing%20and%20Financial%20Management%20for%20Projects(UOW).xlsx" TargetMode="External"/><Relationship Id="rId2" Type="http://schemas.microsoft.com/office/2011/relationships/chartColorStyle" Target="colors6.xml"/><Relationship Id="rId1" Type="http://schemas.microsoft.com/office/2011/relationships/chartStyle" Target="style6.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IN" sz="1800" b="1" i="0" u="none" strike="noStrike" baseline="0"/>
              <a:t>Financing Requirement Breakdown </a:t>
            </a:r>
            <a:endParaRPr lang="en-IN"/>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IN"/>
        </a:p>
      </c:txPr>
    </c:title>
    <c:autoTitleDeleted val="0"/>
    <c:view3D>
      <c:rotX val="5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dPt>
            <c:idx val="0"/>
            <c:bubble3D val="0"/>
            <c:spPr>
              <a:solidFill>
                <a:schemeClr val="accent1"/>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1-B4A0-4EB7-9F9C-EE0AA0BC136D}"/>
              </c:ext>
            </c:extLst>
          </c:dPt>
          <c:dPt>
            <c:idx val="1"/>
            <c:bubble3D val="0"/>
            <c:spPr>
              <a:solidFill>
                <a:schemeClr val="accent2"/>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3-B4A0-4EB7-9F9C-EE0AA0BC136D}"/>
              </c:ext>
            </c:extLst>
          </c:dPt>
          <c:dPt>
            <c:idx val="2"/>
            <c:bubble3D val="0"/>
            <c:spPr>
              <a:solidFill>
                <a:schemeClr val="accent3"/>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5-B4A0-4EB7-9F9C-EE0AA0BC136D}"/>
              </c:ext>
            </c:extLst>
          </c:dPt>
          <c:dPt>
            <c:idx val="3"/>
            <c:bubble3D val="0"/>
            <c:spPr>
              <a:solidFill>
                <a:schemeClr val="accent4"/>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7-B4A0-4EB7-9F9C-EE0AA0BC136D}"/>
              </c:ext>
            </c:extLst>
          </c:dPt>
          <c:dPt>
            <c:idx val="4"/>
            <c:bubble3D val="0"/>
            <c:spPr>
              <a:solidFill>
                <a:schemeClr val="accent5"/>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9-B4A0-4EB7-9F9C-EE0AA0BC136D}"/>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 of Financing'!$A$2:$A$6</c:f>
              <c:strCache>
                <c:ptCount val="5"/>
                <c:pt idx="0">
                  <c:v>CAPEX</c:v>
                </c:pt>
                <c:pt idx="1">
                  <c:v>OPEX (Yearly)</c:v>
                </c:pt>
                <c:pt idx="2">
                  <c:v>Working Capital</c:v>
                </c:pt>
                <c:pt idx="3">
                  <c:v>Contingency</c:v>
                </c:pt>
                <c:pt idx="4">
                  <c:v>IDC</c:v>
                </c:pt>
              </c:strCache>
            </c:strRef>
          </c:cat>
          <c:val>
            <c:numRef>
              <c:f>'% of Financing'!$C$2:$C$6</c:f>
              <c:numCache>
                <c:formatCode>General</c:formatCode>
                <c:ptCount val="5"/>
                <c:pt idx="0" formatCode="0%">
                  <c:v>0.84</c:v>
                </c:pt>
                <c:pt idx="1">
                  <c:v>0</c:v>
                </c:pt>
                <c:pt idx="2" formatCode="0.00%">
                  <c:v>4.0000000000000001E-3</c:v>
                </c:pt>
                <c:pt idx="3" formatCode="0.00%">
                  <c:v>8.4000000000000005E-2</c:v>
                </c:pt>
                <c:pt idx="4" formatCode="0.00%">
                  <c:v>3.2000000000000001E-2</c:v>
                </c:pt>
              </c:numCache>
            </c:numRef>
          </c:val>
          <c:extLst>
            <c:ext xmlns:c16="http://schemas.microsoft.com/office/drawing/2014/chart" uri="{C3380CC4-5D6E-409C-BE32-E72D297353CC}">
              <c16:uniqueId val="{0000000A-B4A0-4EB7-9F9C-EE0AA0BC136D}"/>
            </c:ext>
          </c:extLst>
        </c:ser>
        <c:dLbls>
          <c:dLblPos val="ctr"/>
          <c:showLegendKey val="0"/>
          <c:showVal val="0"/>
          <c:showCatName val="0"/>
          <c:showSerName val="0"/>
          <c:showPercent val="1"/>
          <c:showBubbleSize val="0"/>
          <c:showLeaderLines val="1"/>
        </c:dLbls>
      </c:pie3D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600" b="1" i="0" u="none" strike="noStrike" kern="1200" baseline="0">
              <a:solidFill>
                <a:schemeClr val="tx2"/>
              </a:solidFill>
              <a:latin typeface="+mn-lt"/>
              <a:ea typeface="+mn-ea"/>
              <a:cs typeface="+mn-cs"/>
            </a:defRPr>
          </a:pPr>
          <a:endParaRPr lang="en-US"/>
        </a:p>
      </c:txPr>
    </c:title>
    <c:autoTitleDeleted val="0"/>
    <c:plotArea>
      <c:layout/>
      <c:lineChart>
        <c:grouping val="stacked"/>
        <c:varyColors val="0"/>
        <c:ser>
          <c:idx val="0"/>
          <c:order val="0"/>
          <c:tx>
            <c:strRef>
              <c:f>'Cashflow Projection'!$C$1</c:f>
              <c:strCache>
                <c:ptCount val="1"/>
                <c:pt idx="0">
                  <c:v>Cash Flow (£m)</c:v>
                </c:pt>
              </c:strCache>
            </c:strRef>
          </c:tx>
          <c:spPr>
            <a:ln w="31750" cap="rnd">
              <a:solidFill>
                <a:schemeClr val="accent1"/>
              </a:solidFill>
              <a:round/>
            </a:ln>
            <a:effectLst/>
          </c:spPr>
          <c:marker>
            <c:symbol val="none"/>
          </c:marker>
          <c:cat>
            <c:multiLvlStrRef>
              <c:f>'Cashflow Projection'!$A$2:$B$17</c:f>
              <c:multiLvlStrCache>
                <c:ptCount val="16"/>
                <c:lvl>
                  <c:pt idx="0">
                    <c:v>Construction</c:v>
                  </c:pt>
                  <c:pt idx="1">
                    <c:v>Construction</c:v>
                  </c:pt>
                  <c:pt idx="2">
                    <c:v>Operation (Start)</c:v>
                  </c:pt>
                  <c:pt idx="3">
                    <c:v>Operation</c:v>
                  </c:pt>
                  <c:pt idx="4">
                    <c:v>Operation</c:v>
                  </c:pt>
                  <c:pt idx="5">
                    <c:v>Operation</c:v>
                  </c:pt>
                  <c:pt idx="6">
                    <c:v>Operation</c:v>
                  </c:pt>
                  <c:pt idx="7">
                    <c:v>Operation</c:v>
                  </c:pt>
                  <c:pt idx="8">
                    <c:v>Operation</c:v>
                  </c:pt>
                  <c:pt idx="9">
                    <c:v>Operation</c:v>
                  </c:pt>
                  <c:pt idx="10">
                    <c:v>Operation</c:v>
                  </c:pt>
                  <c:pt idx="11">
                    <c:v>Operation</c:v>
                  </c:pt>
                  <c:pt idx="12">
                    <c:v>Operation</c:v>
                  </c:pt>
                  <c:pt idx="13">
                    <c:v>Operation</c:v>
                  </c:pt>
                  <c:pt idx="14">
                    <c:v>Operation</c:v>
                  </c:pt>
                  <c:pt idx="15">
                    <c:v>Operation</c:v>
                  </c:pt>
                </c:lvl>
                <c:lvl>
                  <c:pt idx="0">
                    <c:v>0</c:v>
                  </c:pt>
                  <c:pt idx="1">
                    <c:v>1</c:v>
                  </c:pt>
                  <c:pt idx="2">
                    <c:v>2</c:v>
                  </c:pt>
                  <c:pt idx="3">
                    <c:v>3</c:v>
                  </c:pt>
                  <c:pt idx="4">
                    <c:v>4</c:v>
                  </c:pt>
                  <c:pt idx="5">
                    <c:v>5</c:v>
                  </c:pt>
                  <c:pt idx="6">
                    <c:v>6</c:v>
                  </c:pt>
                  <c:pt idx="7">
                    <c:v>7</c:v>
                  </c:pt>
                  <c:pt idx="8">
                    <c:v>8</c:v>
                  </c:pt>
                  <c:pt idx="9">
                    <c:v>9</c:v>
                  </c:pt>
                  <c:pt idx="10">
                    <c:v>10</c:v>
                  </c:pt>
                  <c:pt idx="11">
                    <c:v>11</c:v>
                  </c:pt>
                  <c:pt idx="12">
                    <c:v>12</c:v>
                  </c:pt>
                  <c:pt idx="13">
                    <c:v>13</c:v>
                  </c:pt>
                  <c:pt idx="14">
                    <c:v>14</c:v>
                  </c:pt>
                  <c:pt idx="15">
                    <c:v>15</c:v>
                  </c:pt>
                </c:lvl>
              </c:multiLvlStrCache>
            </c:multiLvlStrRef>
          </c:cat>
          <c:val>
            <c:numRef>
              <c:f>'Cashflow Projection'!$C$2:$C$17</c:f>
              <c:numCache>
                <c:formatCode>General</c:formatCode>
                <c:ptCount val="16"/>
                <c:pt idx="0">
                  <c:v>-25</c:v>
                </c:pt>
                <c:pt idx="1">
                  <c:v>-25</c:v>
                </c:pt>
                <c:pt idx="2">
                  <c:v>6.5</c:v>
                </c:pt>
                <c:pt idx="3">
                  <c:v>6.5</c:v>
                </c:pt>
                <c:pt idx="4">
                  <c:v>6.5</c:v>
                </c:pt>
                <c:pt idx="5">
                  <c:v>6.5</c:v>
                </c:pt>
                <c:pt idx="6">
                  <c:v>6.5</c:v>
                </c:pt>
                <c:pt idx="7">
                  <c:v>6.5</c:v>
                </c:pt>
                <c:pt idx="8">
                  <c:v>6.5</c:v>
                </c:pt>
                <c:pt idx="9">
                  <c:v>6.5</c:v>
                </c:pt>
                <c:pt idx="10">
                  <c:v>6.5</c:v>
                </c:pt>
                <c:pt idx="11">
                  <c:v>6.5</c:v>
                </c:pt>
                <c:pt idx="12">
                  <c:v>6.5</c:v>
                </c:pt>
                <c:pt idx="13">
                  <c:v>6.5</c:v>
                </c:pt>
                <c:pt idx="14">
                  <c:v>6.5</c:v>
                </c:pt>
                <c:pt idx="15">
                  <c:v>6.5</c:v>
                </c:pt>
              </c:numCache>
            </c:numRef>
          </c:val>
          <c:smooth val="0"/>
          <c:extLst>
            <c:ext xmlns:c16="http://schemas.microsoft.com/office/drawing/2014/chart" uri="{C3380CC4-5D6E-409C-BE32-E72D297353CC}">
              <c16:uniqueId val="{00000000-660B-4F67-89E0-4F27269D0172}"/>
            </c:ext>
          </c:extLst>
        </c:ser>
        <c:dLbls>
          <c:showLegendKey val="0"/>
          <c:showVal val="0"/>
          <c:showCatName val="0"/>
          <c:showSerName val="0"/>
          <c:showPercent val="0"/>
          <c:showBubbleSize val="0"/>
        </c:dLbls>
        <c:smooth val="0"/>
        <c:axId val="1374487183"/>
        <c:axId val="1374479695"/>
      </c:lineChart>
      <c:catAx>
        <c:axId val="1374487183"/>
        <c:scaling>
          <c:orientation val="minMax"/>
        </c:scaling>
        <c:delete val="0"/>
        <c:axPos val="b"/>
        <c:numFmt formatCode="General" sourceLinked="1"/>
        <c:majorTickMark val="out"/>
        <c:minorTickMark val="none"/>
        <c:tickLblPos val="nextTo"/>
        <c:spPr>
          <a:noFill/>
          <a:ln w="9525" cap="flat" cmpd="sng" algn="ctr">
            <a:solidFill>
              <a:schemeClr val="tx2">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crossAx val="1374479695"/>
        <c:crosses val="autoZero"/>
        <c:auto val="1"/>
        <c:lblAlgn val="ctr"/>
        <c:lblOffset val="100"/>
        <c:noMultiLvlLbl val="0"/>
      </c:catAx>
      <c:valAx>
        <c:axId val="1374479695"/>
        <c:scaling>
          <c:orientation val="minMax"/>
        </c:scaling>
        <c:delete val="0"/>
        <c:axPos val="l"/>
        <c:majorGridlines>
          <c:spPr>
            <a:ln w="9525" cap="flat" cmpd="sng" algn="ctr">
              <a:solidFill>
                <a:schemeClr val="tx2">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crossAx val="1374487183"/>
        <c:crosses val="autoZero"/>
        <c:crossBetween val="between"/>
      </c:valAx>
      <c:spPr>
        <a:noFill/>
        <a:ln>
          <a:noFill/>
        </a:ln>
        <a:effectLst/>
      </c:spPr>
    </c:plotArea>
    <c:plotVisOnly val="1"/>
    <c:dispBlanksAs val="zero"/>
    <c:showDLblsOverMax val="0"/>
  </c:chart>
  <c:spPr>
    <a:solidFill>
      <a:schemeClr val="bg1"/>
    </a:solidFill>
    <a:ln w="9525" cap="flat" cmpd="sng" algn="ctr">
      <a:solidFill>
        <a:schemeClr val="tx2">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IN" sz="1600" b="1" i="0" u="none" strike="noStrike" baseline="0">
                <a:effectLst>
                  <a:outerShdw blurRad="50800" dist="38100" dir="5400000" algn="t" rotWithShape="0">
                    <a:prstClr val="black">
                      <a:alpha val="40000"/>
                    </a:prstClr>
                  </a:outerShdw>
                </a:effectLst>
              </a:rPr>
              <a:t>Financing Mix</a:t>
            </a:r>
            <a:endParaRPr lang="en-IN" b="1"/>
          </a:p>
        </c:rich>
      </c:tx>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IN"/>
        </a:p>
      </c:txPr>
    </c:title>
    <c:autoTitleDeleted val="0"/>
    <c:view3D>
      <c:rotX val="3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dPt>
            <c:idx val="0"/>
            <c:bubble3D val="0"/>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extLst>
              <c:ext xmlns:c16="http://schemas.microsoft.com/office/drawing/2014/chart" uri="{C3380CC4-5D6E-409C-BE32-E72D297353CC}">
                <c16:uniqueId val="{00000001-1D52-4E92-A5DA-6F5905B1D9F3}"/>
              </c:ext>
            </c:extLst>
          </c:dPt>
          <c:dPt>
            <c:idx val="1"/>
            <c:bubble3D val="0"/>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extLst>
              <c:ext xmlns:c16="http://schemas.microsoft.com/office/drawing/2014/chart" uri="{C3380CC4-5D6E-409C-BE32-E72D297353CC}">
                <c16:uniqueId val="{00000003-1D52-4E92-A5DA-6F5905B1D9F3}"/>
              </c:ext>
            </c:extLst>
          </c:dPt>
          <c:dPt>
            <c:idx val="2"/>
            <c:bubble3D val="0"/>
            <c:spPr>
              <a:gradFill rotWithShape="1">
                <a:gsLst>
                  <a:gs pos="0">
                    <a:schemeClr val="accent3">
                      <a:satMod val="103000"/>
                      <a:lumMod val="102000"/>
                      <a:tint val="94000"/>
                    </a:schemeClr>
                  </a:gs>
                  <a:gs pos="50000">
                    <a:schemeClr val="accent3">
                      <a:satMod val="110000"/>
                      <a:lumMod val="100000"/>
                      <a:shade val="100000"/>
                    </a:schemeClr>
                  </a:gs>
                  <a:gs pos="100000">
                    <a:schemeClr val="accent3">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extLst>
              <c:ext xmlns:c16="http://schemas.microsoft.com/office/drawing/2014/chart" uri="{C3380CC4-5D6E-409C-BE32-E72D297353CC}">
                <c16:uniqueId val="{00000005-1D52-4E92-A5DA-6F5905B1D9F3}"/>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lt1">
                      <a:lumMod val="95000"/>
                      <a:alpha val="54000"/>
                    </a:schemeClr>
                  </a:solidFill>
                </a:ln>
                <a:effectLst/>
              </c:spPr>
            </c:leaderLines>
            <c:extLst>
              <c:ext xmlns:c15="http://schemas.microsoft.com/office/drawing/2012/chart" uri="{CE6537A1-D6FC-4f65-9D91-7224C49458BB}"/>
            </c:extLst>
          </c:dLbls>
          <c:cat>
            <c:strRef>
              <c:f>'Financing Mix'!$A$2:$A$4</c:f>
              <c:strCache>
                <c:ptCount val="3"/>
                <c:pt idx="0">
                  <c:v>Debt</c:v>
                </c:pt>
                <c:pt idx="1">
                  <c:v>Equity</c:v>
                </c:pt>
                <c:pt idx="2">
                  <c:v>Green Finance</c:v>
                </c:pt>
              </c:strCache>
            </c:strRef>
          </c:cat>
          <c:val>
            <c:numRef>
              <c:f>'Financing Mix'!$B$2:$B$4</c:f>
              <c:numCache>
                <c:formatCode>0%</c:formatCode>
                <c:ptCount val="3"/>
                <c:pt idx="0">
                  <c:v>0.6</c:v>
                </c:pt>
                <c:pt idx="1">
                  <c:v>0.25</c:v>
                </c:pt>
                <c:pt idx="2">
                  <c:v>0.15</c:v>
                </c:pt>
              </c:numCache>
            </c:numRef>
          </c:val>
          <c:extLst>
            <c:ext xmlns:c16="http://schemas.microsoft.com/office/drawing/2014/chart" uri="{C3380CC4-5D6E-409C-BE32-E72D297353CC}">
              <c16:uniqueId val="{00000006-1D52-4E92-A5DA-6F5905B1D9F3}"/>
            </c:ext>
          </c:extLst>
        </c:ser>
        <c:dLbls>
          <c:dLblPos val="ctr"/>
          <c:showLegendKey val="0"/>
          <c:showVal val="0"/>
          <c:showCatName val="0"/>
          <c:showSerName val="0"/>
          <c:showPercent val="1"/>
          <c:showBubbleSize val="0"/>
          <c:showLeaderLines val="1"/>
        </c:dLbls>
      </c:pie3D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legend>
    <c:plotVisOnly val="1"/>
    <c:dispBlanksAs val="gap"/>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600" b="1" i="0" u="none" strike="noStrike" kern="1200" cap="all" spc="120" normalizeH="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tx>
            <c:strRef>
              <c:f>PBP!$C$2</c:f>
              <c:strCache>
                <c:ptCount val="1"/>
                <c:pt idx="0">
                  <c:v>Cumulative Cashflow</c:v>
                </c:pt>
              </c:strCache>
            </c:strRef>
          </c:tx>
          <c:spPr>
            <a:ln w="22225" cap="rnd">
              <a:solidFill>
                <a:schemeClr val="accent1"/>
              </a:solidFill>
              <a:round/>
            </a:ln>
            <a:effectLst/>
          </c:spPr>
          <c:marker>
            <c:symbol val="diamond"/>
            <c:size val="6"/>
            <c:spPr>
              <a:solidFill>
                <a:schemeClr val="accent1"/>
              </a:solidFill>
              <a:ln w="9525">
                <a:solidFill>
                  <a:schemeClr val="accent1"/>
                </a:solidFill>
                <a:round/>
              </a:ln>
              <a:effectLst/>
            </c:spPr>
          </c:marker>
          <c:xVal>
            <c:numRef>
              <c:f>PBP!$A$3:$A$18</c:f>
              <c:numCache>
                <c:formatCode>General</c:formatCode>
                <c:ptCount val="16"/>
                <c:pt idx="0">
                  <c:v>0</c:v>
                </c:pt>
                <c:pt idx="1">
                  <c:v>1</c:v>
                </c:pt>
                <c:pt idx="2">
                  <c:v>2</c:v>
                </c:pt>
                <c:pt idx="3">
                  <c:v>3</c:v>
                </c:pt>
                <c:pt idx="4">
                  <c:v>4</c:v>
                </c:pt>
                <c:pt idx="5">
                  <c:v>5</c:v>
                </c:pt>
                <c:pt idx="6">
                  <c:v>6</c:v>
                </c:pt>
                <c:pt idx="7">
                  <c:v>7</c:v>
                </c:pt>
                <c:pt idx="8">
                  <c:v>8</c:v>
                </c:pt>
                <c:pt idx="9">
                  <c:v>9</c:v>
                </c:pt>
                <c:pt idx="10">
                  <c:v>10</c:v>
                </c:pt>
                <c:pt idx="11">
                  <c:v>11</c:v>
                </c:pt>
                <c:pt idx="12">
                  <c:v>12</c:v>
                </c:pt>
                <c:pt idx="13">
                  <c:v>13</c:v>
                </c:pt>
                <c:pt idx="14">
                  <c:v>14</c:v>
                </c:pt>
                <c:pt idx="15">
                  <c:v>15</c:v>
                </c:pt>
              </c:numCache>
            </c:numRef>
          </c:xVal>
          <c:yVal>
            <c:numRef>
              <c:f>PBP!$C$3:$C$18</c:f>
              <c:numCache>
                <c:formatCode>0.0</c:formatCode>
                <c:ptCount val="16"/>
                <c:pt idx="0" formatCode="General">
                  <c:v>-50</c:v>
                </c:pt>
                <c:pt idx="1">
                  <c:v>-43.5</c:v>
                </c:pt>
                <c:pt idx="2">
                  <c:v>-37</c:v>
                </c:pt>
                <c:pt idx="3">
                  <c:v>-30.5</c:v>
                </c:pt>
                <c:pt idx="4">
                  <c:v>-24</c:v>
                </c:pt>
                <c:pt idx="5">
                  <c:v>-17.5</c:v>
                </c:pt>
                <c:pt idx="6">
                  <c:v>-11</c:v>
                </c:pt>
                <c:pt idx="7">
                  <c:v>-4.5</c:v>
                </c:pt>
                <c:pt idx="8">
                  <c:v>2</c:v>
                </c:pt>
                <c:pt idx="9">
                  <c:v>8.5</c:v>
                </c:pt>
                <c:pt idx="10">
                  <c:v>15</c:v>
                </c:pt>
                <c:pt idx="11">
                  <c:v>21.5</c:v>
                </c:pt>
                <c:pt idx="12">
                  <c:v>28</c:v>
                </c:pt>
                <c:pt idx="13">
                  <c:v>34.5</c:v>
                </c:pt>
                <c:pt idx="14">
                  <c:v>41</c:v>
                </c:pt>
                <c:pt idx="15">
                  <c:v>47.5</c:v>
                </c:pt>
              </c:numCache>
            </c:numRef>
          </c:yVal>
          <c:smooth val="0"/>
          <c:extLst>
            <c:ext xmlns:c16="http://schemas.microsoft.com/office/drawing/2014/chart" uri="{C3380CC4-5D6E-409C-BE32-E72D297353CC}">
              <c16:uniqueId val="{00000000-46BB-4614-8AC4-105EFC57381B}"/>
            </c:ext>
          </c:extLst>
        </c:ser>
        <c:dLbls>
          <c:showLegendKey val="0"/>
          <c:showVal val="0"/>
          <c:showCatName val="0"/>
          <c:showSerName val="0"/>
          <c:showPercent val="0"/>
          <c:showBubbleSize val="0"/>
        </c:dLbls>
        <c:axId val="1371477471"/>
        <c:axId val="1371477887"/>
      </c:scatterChart>
      <c:valAx>
        <c:axId val="1371477471"/>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cap="all" spc="120" normalizeH="0" baseline="0">
                <a:solidFill>
                  <a:schemeClr val="tx1">
                    <a:lumMod val="65000"/>
                    <a:lumOff val="35000"/>
                  </a:schemeClr>
                </a:solidFill>
                <a:latin typeface="+mn-lt"/>
                <a:ea typeface="+mn-ea"/>
                <a:cs typeface="+mn-cs"/>
              </a:defRPr>
            </a:pPr>
            <a:endParaRPr lang="en-US"/>
          </a:p>
        </c:txPr>
        <c:crossAx val="1371477887"/>
        <c:crosses val="autoZero"/>
        <c:crossBetween val="midCat"/>
      </c:valAx>
      <c:valAx>
        <c:axId val="1371477887"/>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371477471"/>
        <c:crosses val="autoZero"/>
        <c:crossBetween val="midCat"/>
      </c:valAx>
      <c:spPr>
        <a:noFill/>
        <a:ln>
          <a:noFill/>
        </a:ln>
        <a:effectLst/>
      </c:spPr>
    </c:plotArea>
    <c:plotVisOnly val="1"/>
    <c:dispBlanksAs val="gap"/>
    <c:showDLblsOverMax val="0"/>
  </c:chart>
  <c:spPr>
    <a:solidFill>
      <a:schemeClr val="lt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baseline="0">
                <a:solidFill>
                  <a:schemeClr val="tx2"/>
                </a:solidFill>
                <a:latin typeface="+mn-lt"/>
                <a:ea typeface="+mn-ea"/>
                <a:cs typeface="+mn-cs"/>
              </a:defRPr>
            </a:pPr>
            <a:r>
              <a:rPr lang="en-IN"/>
              <a:t>Sensitivity Analysis</a:t>
            </a:r>
          </a:p>
        </c:rich>
      </c:tx>
      <c:overlay val="0"/>
      <c:spPr>
        <a:noFill/>
        <a:ln>
          <a:noFill/>
        </a:ln>
        <a:effectLst/>
      </c:spPr>
      <c:txPr>
        <a:bodyPr rot="0" spcFirstLastPara="1" vertOverflow="ellipsis" vert="horz" wrap="square" anchor="ctr" anchorCtr="1"/>
        <a:lstStyle/>
        <a:p>
          <a:pPr>
            <a:defRPr sz="1600" b="1" i="0" u="none" strike="noStrike" kern="1200" baseline="0">
              <a:solidFill>
                <a:schemeClr val="tx2"/>
              </a:solidFill>
              <a:latin typeface="+mn-lt"/>
              <a:ea typeface="+mn-ea"/>
              <a:cs typeface="+mn-cs"/>
            </a:defRPr>
          </a:pPr>
          <a:endParaRPr lang="en-US"/>
        </a:p>
      </c:txPr>
    </c:title>
    <c:autoTitleDeleted val="0"/>
    <c:plotArea>
      <c:layout/>
      <c:scatterChart>
        <c:scatterStyle val="lineMarker"/>
        <c:varyColors val="0"/>
        <c:ser>
          <c:idx val="0"/>
          <c:order val="0"/>
          <c:tx>
            <c:strRef>
              <c:f>'Sensitivity Analysis'!$B$10</c:f>
              <c:strCache>
                <c:ptCount val="1"/>
                <c:pt idx="0">
                  <c:v>Revenue (£m NPV)</c:v>
                </c:pt>
              </c:strCache>
            </c:strRef>
          </c:tx>
          <c:spPr>
            <a:ln w="9525" cap="rnd">
              <a:solidFill>
                <a:schemeClr val="accent1"/>
              </a:solidFill>
              <a:round/>
            </a:ln>
            <a:effectLst/>
          </c:spPr>
          <c:marker>
            <c:symbol val="circle"/>
            <c:size val="5"/>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w="9525">
                <a:solidFill>
                  <a:schemeClr val="accent1"/>
                </a:solidFill>
                <a:round/>
              </a:ln>
              <a:effectLst/>
            </c:spPr>
          </c:marker>
          <c:xVal>
            <c:numRef>
              <c:f>'Sensitivity Analysis'!$A$11:$A$15</c:f>
              <c:numCache>
                <c:formatCode>0%</c:formatCode>
                <c:ptCount val="5"/>
                <c:pt idx="0">
                  <c:v>-0.2</c:v>
                </c:pt>
                <c:pt idx="1">
                  <c:v>-0.1</c:v>
                </c:pt>
                <c:pt idx="2">
                  <c:v>0</c:v>
                </c:pt>
                <c:pt idx="3">
                  <c:v>0.1</c:v>
                </c:pt>
                <c:pt idx="4">
                  <c:v>0.2</c:v>
                </c:pt>
              </c:numCache>
            </c:numRef>
          </c:xVal>
          <c:yVal>
            <c:numRef>
              <c:f>'Sensitivity Analysis'!$B$11:$B$15</c:f>
              <c:numCache>
                <c:formatCode>General</c:formatCode>
                <c:ptCount val="5"/>
                <c:pt idx="0">
                  <c:v>-6.5</c:v>
                </c:pt>
                <c:pt idx="1">
                  <c:v>0.5</c:v>
                </c:pt>
                <c:pt idx="2">
                  <c:v>2.4</c:v>
                </c:pt>
                <c:pt idx="3">
                  <c:v>6.8</c:v>
                </c:pt>
                <c:pt idx="4">
                  <c:v>10.5</c:v>
                </c:pt>
              </c:numCache>
            </c:numRef>
          </c:yVal>
          <c:smooth val="0"/>
          <c:extLst>
            <c:ext xmlns:c16="http://schemas.microsoft.com/office/drawing/2014/chart" uri="{C3380CC4-5D6E-409C-BE32-E72D297353CC}">
              <c16:uniqueId val="{00000000-EE58-4997-B8A9-4A308B6E74B9}"/>
            </c:ext>
          </c:extLst>
        </c:ser>
        <c:ser>
          <c:idx val="1"/>
          <c:order val="1"/>
          <c:tx>
            <c:strRef>
              <c:f>'Sensitivity Analysis'!$C$10</c:f>
              <c:strCache>
                <c:ptCount val="1"/>
                <c:pt idx="0">
                  <c:v>Cost (£m NPV)</c:v>
                </c:pt>
              </c:strCache>
            </c:strRef>
          </c:tx>
          <c:spPr>
            <a:ln w="9525" cap="rnd">
              <a:solidFill>
                <a:schemeClr val="accent2"/>
              </a:solidFill>
              <a:round/>
            </a:ln>
            <a:effectLst/>
          </c:spPr>
          <c:marker>
            <c:symbol val="circle"/>
            <c:size val="5"/>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w="9525">
                <a:solidFill>
                  <a:schemeClr val="accent2"/>
                </a:solidFill>
                <a:round/>
              </a:ln>
              <a:effectLst/>
            </c:spPr>
          </c:marker>
          <c:xVal>
            <c:numRef>
              <c:f>'Sensitivity Analysis'!$A$11:$A$15</c:f>
              <c:numCache>
                <c:formatCode>0%</c:formatCode>
                <c:ptCount val="5"/>
                <c:pt idx="0">
                  <c:v>-0.2</c:v>
                </c:pt>
                <c:pt idx="1">
                  <c:v>-0.1</c:v>
                </c:pt>
                <c:pt idx="2">
                  <c:v>0</c:v>
                </c:pt>
                <c:pt idx="3">
                  <c:v>0.1</c:v>
                </c:pt>
                <c:pt idx="4">
                  <c:v>0.2</c:v>
                </c:pt>
              </c:numCache>
            </c:numRef>
          </c:xVal>
          <c:yVal>
            <c:numRef>
              <c:f>'Sensitivity Analysis'!$C$11:$C$15</c:f>
              <c:numCache>
                <c:formatCode>General</c:formatCode>
                <c:ptCount val="5"/>
                <c:pt idx="0">
                  <c:v>-9</c:v>
                </c:pt>
                <c:pt idx="1">
                  <c:v>-2</c:v>
                </c:pt>
                <c:pt idx="2">
                  <c:v>2.4</c:v>
                </c:pt>
                <c:pt idx="3">
                  <c:v>7</c:v>
                </c:pt>
                <c:pt idx="4">
                  <c:v>11.2</c:v>
                </c:pt>
              </c:numCache>
            </c:numRef>
          </c:yVal>
          <c:smooth val="0"/>
          <c:extLst>
            <c:ext xmlns:c16="http://schemas.microsoft.com/office/drawing/2014/chart" uri="{C3380CC4-5D6E-409C-BE32-E72D297353CC}">
              <c16:uniqueId val="{00000001-EE58-4997-B8A9-4A308B6E74B9}"/>
            </c:ext>
          </c:extLst>
        </c:ser>
        <c:ser>
          <c:idx val="2"/>
          <c:order val="2"/>
          <c:tx>
            <c:strRef>
              <c:f>'Sensitivity Analysis'!$D$10</c:f>
              <c:strCache>
                <c:ptCount val="1"/>
                <c:pt idx="0">
                  <c:v>Discount Rate (£m NPV)</c:v>
                </c:pt>
              </c:strCache>
            </c:strRef>
          </c:tx>
          <c:spPr>
            <a:ln w="9525" cap="rnd">
              <a:solidFill>
                <a:schemeClr val="accent3"/>
              </a:solidFill>
              <a:round/>
            </a:ln>
            <a:effectLst/>
          </c:spPr>
          <c:marker>
            <c:symbol val="circle"/>
            <c:size val="5"/>
            <c:spPr>
              <a:gradFill rotWithShape="1">
                <a:gsLst>
                  <a:gs pos="0">
                    <a:schemeClr val="accent3">
                      <a:satMod val="103000"/>
                      <a:lumMod val="102000"/>
                      <a:tint val="94000"/>
                    </a:schemeClr>
                  </a:gs>
                  <a:gs pos="50000">
                    <a:schemeClr val="accent3">
                      <a:satMod val="110000"/>
                      <a:lumMod val="100000"/>
                      <a:shade val="100000"/>
                    </a:schemeClr>
                  </a:gs>
                  <a:gs pos="100000">
                    <a:schemeClr val="accent3">
                      <a:lumMod val="99000"/>
                      <a:satMod val="120000"/>
                      <a:shade val="78000"/>
                    </a:schemeClr>
                  </a:gs>
                </a:gsLst>
                <a:lin ang="5400000" scaled="0"/>
              </a:gradFill>
              <a:ln w="9525">
                <a:solidFill>
                  <a:schemeClr val="accent3"/>
                </a:solidFill>
                <a:round/>
              </a:ln>
              <a:effectLst/>
            </c:spPr>
          </c:marker>
          <c:xVal>
            <c:numRef>
              <c:f>'Sensitivity Analysis'!$A$11:$A$15</c:f>
              <c:numCache>
                <c:formatCode>0%</c:formatCode>
                <c:ptCount val="5"/>
                <c:pt idx="0">
                  <c:v>-0.2</c:v>
                </c:pt>
                <c:pt idx="1">
                  <c:v>-0.1</c:v>
                </c:pt>
                <c:pt idx="2">
                  <c:v>0</c:v>
                </c:pt>
                <c:pt idx="3">
                  <c:v>0.1</c:v>
                </c:pt>
                <c:pt idx="4">
                  <c:v>0.2</c:v>
                </c:pt>
              </c:numCache>
            </c:numRef>
          </c:xVal>
          <c:yVal>
            <c:numRef>
              <c:f>'Sensitivity Analysis'!$D$11:$D$15</c:f>
              <c:numCache>
                <c:formatCode>General</c:formatCode>
                <c:ptCount val="5"/>
                <c:pt idx="0">
                  <c:v>-5.2</c:v>
                </c:pt>
                <c:pt idx="1">
                  <c:v>-1.5</c:v>
                </c:pt>
                <c:pt idx="2">
                  <c:v>2.4</c:v>
                </c:pt>
                <c:pt idx="3">
                  <c:v>1.2</c:v>
                </c:pt>
                <c:pt idx="4">
                  <c:v>-0.5</c:v>
                </c:pt>
              </c:numCache>
            </c:numRef>
          </c:yVal>
          <c:smooth val="0"/>
          <c:extLst>
            <c:ext xmlns:c16="http://schemas.microsoft.com/office/drawing/2014/chart" uri="{C3380CC4-5D6E-409C-BE32-E72D297353CC}">
              <c16:uniqueId val="{00000002-EE58-4997-B8A9-4A308B6E74B9}"/>
            </c:ext>
          </c:extLst>
        </c:ser>
        <c:dLbls>
          <c:showLegendKey val="0"/>
          <c:showVal val="0"/>
          <c:showCatName val="0"/>
          <c:showSerName val="0"/>
          <c:showPercent val="0"/>
          <c:showBubbleSize val="0"/>
        </c:dLbls>
        <c:axId val="1374485935"/>
        <c:axId val="1374475535"/>
      </c:scatterChart>
      <c:valAx>
        <c:axId val="1374485935"/>
        <c:scaling>
          <c:orientation val="minMax"/>
        </c:scaling>
        <c:delete val="0"/>
        <c:axPos val="b"/>
        <c:majorGridlines>
          <c:spPr>
            <a:ln w="9525" cap="flat" cmpd="sng" algn="ctr">
              <a:solidFill>
                <a:schemeClr val="tx2">
                  <a:lumMod val="15000"/>
                  <a:lumOff val="85000"/>
                </a:schemeClr>
              </a:solidFill>
              <a:round/>
            </a:ln>
            <a:effectLst/>
          </c:spPr>
        </c:majorGridlines>
        <c:numFmt formatCode="0%" sourceLinked="1"/>
        <c:majorTickMark val="none"/>
        <c:minorTickMark val="none"/>
        <c:tickLblPos val="nextTo"/>
        <c:spPr>
          <a:noFill/>
          <a:ln w="9525" cap="flat" cmpd="sng" algn="ctr">
            <a:solidFill>
              <a:schemeClr val="tx2">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crossAx val="1374475535"/>
        <c:crosses val="autoZero"/>
        <c:crossBetween val="midCat"/>
      </c:valAx>
      <c:valAx>
        <c:axId val="1374475535"/>
        <c:scaling>
          <c:orientation val="minMax"/>
        </c:scaling>
        <c:delete val="0"/>
        <c:axPos val="l"/>
        <c:majorGridlines>
          <c:spPr>
            <a:ln w="9525" cap="flat" cmpd="sng" algn="ctr">
              <a:solidFill>
                <a:schemeClr val="tx2">
                  <a:lumMod val="15000"/>
                  <a:lumOff val="85000"/>
                </a:schemeClr>
              </a:solidFill>
              <a:round/>
            </a:ln>
            <a:effectLst/>
          </c:spPr>
        </c:majorGridlines>
        <c:numFmt formatCode="General" sourceLinked="1"/>
        <c:majorTickMark val="none"/>
        <c:minorTickMark val="none"/>
        <c:tickLblPos val="nextTo"/>
        <c:spPr>
          <a:noFill/>
          <a:ln>
            <a:solidFill>
              <a:schemeClr val="tx2">
                <a:lumMod val="40000"/>
                <a:lumOff val="60000"/>
              </a:schemeClr>
            </a:solidFill>
          </a:ln>
          <a:effectLst/>
        </c:spPr>
        <c:txPr>
          <a:bodyPr rot="-6000000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crossAx val="1374485935"/>
        <c:crosses val="autoZero"/>
        <c:crossBetween val="midCat"/>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2">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cap="all" spc="150" baseline="0">
                <a:solidFill>
                  <a:schemeClr val="tx1">
                    <a:lumMod val="50000"/>
                    <a:lumOff val="50000"/>
                  </a:schemeClr>
                </a:solidFill>
                <a:latin typeface="+mn-lt"/>
                <a:ea typeface="+mn-ea"/>
                <a:cs typeface="+mn-cs"/>
              </a:defRPr>
            </a:pPr>
            <a:r>
              <a:rPr lang="en-IN" b="1"/>
              <a:t>EVM S-Curve </a:t>
            </a:r>
          </a:p>
        </c:rich>
      </c:tx>
      <c:overlay val="0"/>
      <c:spPr>
        <a:noFill/>
        <a:ln>
          <a:noFill/>
        </a:ln>
        <a:effectLst/>
      </c:spPr>
      <c:txPr>
        <a:bodyPr rot="0" spcFirstLastPara="1" vertOverflow="ellipsis" vert="horz" wrap="square" anchor="ctr" anchorCtr="1"/>
        <a:lstStyle/>
        <a:p>
          <a:pPr>
            <a:defRPr sz="1800" b="1" i="0" u="none" strike="noStrike" kern="1200" cap="all" spc="150" baseline="0">
              <a:solidFill>
                <a:schemeClr val="tx1">
                  <a:lumMod val="50000"/>
                  <a:lumOff val="50000"/>
                </a:schemeClr>
              </a:solidFill>
              <a:latin typeface="+mn-lt"/>
              <a:ea typeface="+mn-ea"/>
              <a:cs typeface="+mn-cs"/>
            </a:defRPr>
          </a:pPr>
          <a:endParaRPr lang="en-US"/>
        </a:p>
      </c:txPr>
    </c:title>
    <c:autoTitleDeleted val="0"/>
    <c:plotArea>
      <c:layout/>
      <c:lineChart>
        <c:grouping val="standard"/>
        <c:varyColors val="0"/>
        <c:ser>
          <c:idx val="0"/>
          <c:order val="0"/>
          <c:tx>
            <c:strRef>
              <c:f>'EVM-S Curve'!$B$1</c:f>
              <c:strCache>
                <c:ptCount val="1"/>
                <c:pt idx="0">
                  <c:v>Planned Value (PV) (£m)</c:v>
                </c:pt>
              </c:strCache>
            </c:strRef>
          </c:tx>
          <c:spPr>
            <a:ln w="38100" cap="flat" cmpd="dbl" algn="ctr">
              <a:solidFill>
                <a:schemeClr val="accent1"/>
              </a:solidFill>
              <a:miter lim="800000"/>
            </a:ln>
            <a:effectLst/>
          </c:spPr>
          <c:marker>
            <c:symbol val="none"/>
          </c:marker>
          <c:cat>
            <c:numRef>
              <c:f>'EVM-S Curve'!$A$2:$A$13</c:f>
              <c:numCache>
                <c:formatCode>General</c:formatCode>
                <c:ptCount val="12"/>
                <c:pt idx="0">
                  <c:v>1</c:v>
                </c:pt>
                <c:pt idx="1">
                  <c:v>2</c:v>
                </c:pt>
                <c:pt idx="2">
                  <c:v>3</c:v>
                </c:pt>
                <c:pt idx="3">
                  <c:v>4</c:v>
                </c:pt>
                <c:pt idx="4">
                  <c:v>5</c:v>
                </c:pt>
                <c:pt idx="5">
                  <c:v>6</c:v>
                </c:pt>
                <c:pt idx="6">
                  <c:v>7</c:v>
                </c:pt>
                <c:pt idx="7">
                  <c:v>8</c:v>
                </c:pt>
                <c:pt idx="8">
                  <c:v>9</c:v>
                </c:pt>
                <c:pt idx="9">
                  <c:v>10</c:v>
                </c:pt>
                <c:pt idx="10">
                  <c:v>11</c:v>
                </c:pt>
                <c:pt idx="11">
                  <c:v>12</c:v>
                </c:pt>
              </c:numCache>
            </c:numRef>
          </c:cat>
          <c:val>
            <c:numRef>
              <c:f>'EVM-S Curve'!$B$2:$B$13</c:f>
              <c:numCache>
                <c:formatCode>General</c:formatCode>
                <c:ptCount val="12"/>
                <c:pt idx="0">
                  <c:v>3</c:v>
                </c:pt>
                <c:pt idx="1">
                  <c:v>6</c:v>
                </c:pt>
                <c:pt idx="2">
                  <c:v>10</c:v>
                </c:pt>
                <c:pt idx="3">
                  <c:v>15</c:v>
                </c:pt>
                <c:pt idx="4">
                  <c:v>20</c:v>
                </c:pt>
                <c:pt idx="5">
                  <c:v>26</c:v>
                </c:pt>
                <c:pt idx="6">
                  <c:v>32</c:v>
                </c:pt>
                <c:pt idx="7">
                  <c:v>38</c:v>
                </c:pt>
                <c:pt idx="8">
                  <c:v>42</c:v>
                </c:pt>
                <c:pt idx="9">
                  <c:v>45</c:v>
                </c:pt>
                <c:pt idx="10">
                  <c:v>48</c:v>
                </c:pt>
                <c:pt idx="11">
                  <c:v>50</c:v>
                </c:pt>
              </c:numCache>
            </c:numRef>
          </c:val>
          <c:smooth val="0"/>
          <c:extLst>
            <c:ext xmlns:c16="http://schemas.microsoft.com/office/drawing/2014/chart" uri="{C3380CC4-5D6E-409C-BE32-E72D297353CC}">
              <c16:uniqueId val="{00000000-57CC-43D0-BBE2-7D280D5D5472}"/>
            </c:ext>
          </c:extLst>
        </c:ser>
        <c:ser>
          <c:idx val="1"/>
          <c:order val="1"/>
          <c:tx>
            <c:strRef>
              <c:f>'EVM-S Curve'!$C$1</c:f>
              <c:strCache>
                <c:ptCount val="1"/>
                <c:pt idx="0">
                  <c:v>Earned Value (EV) (£m)</c:v>
                </c:pt>
              </c:strCache>
            </c:strRef>
          </c:tx>
          <c:spPr>
            <a:ln w="38100" cap="flat" cmpd="dbl" algn="ctr">
              <a:solidFill>
                <a:schemeClr val="accent2"/>
              </a:solidFill>
              <a:miter lim="800000"/>
            </a:ln>
            <a:effectLst/>
          </c:spPr>
          <c:marker>
            <c:symbol val="none"/>
          </c:marker>
          <c:cat>
            <c:numRef>
              <c:f>'EVM-S Curve'!$A$2:$A$13</c:f>
              <c:numCache>
                <c:formatCode>General</c:formatCode>
                <c:ptCount val="12"/>
                <c:pt idx="0">
                  <c:v>1</c:v>
                </c:pt>
                <c:pt idx="1">
                  <c:v>2</c:v>
                </c:pt>
                <c:pt idx="2">
                  <c:v>3</c:v>
                </c:pt>
                <c:pt idx="3">
                  <c:v>4</c:v>
                </c:pt>
                <c:pt idx="4">
                  <c:v>5</c:v>
                </c:pt>
                <c:pt idx="5">
                  <c:v>6</c:v>
                </c:pt>
                <c:pt idx="6">
                  <c:v>7</c:v>
                </c:pt>
                <c:pt idx="7">
                  <c:v>8</c:v>
                </c:pt>
                <c:pt idx="8">
                  <c:v>9</c:v>
                </c:pt>
                <c:pt idx="9">
                  <c:v>10</c:v>
                </c:pt>
                <c:pt idx="10">
                  <c:v>11</c:v>
                </c:pt>
                <c:pt idx="11">
                  <c:v>12</c:v>
                </c:pt>
              </c:numCache>
            </c:numRef>
          </c:cat>
          <c:val>
            <c:numRef>
              <c:f>'EVM-S Curve'!$C$2:$C$13</c:f>
              <c:numCache>
                <c:formatCode>General</c:formatCode>
                <c:ptCount val="12"/>
                <c:pt idx="0">
                  <c:v>2.5</c:v>
                </c:pt>
                <c:pt idx="1">
                  <c:v>5.2</c:v>
                </c:pt>
                <c:pt idx="2">
                  <c:v>8.5</c:v>
                </c:pt>
                <c:pt idx="3">
                  <c:v>12.5</c:v>
                </c:pt>
                <c:pt idx="4">
                  <c:v>17</c:v>
                </c:pt>
                <c:pt idx="5">
                  <c:v>22.5</c:v>
                </c:pt>
                <c:pt idx="6">
                  <c:v>28</c:v>
                </c:pt>
                <c:pt idx="7">
                  <c:v>34</c:v>
                </c:pt>
                <c:pt idx="8">
                  <c:v>38.5</c:v>
                </c:pt>
                <c:pt idx="9">
                  <c:v>41.5</c:v>
                </c:pt>
                <c:pt idx="10">
                  <c:v>44</c:v>
                </c:pt>
                <c:pt idx="11">
                  <c:v>46</c:v>
                </c:pt>
              </c:numCache>
            </c:numRef>
          </c:val>
          <c:smooth val="0"/>
          <c:extLst>
            <c:ext xmlns:c16="http://schemas.microsoft.com/office/drawing/2014/chart" uri="{C3380CC4-5D6E-409C-BE32-E72D297353CC}">
              <c16:uniqueId val="{00000001-57CC-43D0-BBE2-7D280D5D5472}"/>
            </c:ext>
          </c:extLst>
        </c:ser>
        <c:ser>
          <c:idx val="2"/>
          <c:order val="2"/>
          <c:tx>
            <c:strRef>
              <c:f>'EVM-S Curve'!$D$1</c:f>
              <c:strCache>
                <c:ptCount val="1"/>
                <c:pt idx="0">
                  <c:v>Actual Cost (AC) (£m)</c:v>
                </c:pt>
              </c:strCache>
            </c:strRef>
          </c:tx>
          <c:spPr>
            <a:ln w="38100" cap="flat" cmpd="dbl" algn="ctr">
              <a:solidFill>
                <a:schemeClr val="accent3"/>
              </a:solidFill>
              <a:miter lim="800000"/>
            </a:ln>
            <a:effectLst/>
          </c:spPr>
          <c:marker>
            <c:symbol val="none"/>
          </c:marker>
          <c:cat>
            <c:numRef>
              <c:f>'EVM-S Curve'!$A$2:$A$13</c:f>
              <c:numCache>
                <c:formatCode>General</c:formatCode>
                <c:ptCount val="12"/>
                <c:pt idx="0">
                  <c:v>1</c:v>
                </c:pt>
                <c:pt idx="1">
                  <c:v>2</c:v>
                </c:pt>
                <c:pt idx="2">
                  <c:v>3</c:v>
                </c:pt>
                <c:pt idx="3">
                  <c:v>4</c:v>
                </c:pt>
                <c:pt idx="4">
                  <c:v>5</c:v>
                </c:pt>
                <c:pt idx="5">
                  <c:v>6</c:v>
                </c:pt>
                <c:pt idx="6">
                  <c:v>7</c:v>
                </c:pt>
                <c:pt idx="7">
                  <c:v>8</c:v>
                </c:pt>
                <c:pt idx="8">
                  <c:v>9</c:v>
                </c:pt>
                <c:pt idx="9">
                  <c:v>10</c:v>
                </c:pt>
                <c:pt idx="10">
                  <c:v>11</c:v>
                </c:pt>
                <c:pt idx="11">
                  <c:v>12</c:v>
                </c:pt>
              </c:numCache>
            </c:numRef>
          </c:cat>
          <c:val>
            <c:numRef>
              <c:f>'EVM-S Curve'!$D$2:$D$13</c:f>
              <c:numCache>
                <c:formatCode>General</c:formatCode>
                <c:ptCount val="12"/>
                <c:pt idx="0">
                  <c:v>3.2</c:v>
                </c:pt>
                <c:pt idx="1">
                  <c:v>6.8</c:v>
                </c:pt>
                <c:pt idx="2">
                  <c:v>11</c:v>
                </c:pt>
                <c:pt idx="3">
                  <c:v>16.5</c:v>
                </c:pt>
                <c:pt idx="4">
                  <c:v>22</c:v>
                </c:pt>
                <c:pt idx="5">
                  <c:v>28.5</c:v>
                </c:pt>
                <c:pt idx="6">
                  <c:v>35</c:v>
                </c:pt>
                <c:pt idx="7">
                  <c:v>42.5</c:v>
                </c:pt>
                <c:pt idx="8">
                  <c:v>47</c:v>
                </c:pt>
                <c:pt idx="9">
                  <c:v>50.5</c:v>
                </c:pt>
                <c:pt idx="10">
                  <c:v>53</c:v>
                </c:pt>
                <c:pt idx="11">
                  <c:v>55</c:v>
                </c:pt>
              </c:numCache>
            </c:numRef>
          </c:val>
          <c:smooth val="0"/>
          <c:extLst>
            <c:ext xmlns:c16="http://schemas.microsoft.com/office/drawing/2014/chart" uri="{C3380CC4-5D6E-409C-BE32-E72D297353CC}">
              <c16:uniqueId val="{00000002-57CC-43D0-BBE2-7D280D5D5472}"/>
            </c:ext>
          </c:extLst>
        </c:ser>
        <c:dLbls>
          <c:showLegendKey val="0"/>
          <c:showVal val="0"/>
          <c:showCatName val="0"/>
          <c:showSerName val="0"/>
          <c:showPercent val="0"/>
          <c:showBubbleSize val="0"/>
        </c:dLbls>
        <c:smooth val="0"/>
        <c:axId val="1375844751"/>
        <c:axId val="1375845167"/>
      </c:lineChart>
      <c:catAx>
        <c:axId val="1375844751"/>
        <c:scaling>
          <c:orientation val="minMax"/>
        </c:scaling>
        <c:delete val="0"/>
        <c:axPos val="b"/>
        <c:majorGridlines>
          <c:spPr>
            <a:ln w="9525" cap="flat" cmpd="sng" algn="ctr">
              <a:solidFill>
                <a:schemeClr val="tx1">
                  <a:lumMod val="15000"/>
                  <a:lumOff val="85000"/>
                  <a:alpha val="32000"/>
                </a:schemeClr>
              </a:solidFill>
              <a:round/>
            </a:ln>
            <a:effectLst/>
          </c:spPr>
        </c:majorGridlines>
        <c:numFmt formatCode="General" sourceLinked="1"/>
        <c:majorTickMark val="none"/>
        <c:minorTickMark val="none"/>
        <c:tickLblPos val="nextTo"/>
        <c:spPr>
          <a:noFill/>
          <a:ln w="3175" cap="flat" cmpd="sng" algn="ctr">
            <a:solidFill>
              <a:schemeClr val="tx1">
                <a:lumMod val="15000"/>
                <a:lumOff val="85000"/>
              </a:schemeClr>
            </a:solidFill>
            <a:round/>
            <a:tailEnd type="none" w="med" len="lg"/>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375845167"/>
        <c:crosses val="autoZero"/>
        <c:auto val="1"/>
        <c:lblAlgn val="ctr"/>
        <c:lblOffset val="100"/>
        <c:noMultiLvlLbl val="0"/>
      </c:catAx>
      <c:valAx>
        <c:axId val="1375845167"/>
        <c:scaling>
          <c:orientation val="minMax"/>
        </c:scaling>
        <c:delete val="0"/>
        <c:axPos val="l"/>
        <c:majorGridlines>
          <c:spPr>
            <a:ln w="9525" cap="flat" cmpd="sng" algn="ctr">
              <a:solidFill>
                <a:schemeClr val="tx1">
                  <a:lumMod val="15000"/>
                  <a:lumOff val="85000"/>
                  <a:alpha val="32000"/>
                </a:schemeClr>
              </a:solidFill>
              <a:round/>
            </a:ln>
            <a:effectLst/>
          </c:spPr>
        </c:majorGridlines>
        <c:numFmt formatCode="General" sourceLinked="1"/>
        <c:majorTickMark val="none"/>
        <c:minorTickMark val="none"/>
        <c:tickLblPos val="nextTo"/>
        <c:spPr>
          <a:noFill/>
          <a:ln w="3175" cap="flat" cmpd="sng" algn="ctr">
            <a:solidFill>
              <a:schemeClr val="tx1">
                <a:lumMod val="15000"/>
                <a:lumOff val="85000"/>
              </a:schemeClr>
            </a:solidFill>
            <a:round/>
            <a:tailEnd type="none" w="med" len="lg"/>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375844751"/>
        <c:crosses val="autoZero"/>
        <c:crossBetween val="between"/>
      </c:valAx>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64">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2.xml><?xml version="1.0" encoding="utf-8"?>
<cs:chartStyle xmlns:cs="http://schemas.microsoft.com/office/drawing/2012/chartStyle" xmlns:a="http://schemas.openxmlformats.org/drawingml/2006/main" id="231">
  <cs:axisTitle>
    <cs:lnRef idx="0"/>
    <cs:fillRef idx="0"/>
    <cs:effectRef idx="0"/>
    <cs:fontRef idx="minor">
      <a:schemeClr val="tx2"/>
    </cs:fontRef>
    <cs:defRPr sz="900" b="1" kern="1200"/>
  </cs:axisTitle>
  <cs:categoryAxis>
    <cs:lnRef idx="0"/>
    <cs:fillRef idx="0"/>
    <cs:effectRef idx="0"/>
    <cs:fontRef idx="minor">
      <a:schemeClr val="tx2"/>
    </cs:fontRef>
    <cs:spPr>
      <a:ln w="9525" cap="flat" cmpd="sng" algn="ctr">
        <a:solidFill>
          <a:schemeClr val="tx2">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2">
            <a:lumMod val="15000"/>
            <a:lumOff val="85000"/>
          </a:schemeClr>
        </a:solidFill>
        <a:round/>
      </a:ln>
    </cs:spPr>
    <cs:defRPr sz="900" kern="1200"/>
  </cs:chartArea>
  <cs:dataLabel>
    <cs:lnRef idx="0"/>
    <cs:fillRef idx="0"/>
    <cs:effectRef idx="0"/>
    <cs:fontRef idx="minor">
      <a:schemeClr val="tx2"/>
    </cs:fontRef>
    <cs:defRPr sz="900" kern="1200"/>
  </cs:dataLabel>
  <cs:dataLabelCallout>
    <cs:lnRef idx="0"/>
    <cs:fillRef idx="0"/>
    <cs:effectRef idx="0"/>
    <cs:fontRef idx="minor">
      <a:schemeClr val="dk2">
        <a:lumMod val="7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2"/>
    <cs:fontRef idx="minor">
      <a:schemeClr val="tx2"/>
    </cs:fontRef>
  </cs:dataPoint>
  <cs:dataPoint3D>
    <cs:lnRef idx="0"/>
    <cs:fillRef idx="3">
      <cs:styleClr val="auto"/>
    </cs:fillRef>
    <cs:effectRef idx="2"/>
    <cs:fontRef idx="minor">
      <a:schemeClr val="tx2"/>
    </cs:fontRef>
  </cs:dataPoint3D>
  <cs:dataPointLine>
    <cs:lnRef idx="0">
      <cs:styleClr val="auto"/>
    </cs:lnRef>
    <cs:fillRef idx="3"/>
    <cs:effectRef idx="2"/>
    <cs:fontRef idx="minor">
      <a:schemeClr val="tx2"/>
    </cs:fontRef>
    <cs:spPr>
      <a:ln w="31750" cap="rnd">
        <a:solidFill>
          <a:schemeClr val="phClr"/>
        </a:solidFill>
        <a:round/>
      </a:ln>
    </cs:spPr>
  </cs:dataPointLine>
  <cs:dataPointMarker>
    <cs:lnRef idx="0"/>
    <cs:fillRef idx="3">
      <cs:styleClr val="auto"/>
    </cs:fillRef>
    <cs:effectRef idx="2"/>
    <cs:fontRef idx="minor">
      <a:schemeClr val="tx2"/>
    </cs:fontRef>
    <cs:spPr>
      <a:ln w="12700">
        <a:solidFill>
          <a:schemeClr val="lt2"/>
        </a:solidFill>
        <a:round/>
      </a:ln>
    </cs:spPr>
  </cs:dataPointMarker>
  <cs:dataPointMarkerLayout symbol="circle" size="6"/>
  <cs:dataPointWireframe>
    <cs:lnRef idx="0">
      <cs:styleClr val="auto"/>
    </cs:lnRef>
    <cs:fillRef idx="3"/>
    <cs:effectRef idx="2"/>
    <cs:fontRef idx="minor">
      <a:schemeClr val="tx2"/>
    </cs:fontRef>
    <cs:spPr>
      <a:ln w="9525" cap="rnd">
        <a:solidFill>
          <a:schemeClr val="phClr"/>
        </a:solidFill>
        <a:round/>
      </a:ln>
    </cs:spPr>
  </cs:dataPointWireframe>
  <cs:dataTable>
    <cs:lnRef idx="0"/>
    <cs:fillRef idx="0"/>
    <cs:effectRef idx="0"/>
    <cs:fontRef idx="minor">
      <a:schemeClr val="tx2"/>
    </cs:fontRef>
    <cs:spPr>
      <a:ln w="9525">
        <a:solidFill>
          <a:schemeClr val="tx2">
            <a:lumMod val="15000"/>
            <a:lumOff val="85000"/>
          </a:schemeClr>
        </a:solidFill>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2"/>
    </cs:fontRef>
    <cs:spPr>
      <a:ln w="9525">
        <a:solidFill>
          <a:schemeClr val="tx2">
            <a:lumMod val="60000"/>
            <a:lumOff val="40000"/>
          </a:schemeClr>
        </a:solidFill>
        <a:prstDash val="dash"/>
      </a:ln>
    </cs:spPr>
  </cs:dropLine>
  <cs:errorBar>
    <cs:lnRef idx="0"/>
    <cs:fillRef idx="0"/>
    <cs:effectRef idx="0"/>
    <cs:fontRef idx="minor">
      <a:schemeClr val="tx2"/>
    </cs:fontRef>
    <cs:spPr>
      <a:ln w="9525">
        <a:solidFill>
          <a:schemeClr val="tx2">
            <a:lumMod val="75000"/>
          </a:schemeClr>
        </a:solidFill>
        <a:round/>
      </a:ln>
    </cs:spPr>
  </cs:errorBar>
  <cs:floor>
    <cs:lnRef idx="0"/>
    <cs:fillRef idx="0"/>
    <cs:effectRef idx="0"/>
    <cs:fontRef idx="minor">
      <a:schemeClr val="tx2"/>
    </cs:fontRef>
  </cs:floor>
  <cs:gridlineMajor>
    <cs:lnRef idx="0"/>
    <cs:fillRef idx="0"/>
    <cs:effectRef idx="0"/>
    <cs:fontRef idx="minor">
      <a:schemeClr val="tx2"/>
    </cs:fontRef>
    <cs:spPr>
      <a:ln w="9525" cap="flat" cmpd="sng" algn="ctr">
        <a:solidFill>
          <a:schemeClr val="tx2">
            <a:lumMod val="15000"/>
            <a:lumOff val="85000"/>
          </a:schemeClr>
        </a:solidFill>
        <a:round/>
      </a:ln>
    </cs:spPr>
  </cs:gridlineMajor>
  <cs:gridlineMinor>
    <cs:lnRef idx="0"/>
    <cs:fillRef idx="0"/>
    <cs:effectRef idx="0"/>
    <cs:fontRef idx="minor">
      <a:schemeClr val="tx2"/>
    </cs:fontRef>
    <cs:spPr>
      <a:ln>
        <a:solidFill>
          <a:schemeClr val="tx2">
            <a:lumMod val="5000"/>
            <a:lumOff val="95000"/>
          </a:schemeClr>
        </a:solidFill>
      </a:ln>
    </cs:spPr>
  </cs:gridlineMinor>
  <cs:hiLoLine>
    <cs:lnRef idx="0"/>
    <cs:fillRef idx="0"/>
    <cs:effectRef idx="0"/>
    <cs:fontRef idx="minor">
      <a:schemeClr val="tx2"/>
    </cs:fontRef>
    <cs:spPr>
      <a:ln w="9525">
        <a:solidFill>
          <a:schemeClr val="tx2">
            <a:lumMod val="60000"/>
            <a:lumOff val="40000"/>
          </a:schemeClr>
        </a:solidFill>
        <a:prstDash val="dash"/>
      </a:ln>
    </cs:spPr>
  </cs:hiLoLine>
  <cs:leaderLine>
    <cs:lnRef idx="0"/>
    <cs:fillRef idx="0"/>
    <cs:effectRef idx="0"/>
    <cs:fontRef idx="minor">
      <a:schemeClr val="tx2"/>
    </cs:fontRef>
    <cs:spPr>
      <a:ln w="9525">
        <a:solidFill>
          <a:schemeClr val="tx2">
            <a:lumMod val="35000"/>
            <a:lumOff val="65000"/>
          </a:schemeClr>
        </a:solidFill>
      </a:ln>
    </cs:spPr>
  </cs:leaderLine>
  <cs:legend>
    <cs:lnRef idx="0"/>
    <cs:fillRef idx="0"/>
    <cs:effectRef idx="0"/>
    <cs:fontRef idx="minor">
      <a:schemeClr val="tx2"/>
    </cs:fontRef>
    <cs:defRPr sz="900" kern="1200"/>
  </cs:legend>
  <cs:plotArea>
    <cs:lnRef idx="0"/>
    <cs:fillRef idx="0"/>
    <cs:effectRef idx="0"/>
    <cs:fontRef idx="minor">
      <a:schemeClr val="tx2"/>
    </cs:fontRef>
  </cs:plotArea>
  <cs:plotArea3D>
    <cs:lnRef idx="0"/>
    <cs:fillRef idx="0"/>
    <cs:effectRef idx="0"/>
    <cs:fontRef idx="minor">
      <a:schemeClr val="tx2"/>
    </cs:fontRef>
  </cs:plotArea3D>
  <cs:seriesAxis>
    <cs:lnRef idx="0"/>
    <cs:fillRef idx="0"/>
    <cs:effectRef idx="0"/>
    <cs:fontRef idx="minor">
      <a:schemeClr val="tx2"/>
    </cs:fontRef>
    <cs:spPr>
      <a:ln w="9525" cap="flat" cmpd="sng" algn="ctr">
        <a:solidFill>
          <a:schemeClr val="tx2">
            <a:lumMod val="15000"/>
            <a:lumOff val="85000"/>
          </a:schemeClr>
        </a:solidFill>
        <a:round/>
      </a:ln>
    </cs:spPr>
    <cs:defRPr sz="900" kern="1200"/>
  </cs:seriesAxis>
  <cs:seriesLine>
    <cs:lnRef idx="0"/>
    <cs:fillRef idx="0"/>
    <cs:effectRef idx="0"/>
    <cs:fontRef idx="minor">
      <a:schemeClr val="tx2"/>
    </cs:fontRef>
    <cs:spPr>
      <a:ln w="9525">
        <a:solidFill>
          <a:schemeClr val="tx2">
            <a:lumMod val="60000"/>
            <a:lumOff val="40000"/>
          </a:schemeClr>
        </a:solidFill>
        <a:prstDash val="dash"/>
      </a:ln>
    </cs:spPr>
  </cs:seriesLine>
  <cs:title>
    <cs:lnRef idx="0"/>
    <cs:fillRef idx="0"/>
    <cs:effectRef idx="0"/>
    <cs:fontRef idx="minor">
      <a:schemeClr val="tx2"/>
    </cs:fontRef>
    <cs:defRPr sz="1600" b="1" kern="1200"/>
  </cs:title>
  <cs:trendline>
    <cs:lnRef idx="0">
      <cs:styleClr val="auto"/>
    </cs:lnRef>
    <cs:fillRef idx="0"/>
    <cs:effectRef idx="0"/>
    <cs:fontRef idx="minor">
      <a:schemeClr val="tx2"/>
    </cs:fontRef>
    <cs:spPr>
      <a:ln w="19050" cap="rnd">
        <a:solidFill>
          <a:schemeClr val="phClr"/>
        </a:solidFill>
        <a:prstDash val="sysDash"/>
      </a:ln>
    </cs:spPr>
  </cs:trendline>
  <cs:trendlineLabel>
    <cs:lnRef idx="0"/>
    <cs:fillRef idx="0"/>
    <cs:effectRef idx="0"/>
    <cs:fontRef idx="minor">
      <a:schemeClr val="tx2"/>
    </cs:fontRef>
    <cs:defRPr sz="900" kern="1200"/>
  </cs:trendlineLabel>
  <cs:upBar>
    <cs:lnRef idx="0"/>
    <cs:fillRef idx="0"/>
    <cs:effectRef idx="0"/>
    <cs:fontRef idx="minor">
      <a:schemeClr val="tx2"/>
    </cs:fontRef>
    <cs:spPr>
      <a:solidFill>
        <a:schemeClr val="lt1"/>
      </a:solidFill>
      <a:ln w="9525">
        <a:solidFill>
          <a:schemeClr val="tx1">
            <a:lumMod val="15000"/>
            <a:lumOff val="85000"/>
          </a:schemeClr>
        </a:solidFill>
      </a:ln>
    </cs:spPr>
  </cs:upBar>
  <cs:valueAxis>
    <cs:lnRef idx="0"/>
    <cs:fillRef idx="0"/>
    <cs:effectRef idx="0"/>
    <cs:fontRef idx="minor">
      <a:schemeClr val="tx2"/>
    </cs:fontRef>
    <cs:defRPr sz="900" kern="1200"/>
  </cs:valueAxis>
  <cs:wall>
    <cs:lnRef idx="0"/>
    <cs:fillRef idx="0"/>
    <cs:effectRef idx="0"/>
    <cs:fontRef idx="minor">
      <a:schemeClr val="tx2"/>
    </cs:fontRef>
  </cs:wall>
</cs:chartStyle>
</file>

<file path=word/charts/style3.xml><?xml version="1.0" encoding="utf-8"?>
<cs:chartStyle xmlns:cs="http://schemas.microsoft.com/office/drawing/2012/chartStyle" xmlns:a="http://schemas.openxmlformats.org/drawingml/2006/main" id="268">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lt1">
            <a:lumMod val="95000"/>
            <a:alpha val="10000"/>
          </a:schemeClr>
        </a:solidFill>
        <a:round/>
      </a:ln>
    </cs:spPr>
  </cs:gridlineMajor>
  <cs:gridlineMinor>
    <cs:lnRef idx="0"/>
    <cs:fillRef idx="0"/>
    <cs:effectRef idx="0"/>
    <cs:fontRef idx="minor">
      <a:schemeClr val="tx1"/>
    </cs:fontRef>
    <cs:spPr>
      <a:ln>
        <a:solidFill>
          <a:schemeClr val="lt1">
            <a:lumMod val="95000"/>
            <a:alpha val="5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tx1"/>
    </cs:fontRef>
  </cs:wall>
</cs:chartStyle>
</file>

<file path=word/charts/style4.xml><?xml version="1.0" encoding="utf-8"?>
<cs:chartStyle xmlns:cs="http://schemas.microsoft.com/office/drawing/2012/chartStyle" xmlns:a="http://schemas.openxmlformats.org/drawingml/2006/main" id="241">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ap="all" spc="120" normalizeH="0" baseline="0"/>
  </cs:categoryAxis>
  <cs:chartArea mods="allowNoFillOverride allowNoLineOverride">
    <cs:lnRef idx="0"/>
    <cs:fillRef idx="0"/>
    <cs:effectRef idx="0"/>
    <cs:fontRef idx="minor">
      <a:schemeClr val="dk1"/>
    </cs:fontRef>
    <cs:spPr>
      <a:solidFill>
        <a:schemeClr val="lt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50000"/>
        <a:lumOff val="50000"/>
      </a:schemeClr>
    </cs:fontRef>
    <cs:defRPr sz="800" b="0" i="0" u="none" strike="noStrike" kern="1200" baseline="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phClr"/>
      </a:solidFill>
      <a:ln w="9525">
        <a:solidFill>
          <a:schemeClr val="phClr"/>
        </a:solidFill>
        <a:round/>
      </a:ln>
    </cs:spPr>
  </cs:dataPointMarker>
  <cs:dataPointMarkerLayout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15000"/>
            <a:lumOff val="85000"/>
          </a:schemeClr>
        </a:solidFill>
      </a:ln>
    </cs:spPr>
  </cs:downBar>
  <cs:dropLine>
    <cs:lnRef idx="0"/>
    <cs:fillRef idx="0"/>
    <cs:effectRef idx="0"/>
    <cs:fontRef idx="minor">
      <a:schemeClr val="dk1"/>
    </cs:fontRef>
    <cs:spPr>
      <a:ln w="9525">
        <a:solidFill>
          <a:schemeClr val="tx1">
            <a:lumMod val="35000"/>
            <a:lumOff val="65000"/>
          </a:schemeClr>
        </a:solidFill>
      </a:ln>
    </cs:spPr>
  </cs:dropLine>
  <cs:errorBar>
    <cs:lnRef idx="0"/>
    <cs:fillRef idx="0"/>
    <cs:effectRef idx="0"/>
    <cs:fontRef idx="minor">
      <a:schemeClr val="dk1"/>
    </cs:fontRef>
    <cs:spPr>
      <a:ln w="9525">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35000"/>
            <a:lumOff val="65000"/>
          </a:schemeClr>
        </a:solidFill>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spc="120" normalizeH="0" baseline="0"/>
  </cs:title>
  <cs:trendline>
    <cs:lnRef idx="0">
      <cs:styleClr val="auto"/>
    </cs:lnRef>
    <cs:fillRef idx="0"/>
    <cs:effectRef idx="0"/>
    <cs:fontRef idx="minor">
      <a:schemeClr val="dk1"/>
    </cs:fontRef>
    <cs:spPr>
      <a:ln w="9525" cap="rnd">
        <a:solidFill>
          <a:schemeClr val="phClr"/>
        </a:solidFill>
      </a:ln>
    </cs:spPr>
  </cs:trendline>
  <cs:trendlineLabel>
    <cs:lnRef idx="0"/>
    <cs:fillRef idx="0"/>
    <cs:effectRef idx="0"/>
    <cs:fontRef idx="minor">
      <a:schemeClr val="tx1">
        <a:lumMod val="65000"/>
        <a:lumOff val="35000"/>
      </a:schemeClr>
    </cs:fontRef>
    <cs:defRPr sz="8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spPr>
      <a:ln w="9525" cap="flat" cmpd="sng" algn="ctr">
        <a:solidFill>
          <a:schemeClr val="dk1">
            <a:lumMod val="15000"/>
            <a:lumOff val="85000"/>
          </a:schemeClr>
        </a:solidFill>
        <a:round/>
      </a:ln>
    </cs:spPr>
    <cs:defRPr sz="900" kern="1200"/>
  </cs:valueAxis>
  <cs:wall>
    <cs:lnRef idx="0"/>
    <cs:fillRef idx="0"/>
    <cs:effectRef idx="0"/>
    <cs:fontRef idx="minor">
      <a:schemeClr val="dk1"/>
    </cs:fontRef>
  </cs:wall>
</cs:chartStyle>
</file>

<file path=word/charts/style5.xml><?xml version="1.0" encoding="utf-8"?>
<cs:chartStyle xmlns:cs="http://schemas.microsoft.com/office/drawing/2012/chartStyle" xmlns:a="http://schemas.openxmlformats.org/drawingml/2006/main" id="242">
  <cs:axisTitle>
    <cs:lnRef idx="0"/>
    <cs:fillRef idx="0"/>
    <cs:effectRef idx="0"/>
    <cs:fontRef idx="minor">
      <a:schemeClr val="tx2"/>
    </cs:fontRef>
    <cs:defRPr sz="900" b="1" kern="1200"/>
  </cs:axisTitle>
  <cs:categoryAxis>
    <cs:lnRef idx="0"/>
    <cs:fillRef idx="0"/>
    <cs:effectRef idx="0"/>
    <cs:fontRef idx="minor">
      <a:schemeClr val="tx2"/>
    </cs:fontRef>
    <cs:spPr>
      <a:ln w="9525" cap="flat" cmpd="sng" algn="ctr">
        <a:solidFill>
          <a:schemeClr val="tx2">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2">
            <a:lumMod val="15000"/>
            <a:lumOff val="85000"/>
          </a:schemeClr>
        </a:solidFill>
        <a:round/>
      </a:ln>
    </cs:spPr>
    <cs:defRPr sz="900" kern="1200"/>
  </cs:chartArea>
  <cs:dataLabel>
    <cs:lnRef idx="0"/>
    <cs:fillRef idx="0"/>
    <cs:effectRef idx="0"/>
    <cs:fontRef idx="minor">
      <a:schemeClr val="tx2"/>
    </cs:fontRef>
    <cs:defRPr sz="900" kern="1200"/>
  </cs:dataLabel>
  <cs:dataLabelCallout>
    <cs:lnRef idx="0"/>
    <cs:fillRef idx="0"/>
    <cs:effectRef idx="0"/>
    <cs:fontRef idx="minor">
      <a:schemeClr val="dk2">
        <a:lumMod val="7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2"/>
    <cs:fontRef idx="minor">
      <a:schemeClr val="tx2"/>
    </cs:fontRef>
  </cs:dataPoint>
  <cs:dataPoint3D>
    <cs:lnRef idx="0"/>
    <cs:fillRef idx="3">
      <cs:styleClr val="auto"/>
    </cs:fillRef>
    <cs:effectRef idx="2"/>
    <cs:fontRef idx="minor">
      <a:schemeClr val="tx2"/>
    </cs:fontRef>
  </cs:dataPoint3D>
  <cs:dataPointLine>
    <cs:lnRef idx="0">
      <cs:styleClr val="auto"/>
    </cs:lnRef>
    <cs:fillRef idx="3"/>
    <cs:effectRef idx="2"/>
    <cs:fontRef idx="minor">
      <a:schemeClr val="tx2"/>
    </cs:fontRef>
    <cs:spPr>
      <a:ln w="9525" cap="rnd">
        <a:solidFill>
          <a:schemeClr val="phClr"/>
        </a:solidFill>
        <a:round/>
      </a:ln>
    </cs:spPr>
  </cs:dataPointLine>
  <cs:dataPointMarker>
    <cs:lnRef idx="0">
      <cs:styleClr val="auto"/>
    </cs:lnRef>
    <cs:fillRef idx="3">
      <cs:styleClr val="auto"/>
    </cs:fillRef>
    <cs:effectRef idx="2"/>
    <cs:fontRef idx="minor">
      <a:schemeClr val="tx2"/>
    </cs:fontRef>
    <cs:spPr>
      <a:ln w="9525">
        <a:solidFill>
          <a:schemeClr val="phClr"/>
        </a:solidFill>
        <a:round/>
      </a:ln>
    </cs:spPr>
  </cs:dataPointMarker>
  <cs:dataPointMarkerLayout symbol="circle" size="5"/>
  <cs:dataPointWireframe>
    <cs:lnRef idx="0">
      <cs:styleClr val="auto"/>
    </cs:lnRef>
    <cs:fillRef idx="3"/>
    <cs:effectRef idx="2"/>
    <cs:fontRef idx="minor">
      <a:schemeClr val="tx2"/>
    </cs:fontRef>
    <cs:spPr>
      <a:ln w="9525" cap="rnd">
        <a:solidFill>
          <a:schemeClr val="phClr"/>
        </a:solidFill>
        <a:round/>
      </a:ln>
    </cs:spPr>
  </cs:dataPointWireframe>
  <cs:dataTable>
    <cs:lnRef idx="0"/>
    <cs:fillRef idx="0"/>
    <cs:effectRef idx="0"/>
    <cs:fontRef idx="minor">
      <a:schemeClr val="tx2"/>
    </cs:fontRef>
    <cs:spPr>
      <a:ln w="9525">
        <a:solidFill>
          <a:schemeClr val="tx2">
            <a:lumMod val="15000"/>
            <a:lumOff val="85000"/>
          </a:schemeClr>
        </a:solidFill>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2"/>
    </cs:fontRef>
    <cs:spPr>
      <a:ln w="9525">
        <a:solidFill>
          <a:schemeClr val="tx2">
            <a:lumMod val="60000"/>
            <a:lumOff val="40000"/>
          </a:schemeClr>
        </a:solidFill>
        <a:prstDash val="dash"/>
      </a:ln>
    </cs:spPr>
  </cs:dropLine>
  <cs:errorBar>
    <cs:lnRef idx="0"/>
    <cs:fillRef idx="0"/>
    <cs:effectRef idx="0"/>
    <cs:fontRef idx="minor">
      <a:schemeClr val="tx2"/>
    </cs:fontRef>
    <cs:spPr>
      <a:ln w="9525">
        <a:solidFill>
          <a:schemeClr val="tx2">
            <a:lumMod val="75000"/>
          </a:schemeClr>
        </a:solidFill>
        <a:round/>
      </a:ln>
    </cs:spPr>
  </cs:errorBar>
  <cs:floor>
    <cs:lnRef idx="0"/>
    <cs:fillRef idx="0"/>
    <cs:effectRef idx="0"/>
    <cs:fontRef idx="minor">
      <a:schemeClr val="tx2"/>
    </cs:fontRef>
  </cs:floor>
  <cs:gridlineMajor>
    <cs:lnRef idx="0"/>
    <cs:fillRef idx="0"/>
    <cs:effectRef idx="0"/>
    <cs:fontRef idx="minor">
      <a:schemeClr val="tx2"/>
    </cs:fontRef>
    <cs:spPr>
      <a:ln w="9525" cap="flat" cmpd="sng" algn="ctr">
        <a:solidFill>
          <a:schemeClr val="tx2">
            <a:lumMod val="15000"/>
            <a:lumOff val="85000"/>
          </a:schemeClr>
        </a:solidFill>
        <a:round/>
      </a:ln>
    </cs:spPr>
  </cs:gridlineMajor>
  <cs:gridlineMinor>
    <cs:lnRef idx="0"/>
    <cs:fillRef idx="0"/>
    <cs:effectRef idx="0"/>
    <cs:fontRef idx="minor">
      <a:schemeClr val="tx2"/>
    </cs:fontRef>
    <cs:spPr>
      <a:ln>
        <a:solidFill>
          <a:schemeClr val="tx2">
            <a:lumMod val="5000"/>
            <a:lumOff val="95000"/>
          </a:schemeClr>
        </a:solidFill>
      </a:ln>
    </cs:spPr>
  </cs:gridlineMinor>
  <cs:hiLoLine>
    <cs:lnRef idx="0"/>
    <cs:fillRef idx="0"/>
    <cs:effectRef idx="0"/>
    <cs:fontRef idx="minor">
      <a:schemeClr val="tx2"/>
    </cs:fontRef>
    <cs:spPr>
      <a:ln w="9525">
        <a:solidFill>
          <a:schemeClr val="tx2">
            <a:lumMod val="60000"/>
            <a:lumOff val="40000"/>
          </a:schemeClr>
        </a:solidFill>
        <a:prstDash val="dash"/>
      </a:ln>
    </cs:spPr>
  </cs:hiLoLine>
  <cs:leaderLine>
    <cs:lnRef idx="0"/>
    <cs:fillRef idx="0"/>
    <cs:effectRef idx="0"/>
    <cs:fontRef idx="minor">
      <a:schemeClr val="tx2"/>
    </cs:fontRef>
    <cs:spPr>
      <a:ln w="9525">
        <a:solidFill>
          <a:schemeClr val="tx2">
            <a:lumMod val="35000"/>
            <a:lumOff val="65000"/>
          </a:schemeClr>
        </a:solidFill>
      </a:ln>
    </cs:spPr>
  </cs:leaderLine>
  <cs:legend>
    <cs:lnRef idx="0"/>
    <cs:fillRef idx="0"/>
    <cs:effectRef idx="0"/>
    <cs:fontRef idx="minor">
      <a:schemeClr val="tx2"/>
    </cs:fontRef>
    <cs:defRPr sz="900" kern="1200"/>
  </cs:legend>
  <cs:plotArea>
    <cs:lnRef idx="0"/>
    <cs:fillRef idx="0"/>
    <cs:effectRef idx="0"/>
    <cs:fontRef idx="minor">
      <a:schemeClr val="tx2"/>
    </cs:fontRef>
  </cs:plotArea>
  <cs:plotArea3D>
    <cs:lnRef idx="0"/>
    <cs:fillRef idx="0"/>
    <cs:effectRef idx="0"/>
    <cs:fontRef idx="minor">
      <a:schemeClr val="tx2"/>
    </cs:fontRef>
  </cs:plotArea3D>
  <cs:seriesAxis>
    <cs:lnRef idx="0"/>
    <cs:fillRef idx="0"/>
    <cs:effectRef idx="0"/>
    <cs:fontRef idx="minor">
      <a:schemeClr val="tx2"/>
    </cs:fontRef>
    <cs:spPr>
      <a:ln w="9525" cap="flat" cmpd="sng" algn="ctr">
        <a:solidFill>
          <a:schemeClr val="tx2">
            <a:lumMod val="15000"/>
            <a:lumOff val="85000"/>
          </a:schemeClr>
        </a:solidFill>
        <a:round/>
      </a:ln>
    </cs:spPr>
    <cs:defRPr sz="900" kern="1200"/>
  </cs:seriesAxis>
  <cs:seriesLine>
    <cs:lnRef idx="0"/>
    <cs:fillRef idx="0"/>
    <cs:effectRef idx="0"/>
    <cs:fontRef idx="minor">
      <a:schemeClr val="tx2"/>
    </cs:fontRef>
    <cs:spPr>
      <a:ln w="9525">
        <a:solidFill>
          <a:schemeClr val="tx2">
            <a:lumMod val="60000"/>
            <a:lumOff val="40000"/>
          </a:schemeClr>
        </a:solidFill>
        <a:prstDash val="dash"/>
      </a:ln>
    </cs:spPr>
  </cs:seriesLine>
  <cs:title>
    <cs:lnRef idx="0"/>
    <cs:fillRef idx="0"/>
    <cs:effectRef idx="0"/>
    <cs:fontRef idx="minor">
      <a:schemeClr val="tx2"/>
    </cs:fontRef>
    <cs:defRPr sz="1600" b="1" kern="1200"/>
  </cs:title>
  <cs:trendline>
    <cs:lnRef idx="0">
      <cs:styleClr val="auto"/>
    </cs:lnRef>
    <cs:fillRef idx="0"/>
    <cs:effectRef idx="0"/>
    <cs:fontRef idx="minor">
      <a:schemeClr val="tx2"/>
    </cs:fontRef>
    <cs:spPr>
      <a:ln w="9525" cap="rnd">
        <a:solidFill>
          <a:schemeClr val="phClr"/>
        </a:solidFill>
      </a:ln>
    </cs:spPr>
  </cs:trendline>
  <cs:trendlineLabel>
    <cs:lnRef idx="0"/>
    <cs:fillRef idx="0"/>
    <cs:effectRef idx="0"/>
    <cs:fontRef idx="minor">
      <a:schemeClr val="tx2"/>
    </cs:fontRef>
    <cs:defRPr sz="900" kern="1200"/>
  </cs:trendlineLabel>
  <cs:upBar>
    <cs:lnRef idx="0"/>
    <cs:fillRef idx="0"/>
    <cs:effectRef idx="0"/>
    <cs:fontRef idx="minor">
      <a:schemeClr val="tx2"/>
    </cs:fontRef>
    <cs:spPr>
      <a:solidFill>
        <a:schemeClr val="lt1"/>
      </a:solidFill>
      <a:ln w="9525">
        <a:solidFill>
          <a:schemeClr val="tx1">
            <a:lumMod val="15000"/>
            <a:lumOff val="85000"/>
          </a:schemeClr>
        </a:solidFill>
      </a:ln>
    </cs:spPr>
  </cs:upBar>
  <cs:valueAxis>
    <cs:lnRef idx="0"/>
    <cs:fillRef idx="0"/>
    <cs:effectRef idx="0"/>
    <cs:fontRef idx="minor">
      <a:schemeClr val="tx2"/>
    </cs:fontRef>
    <cs:spPr>
      <a:ln>
        <a:solidFill>
          <a:schemeClr val="tx2">
            <a:lumMod val="40000"/>
            <a:lumOff val="60000"/>
          </a:schemeClr>
        </a:solidFill>
      </a:ln>
    </cs:spPr>
    <cs:defRPr sz="900" kern="1200"/>
  </cs:valueAxis>
  <cs:wall>
    <cs:lnRef idx="0"/>
    <cs:fillRef idx="0"/>
    <cs:effectRef idx="0"/>
    <cs:fontRef idx="minor">
      <a:schemeClr val="tx2"/>
    </cs:fontRef>
  </cs:wall>
</cs:chartStyle>
</file>

<file path=word/charts/style6.xml><?xml version="1.0" encoding="utf-8"?>
<cs:chartStyle xmlns:cs="http://schemas.microsoft.com/office/drawing/2012/chartStyle" xmlns:a="http://schemas.openxmlformats.org/drawingml/2006/main" id="237">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3175" cap="flat" cmpd="sng" algn="ctr">
        <a:solidFill>
          <a:schemeClr val="tx1">
            <a:lumMod val="15000"/>
            <a:lumOff val="85000"/>
          </a:schemeClr>
        </a:solidFill>
        <a:round/>
        <a:tailEnd type="none" w="med" len="lg"/>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solidFill>
        <a:schemeClr val="phClr"/>
      </a:solidFill>
    </cs:spPr>
  </cs:dataPoint>
  <cs:dataPoint3D>
    <cs:lnRef idx="0"/>
    <cs:fillRef idx="0">
      <cs:styleClr val="auto"/>
    </cs:fillRef>
    <cs:effectRef idx="0"/>
    <cs:fontRef idx="minor">
      <a:schemeClr val="tx1"/>
    </cs:fontRef>
    <cs:spPr>
      <a:solidFill>
        <a:schemeClr val="phClr"/>
      </a:solidFill>
    </cs:spPr>
  </cs:dataPoint3D>
  <cs:dataPointLine>
    <cs:lnRef idx="0">
      <cs:styleClr val="auto"/>
    </cs:lnRef>
    <cs:fillRef idx="0"/>
    <cs:effectRef idx="0"/>
    <cs:fontRef idx="minor">
      <a:schemeClr val="tx1"/>
    </cs:fontRef>
    <cs:spPr>
      <a:ln w="38100" cap="flat" cmpd="dbl" algn="ctr">
        <a:solidFill>
          <a:schemeClr val="phClr"/>
        </a:solidFill>
        <a:miter lim="800000"/>
      </a:ln>
    </cs:spPr>
  </cs:dataPointLine>
  <cs:dataPointMarker>
    <cs:lnRef idx="0">
      <cs:styleClr val="auto"/>
    </cs:lnRef>
    <cs:fillRef idx="0">
      <cs:styleClr val="auto"/>
    </cs:fillRef>
    <cs:effectRef idx="0"/>
    <cs:fontRef idx="minor">
      <a:schemeClr val="tx1"/>
    </cs:fontRef>
    <cs:spPr>
      <a:solidFill>
        <a:schemeClr val="phClr"/>
      </a:solidFill>
      <a:ln w="9525" cap="flat" cmpd="sng" algn="ctr">
        <a:solidFill>
          <a:schemeClr val="lt1"/>
        </a:solidFill>
        <a:round/>
      </a:ln>
    </cs:spPr>
  </cs:dataPointMarker>
  <cs:dataPointMarkerLayout symbol="circle" size="6"/>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tx1">
            <a:lumMod val="65000"/>
            <a:lumOff val="35000"/>
          </a:schemeClr>
        </a:solidFill>
      </a:ln>
    </cs:spPr>
  </cs:downBar>
  <cs:dropLine>
    <cs:lnRef idx="0"/>
    <cs:fillRef idx="0"/>
    <cs:effectRef idx="0"/>
    <cs:fontRef idx="minor">
      <a:schemeClr val="tx1"/>
    </cs:fontRef>
    <cs:spPr>
      <a:ln w="9525">
        <a:solidFill>
          <a:schemeClr val="tx1">
            <a:lumMod val="35000"/>
            <a:lumOff val="65000"/>
          </a:schemeClr>
        </a:solidFill>
      </a:ln>
    </cs:spPr>
  </cs:dropLine>
  <cs:errorBar>
    <cs:lnRef idx="0"/>
    <cs:fillRef idx="0"/>
    <cs:effectRef idx="0"/>
    <cs:fontRef idx="minor">
      <a:schemeClr val="tx1"/>
    </cs:fontRef>
    <cs:spPr>
      <a:ln w="9525">
        <a:solidFill>
          <a:schemeClr val="tx1">
            <a:lumMod val="65000"/>
            <a:lumOff val="35000"/>
          </a:schemeClr>
        </a:solidFill>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tx1">
            <a:lumMod val="15000"/>
            <a:lumOff val="85000"/>
            <a:alpha val="32000"/>
          </a:schemeClr>
        </a:solidFill>
        <a:round/>
      </a:ln>
    </cs:spPr>
  </cs:gridlineMajor>
  <cs:gridlineMinor>
    <cs:lnRef idx="0"/>
    <cs:fillRef idx="0"/>
    <cs:effectRef idx="0"/>
    <cs:fontRef idx="minor">
      <a:schemeClr val="tx1"/>
    </cs:fontRef>
    <cs:spPr>
      <a:ln>
        <a:solidFill>
          <a:schemeClr val="tx1">
            <a:lumMod val="5000"/>
            <a:lumOff val="95000"/>
            <a:alpha val="32000"/>
          </a:schemeClr>
        </a:solidFill>
      </a:ln>
    </cs:spPr>
  </cs:gridlineMinor>
  <cs:hiLoLine>
    <cs:lnRef idx="0"/>
    <cs:fillRef idx="0"/>
    <cs:effectRef idx="0"/>
    <cs:fontRef idx="minor">
      <a:schemeClr val="tx1"/>
    </cs:fontRef>
    <cs:spPr>
      <a:ln w="9525">
        <a:solidFill>
          <a:schemeClr val="tx1"/>
        </a:solidFill>
      </a:ln>
    </cs:spPr>
  </cs:hiLoLine>
  <cs:leaderLine>
    <cs:lnRef idx="0"/>
    <cs:fillRef idx="0"/>
    <cs:effectRef idx="0"/>
    <cs:fontRef idx="minor">
      <a:schemeClr val="tx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cs:fontRef>
    <cs:spPr>
      <a:ln w="3175" cap="flat" cmpd="sng" algn="ctr">
        <a:solidFill>
          <a:schemeClr val="tx1">
            <a:lumMod val="15000"/>
            <a:lumOff val="85000"/>
          </a:schemeClr>
        </a:solidFill>
        <a:round/>
        <a:tailEnd type="none" w="med" len="lg"/>
      </a:ln>
    </cs:spPr>
    <cs:defRPr sz="900" kern="1200"/>
  </cs:seriesAxis>
  <cs:seriesLine>
    <cs:lnRef idx="0"/>
    <cs:fillRef idx="0"/>
    <cs:effectRef idx="0"/>
    <cs:fontRef idx="minor">
      <a:schemeClr val="tx1"/>
    </cs:fontRef>
    <cs:spPr>
      <a:ln w="9525">
        <a:solidFill>
          <a:schemeClr val="tx1">
            <a:lumMod val="35000"/>
            <a:lumOff val="65000"/>
          </a:schemeClr>
        </a:solidFill>
      </a:ln>
    </cs:spPr>
  </cs:seriesLine>
  <cs:title>
    <cs:lnRef idx="0"/>
    <cs:fillRef idx="0"/>
    <cs:effectRef idx="0"/>
    <cs:fontRef idx="minor">
      <a:schemeClr val="tx1">
        <a:lumMod val="50000"/>
        <a:lumOff val="50000"/>
      </a:schemeClr>
    </cs:fontRef>
    <cs:defRPr sz="1800" b="1" kern="1200" cap="all" spc="150" baseline="0"/>
  </cs:title>
  <cs:trendline>
    <cs:lnRef idx="0">
      <cs:styleClr val="auto"/>
    </cs:lnRef>
    <cs:fillRef idx="0"/>
    <cs:effectRef idx="0"/>
    <cs:fontRef idx="minor">
      <a:schemeClr val="tx1"/>
    </cs:fontRef>
    <cs:spPr>
      <a:ln w="12700" cap="rnd"/>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spPr>
      <a:ln w="3175" cap="flat" cmpd="sng" algn="ctr">
        <a:solidFill>
          <a:schemeClr val="tx1">
            <a:lumMod val="15000"/>
            <a:lumOff val="85000"/>
          </a:schemeClr>
        </a:solidFill>
        <a:round/>
        <a:tailEnd type="none" w="med" len="lg"/>
      </a:ln>
    </cs:spPr>
    <cs:defRPr sz="900" kern="1200"/>
  </cs:valueAxis>
  <cs:wall>
    <cs:lnRef idx="0"/>
    <cs:fillRef idx="0"/>
    <cs:effectRef idx="0"/>
    <cs:fontRef idx="minor">
      <a:schemeClr val="tx1"/>
    </cs:fontRef>
  </cs:wall>
</cs:chartStyle>
</file>

<file path=word/diagrams/colors1.xml><?xml version="1.0" encoding="utf-8"?>
<dgm:colorsDef xmlns:dgm="http://schemas.openxmlformats.org/drawingml/2006/diagram" xmlns:a="http://schemas.openxmlformats.org/drawingml/2006/main" uniqueId="urn:microsoft.com/office/officeart/2005/8/colors/colorful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B4926959-5711-4309-9A59-93A4DAFF067A}" type="doc">
      <dgm:prSet loTypeId="urn:microsoft.com/office/officeart/2005/8/layout/process1" loCatId="process" qsTypeId="urn:microsoft.com/office/officeart/2005/8/quickstyle/simple1" qsCatId="simple" csTypeId="urn:microsoft.com/office/officeart/2005/8/colors/colorful1" csCatId="colorful" phldr="1"/>
      <dgm:spPr/>
    </dgm:pt>
    <dgm:pt modelId="{3A3CFA00-DD52-44C1-9B40-24B2866EAFA7}">
      <dgm:prSet phldrT="[Text]"/>
      <dgm:spPr/>
      <dgm:t>
        <a:bodyPr/>
        <a:lstStyle/>
        <a:p>
          <a:r>
            <a:rPr lang="en-US" b="1"/>
            <a:t>Primavera</a:t>
          </a:r>
        </a:p>
      </dgm:t>
    </dgm:pt>
    <dgm:pt modelId="{DF4A2CC1-C786-484E-A53D-AC5964F1F46C}" type="parTrans" cxnId="{14595811-B3F7-4C10-AB21-1EB91C6FF287}">
      <dgm:prSet/>
      <dgm:spPr/>
      <dgm:t>
        <a:bodyPr/>
        <a:lstStyle/>
        <a:p>
          <a:endParaRPr lang="en-US"/>
        </a:p>
      </dgm:t>
    </dgm:pt>
    <dgm:pt modelId="{48295C46-0AD5-41AE-BC66-6EA501142466}" type="sibTrans" cxnId="{14595811-B3F7-4C10-AB21-1EB91C6FF287}">
      <dgm:prSet/>
      <dgm:spPr/>
      <dgm:t>
        <a:bodyPr/>
        <a:lstStyle/>
        <a:p>
          <a:endParaRPr lang="en-US"/>
        </a:p>
      </dgm:t>
    </dgm:pt>
    <dgm:pt modelId="{5EFD15F0-A863-4ECA-8695-DBF0DD0793D6}">
      <dgm:prSet phldrT="[Text]"/>
      <dgm:spPr/>
      <dgm:t>
        <a:bodyPr/>
        <a:lstStyle/>
        <a:p>
          <a:r>
            <a:rPr lang="en-US" b="1"/>
            <a:t>ERP (SAP)</a:t>
          </a:r>
        </a:p>
      </dgm:t>
    </dgm:pt>
    <dgm:pt modelId="{D48C578F-FDD8-4C73-B477-11BDAD547CE5}" type="parTrans" cxnId="{B279A2DF-AE2A-45C9-90D0-CD6F2B8148C4}">
      <dgm:prSet/>
      <dgm:spPr/>
      <dgm:t>
        <a:bodyPr/>
        <a:lstStyle/>
        <a:p>
          <a:endParaRPr lang="en-US"/>
        </a:p>
      </dgm:t>
    </dgm:pt>
    <dgm:pt modelId="{D6D38EE5-2AE2-414A-900E-BE879B0E7531}" type="sibTrans" cxnId="{B279A2DF-AE2A-45C9-90D0-CD6F2B8148C4}">
      <dgm:prSet/>
      <dgm:spPr/>
      <dgm:t>
        <a:bodyPr/>
        <a:lstStyle/>
        <a:p>
          <a:endParaRPr lang="en-US"/>
        </a:p>
      </dgm:t>
    </dgm:pt>
    <dgm:pt modelId="{38515EFB-B398-427E-B63D-1A70DC0BF4B5}">
      <dgm:prSet phldrT="[Text]"/>
      <dgm:spPr/>
      <dgm:t>
        <a:bodyPr/>
        <a:lstStyle/>
        <a:p>
          <a:r>
            <a:rPr lang="en-US" b="1"/>
            <a:t>Dashboard</a:t>
          </a:r>
        </a:p>
      </dgm:t>
    </dgm:pt>
    <dgm:pt modelId="{E1B00324-690A-46BA-A1C8-86B781B4F89F}" type="parTrans" cxnId="{FFFD0F43-7F27-4A39-908B-D556CDF7FE6A}">
      <dgm:prSet/>
      <dgm:spPr/>
      <dgm:t>
        <a:bodyPr/>
        <a:lstStyle/>
        <a:p>
          <a:endParaRPr lang="en-US"/>
        </a:p>
      </dgm:t>
    </dgm:pt>
    <dgm:pt modelId="{100CB1B9-09A0-4BC1-BAA9-D51CFEDB51A9}" type="sibTrans" cxnId="{FFFD0F43-7F27-4A39-908B-D556CDF7FE6A}">
      <dgm:prSet/>
      <dgm:spPr/>
      <dgm:t>
        <a:bodyPr/>
        <a:lstStyle/>
        <a:p>
          <a:endParaRPr lang="en-US"/>
        </a:p>
      </dgm:t>
    </dgm:pt>
    <dgm:pt modelId="{8ED0C3A4-E8B0-49BA-B5BC-E69497B4DAA7}">
      <dgm:prSet phldrT="[Text]"/>
      <dgm:spPr/>
      <dgm:t>
        <a:bodyPr/>
        <a:lstStyle/>
        <a:p>
          <a:r>
            <a:rPr lang="en-US" b="1"/>
            <a:t>Reports</a:t>
          </a:r>
        </a:p>
      </dgm:t>
    </dgm:pt>
    <dgm:pt modelId="{E0E780D9-347B-48F2-BFB1-26B8F0F34227}" type="parTrans" cxnId="{997C0205-FF84-44B9-94C3-4954060DEE09}">
      <dgm:prSet/>
      <dgm:spPr/>
      <dgm:t>
        <a:bodyPr/>
        <a:lstStyle/>
        <a:p>
          <a:endParaRPr lang="en-US"/>
        </a:p>
      </dgm:t>
    </dgm:pt>
    <dgm:pt modelId="{9DE81C2E-2979-4746-82A9-4F4DF2665CB3}" type="sibTrans" cxnId="{997C0205-FF84-44B9-94C3-4954060DEE09}">
      <dgm:prSet/>
      <dgm:spPr/>
      <dgm:t>
        <a:bodyPr/>
        <a:lstStyle/>
        <a:p>
          <a:endParaRPr lang="en-US"/>
        </a:p>
      </dgm:t>
    </dgm:pt>
    <dgm:pt modelId="{F47E668A-0C73-49F3-B345-9EC93E3E2928}" type="pres">
      <dgm:prSet presAssocID="{B4926959-5711-4309-9A59-93A4DAFF067A}" presName="Name0" presStyleCnt="0">
        <dgm:presLayoutVars>
          <dgm:dir/>
          <dgm:resizeHandles val="exact"/>
        </dgm:presLayoutVars>
      </dgm:prSet>
      <dgm:spPr/>
    </dgm:pt>
    <dgm:pt modelId="{F42CB848-99E2-4700-84CB-F6810BFE2A5A}" type="pres">
      <dgm:prSet presAssocID="{3A3CFA00-DD52-44C1-9B40-24B2866EAFA7}" presName="node" presStyleLbl="node1" presStyleIdx="0" presStyleCnt="4">
        <dgm:presLayoutVars>
          <dgm:bulletEnabled val="1"/>
        </dgm:presLayoutVars>
      </dgm:prSet>
      <dgm:spPr/>
    </dgm:pt>
    <dgm:pt modelId="{0145596E-2A7B-457D-A7FA-BEDD893A4A95}" type="pres">
      <dgm:prSet presAssocID="{48295C46-0AD5-41AE-BC66-6EA501142466}" presName="sibTrans" presStyleLbl="sibTrans2D1" presStyleIdx="0" presStyleCnt="3"/>
      <dgm:spPr/>
    </dgm:pt>
    <dgm:pt modelId="{FE2F1293-213F-4A88-847D-C1CE4A819859}" type="pres">
      <dgm:prSet presAssocID="{48295C46-0AD5-41AE-BC66-6EA501142466}" presName="connectorText" presStyleLbl="sibTrans2D1" presStyleIdx="0" presStyleCnt="3"/>
      <dgm:spPr/>
    </dgm:pt>
    <dgm:pt modelId="{00EB0CA9-1E07-4B09-AE9B-C1A84D509E25}" type="pres">
      <dgm:prSet presAssocID="{5EFD15F0-A863-4ECA-8695-DBF0DD0793D6}" presName="node" presStyleLbl="node1" presStyleIdx="1" presStyleCnt="4">
        <dgm:presLayoutVars>
          <dgm:bulletEnabled val="1"/>
        </dgm:presLayoutVars>
      </dgm:prSet>
      <dgm:spPr/>
    </dgm:pt>
    <dgm:pt modelId="{8A36F9B7-6CF3-4504-998B-1B96F4107BF1}" type="pres">
      <dgm:prSet presAssocID="{D6D38EE5-2AE2-414A-900E-BE879B0E7531}" presName="sibTrans" presStyleLbl="sibTrans2D1" presStyleIdx="1" presStyleCnt="3"/>
      <dgm:spPr/>
    </dgm:pt>
    <dgm:pt modelId="{217A3925-187A-4E08-AC8B-9DCDF68B0A69}" type="pres">
      <dgm:prSet presAssocID="{D6D38EE5-2AE2-414A-900E-BE879B0E7531}" presName="connectorText" presStyleLbl="sibTrans2D1" presStyleIdx="1" presStyleCnt="3"/>
      <dgm:spPr/>
    </dgm:pt>
    <dgm:pt modelId="{9A8270BB-D882-4523-993F-B1863C0D9FD5}" type="pres">
      <dgm:prSet presAssocID="{38515EFB-B398-427E-B63D-1A70DC0BF4B5}" presName="node" presStyleLbl="node1" presStyleIdx="2" presStyleCnt="4">
        <dgm:presLayoutVars>
          <dgm:bulletEnabled val="1"/>
        </dgm:presLayoutVars>
      </dgm:prSet>
      <dgm:spPr/>
    </dgm:pt>
    <dgm:pt modelId="{6EFD2D3A-9CD7-499B-9AD3-C9552D49E02B}" type="pres">
      <dgm:prSet presAssocID="{100CB1B9-09A0-4BC1-BAA9-D51CFEDB51A9}" presName="sibTrans" presStyleLbl="sibTrans2D1" presStyleIdx="2" presStyleCnt="3"/>
      <dgm:spPr/>
    </dgm:pt>
    <dgm:pt modelId="{C13B1161-1ACB-4C9F-88AE-462D7609A84E}" type="pres">
      <dgm:prSet presAssocID="{100CB1B9-09A0-4BC1-BAA9-D51CFEDB51A9}" presName="connectorText" presStyleLbl="sibTrans2D1" presStyleIdx="2" presStyleCnt="3"/>
      <dgm:spPr/>
    </dgm:pt>
    <dgm:pt modelId="{22C9C60C-65DE-48A9-8479-54BB71936103}" type="pres">
      <dgm:prSet presAssocID="{8ED0C3A4-E8B0-49BA-B5BC-E69497B4DAA7}" presName="node" presStyleLbl="node1" presStyleIdx="3" presStyleCnt="4">
        <dgm:presLayoutVars>
          <dgm:bulletEnabled val="1"/>
        </dgm:presLayoutVars>
      </dgm:prSet>
      <dgm:spPr/>
    </dgm:pt>
  </dgm:ptLst>
  <dgm:cxnLst>
    <dgm:cxn modelId="{997C0205-FF84-44B9-94C3-4954060DEE09}" srcId="{B4926959-5711-4309-9A59-93A4DAFF067A}" destId="{8ED0C3A4-E8B0-49BA-B5BC-E69497B4DAA7}" srcOrd="3" destOrd="0" parTransId="{E0E780D9-347B-48F2-BFB1-26B8F0F34227}" sibTransId="{9DE81C2E-2979-4746-82A9-4F4DF2665CB3}"/>
    <dgm:cxn modelId="{14595811-B3F7-4C10-AB21-1EB91C6FF287}" srcId="{B4926959-5711-4309-9A59-93A4DAFF067A}" destId="{3A3CFA00-DD52-44C1-9B40-24B2866EAFA7}" srcOrd="0" destOrd="0" parTransId="{DF4A2CC1-C786-484E-A53D-AC5964F1F46C}" sibTransId="{48295C46-0AD5-41AE-BC66-6EA501142466}"/>
    <dgm:cxn modelId="{80B8003D-EA0B-4DD4-9301-D57806D0621F}" type="presOf" srcId="{48295C46-0AD5-41AE-BC66-6EA501142466}" destId="{0145596E-2A7B-457D-A7FA-BEDD893A4A95}" srcOrd="0" destOrd="0" presId="urn:microsoft.com/office/officeart/2005/8/layout/process1"/>
    <dgm:cxn modelId="{FFFD0F43-7F27-4A39-908B-D556CDF7FE6A}" srcId="{B4926959-5711-4309-9A59-93A4DAFF067A}" destId="{38515EFB-B398-427E-B63D-1A70DC0BF4B5}" srcOrd="2" destOrd="0" parTransId="{E1B00324-690A-46BA-A1C8-86B781B4F89F}" sibTransId="{100CB1B9-09A0-4BC1-BAA9-D51CFEDB51A9}"/>
    <dgm:cxn modelId="{B004806F-23A2-4992-A0E6-EFA82949D636}" type="presOf" srcId="{48295C46-0AD5-41AE-BC66-6EA501142466}" destId="{FE2F1293-213F-4A88-847D-C1CE4A819859}" srcOrd="1" destOrd="0" presId="urn:microsoft.com/office/officeart/2005/8/layout/process1"/>
    <dgm:cxn modelId="{3DACD382-F6BD-43D3-B66B-D41239AD571C}" type="presOf" srcId="{D6D38EE5-2AE2-414A-900E-BE879B0E7531}" destId="{217A3925-187A-4E08-AC8B-9DCDF68B0A69}" srcOrd="1" destOrd="0" presId="urn:microsoft.com/office/officeart/2005/8/layout/process1"/>
    <dgm:cxn modelId="{9DDEF7A4-DAFC-4FC5-9BFB-F3BC1EC0C333}" type="presOf" srcId="{B4926959-5711-4309-9A59-93A4DAFF067A}" destId="{F47E668A-0C73-49F3-B345-9EC93E3E2928}" srcOrd="0" destOrd="0" presId="urn:microsoft.com/office/officeart/2005/8/layout/process1"/>
    <dgm:cxn modelId="{2A7495A9-DFF7-4BF3-8CF2-F536F06DC119}" type="presOf" srcId="{3A3CFA00-DD52-44C1-9B40-24B2866EAFA7}" destId="{F42CB848-99E2-4700-84CB-F6810BFE2A5A}" srcOrd="0" destOrd="0" presId="urn:microsoft.com/office/officeart/2005/8/layout/process1"/>
    <dgm:cxn modelId="{64221EC0-FE0E-4DE1-AEF8-67DAF7CE5CBD}" type="presOf" srcId="{100CB1B9-09A0-4BC1-BAA9-D51CFEDB51A9}" destId="{6EFD2D3A-9CD7-499B-9AD3-C9552D49E02B}" srcOrd="0" destOrd="0" presId="urn:microsoft.com/office/officeart/2005/8/layout/process1"/>
    <dgm:cxn modelId="{43B42BC6-3C1E-4E72-8ED7-F5B555FECE51}" type="presOf" srcId="{100CB1B9-09A0-4BC1-BAA9-D51CFEDB51A9}" destId="{C13B1161-1ACB-4C9F-88AE-462D7609A84E}" srcOrd="1" destOrd="0" presId="urn:microsoft.com/office/officeart/2005/8/layout/process1"/>
    <dgm:cxn modelId="{A7A22CC9-39C3-48ED-8119-A8234A316DB7}" type="presOf" srcId="{D6D38EE5-2AE2-414A-900E-BE879B0E7531}" destId="{8A36F9B7-6CF3-4504-998B-1B96F4107BF1}" srcOrd="0" destOrd="0" presId="urn:microsoft.com/office/officeart/2005/8/layout/process1"/>
    <dgm:cxn modelId="{B12E89D5-366E-45C2-A32D-394A35333B34}" type="presOf" srcId="{38515EFB-B398-427E-B63D-1A70DC0BF4B5}" destId="{9A8270BB-D882-4523-993F-B1863C0D9FD5}" srcOrd="0" destOrd="0" presId="urn:microsoft.com/office/officeart/2005/8/layout/process1"/>
    <dgm:cxn modelId="{B279A2DF-AE2A-45C9-90D0-CD6F2B8148C4}" srcId="{B4926959-5711-4309-9A59-93A4DAFF067A}" destId="{5EFD15F0-A863-4ECA-8695-DBF0DD0793D6}" srcOrd="1" destOrd="0" parTransId="{D48C578F-FDD8-4C73-B477-11BDAD547CE5}" sibTransId="{D6D38EE5-2AE2-414A-900E-BE879B0E7531}"/>
    <dgm:cxn modelId="{7D6D18F6-E71A-4E79-B5EF-69DA62EB694C}" type="presOf" srcId="{5EFD15F0-A863-4ECA-8695-DBF0DD0793D6}" destId="{00EB0CA9-1E07-4B09-AE9B-C1A84D509E25}" srcOrd="0" destOrd="0" presId="urn:microsoft.com/office/officeart/2005/8/layout/process1"/>
    <dgm:cxn modelId="{8C44F0F7-F7F9-4501-B5D0-6E3C8DA8D848}" type="presOf" srcId="{8ED0C3A4-E8B0-49BA-B5BC-E69497B4DAA7}" destId="{22C9C60C-65DE-48A9-8479-54BB71936103}" srcOrd="0" destOrd="0" presId="urn:microsoft.com/office/officeart/2005/8/layout/process1"/>
    <dgm:cxn modelId="{C1C93046-EDD7-445E-8362-215FEEC8D3EB}" type="presParOf" srcId="{F47E668A-0C73-49F3-B345-9EC93E3E2928}" destId="{F42CB848-99E2-4700-84CB-F6810BFE2A5A}" srcOrd="0" destOrd="0" presId="urn:microsoft.com/office/officeart/2005/8/layout/process1"/>
    <dgm:cxn modelId="{19477310-A3F4-4E9C-A716-FA1A143D57E0}" type="presParOf" srcId="{F47E668A-0C73-49F3-B345-9EC93E3E2928}" destId="{0145596E-2A7B-457D-A7FA-BEDD893A4A95}" srcOrd="1" destOrd="0" presId="urn:microsoft.com/office/officeart/2005/8/layout/process1"/>
    <dgm:cxn modelId="{4CF26C97-C874-4359-A686-5EAF3A6718B2}" type="presParOf" srcId="{0145596E-2A7B-457D-A7FA-BEDD893A4A95}" destId="{FE2F1293-213F-4A88-847D-C1CE4A819859}" srcOrd="0" destOrd="0" presId="urn:microsoft.com/office/officeart/2005/8/layout/process1"/>
    <dgm:cxn modelId="{1D961DF3-D66B-45A0-9167-7B269466E9B1}" type="presParOf" srcId="{F47E668A-0C73-49F3-B345-9EC93E3E2928}" destId="{00EB0CA9-1E07-4B09-AE9B-C1A84D509E25}" srcOrd="2" destOrd="0" presId="urn:microsoft.com/office/officeart/2005/8/layout/process1"/>
    <dgm:cxn modelId="{17F1C548-A5F0-4F57-94EB-C4958EC95D33}" type="presParOf" srcId="{F47E668A-0C73-49F3-B345-9EC93E3E2928}" destId="{8A36F9B7-6CF3-4504-998B-1B96F4107BF1}" srcOrd="3" destOrd="0" presId="urn:microsoft.com/office/officeart/2005/8/layout/process1"/>
    <dgm:cxn modelId="{2F779B2F-0BC7-4D2A-BADB-F317C790DE8E}" type="presParOf" srcId="{8A36F9B7-6CF3-4504-998B-1B96F4107BF1}" destId="{217A3925-187A-4E08-AC8B-9DCDF68B0A69}" srcOrd="0" destOrd="0" presId="urn:microsoft.com/office/officeart/2005/8/layout/process1"/>
    <dgm:cxn modelId="{6234DD3B-F2BE-401A-BB30-060EE295240B}" type="presParOf" srcId="{F47E668A-0C73-49F3-B345-9EC93E3E2928}" destId="{9A8270BB-D882-4523-993F-B1863C0D9FD5}" srcOrd="4" destOrd="0" presId="urn:microsoft.com/office/officeart/2005/8/layout/process1"/>
    <dgm:cxn modelId="{546D7D8F-216C-46AF-BBCD-1BB7FB1DF023}" type="presParOf" srcId="{F47E668A-0C73-49F3-B345-9EC93E3E2928}" destId="{6EFD2D3A-9CD7-499B-9AD3-C9552D49E02B}" srcOrd="5" destOrd="0" presId="urn:microsoft.com/office/officeart/2005/8/layout/process1"/>
    <dgm:cxn modelId="{9BA5E7A9-363A-4FED-ADC0-051585454166}" type="presParOf" srcId="{6EFD2D3A-9CD7-499B-9AD3-C9552D49E02B}" destId="{C13B1161-1ACB-4C9F-88AE-462D7609A84E}" srcOrd="0" destOrd="0" presId="urn:microsoft.com/office/officeart/2005/8/layout/process1"/>
    <dgm:cxn modelId="{B655077A-B7DB-4D43-838E-F2862B3F478F}" type="presParOf" srcId="{F47E668A-0C73-49F3-B345-9EC93E3E2928}" destId="{22C9C60C-65DE-48A9-8479-54BB71936103}" srcOrd="6" destOrd="0" presId="urn:microsoft.com/office/officeart/2005/8/layout/process1"/>
  </dgm:cxnLst>
  <dgm:bg/>
  <dgm:whole/>
  <dgm:extLst>
    <a:ext uri="http://schemas.microsoft.com/office/drawing/2008/diagram">
      <dsp:dataModelExt xmlns:dsp="http://schemas.microsoft.com/office/drawing/2008/diagram" relId="rId21"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F42CB848-99E2-4700-84CB-F6810BFE2A5A}">
      <dsp:nvSpPr>
        <dsp:cNvPr id="0" name=""/>
        <dsp:cNvSpPr/>
      </dsp:nvSpPr>
      <dsp:spPr>
        <a:xfrm>
          <a:off x="2564" y="782729"/>
          <a:ext cx="1121290" cy="672774"/>
        </a:xfrm>
        <a:prstGeom prst="roundRect">
          <a:avLst>
            <a:gd name="adj" fmla="val 10000"/>
          </a:avLst>
        </a:prstGeom>
        <a:solidFill>
          <a:schemeClr val="accent2">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7150" tIns="57150" rIns="57150" bIns="57150" numCol="1" spcCol="1270" anchor="ctr" anchorCtr="0">
          <a:noAutofit/>
        </a:bodyPr>
        <a:lstStyle/>
        <a:p>
          <a:pPr marL="0" lvl="0" indent="0" algn="ctr" defTabSz="666750">
            <a:lnSpc>
              <a:spcPct val="90000"/>
            </a:lnSpc>
            <a:spcBef>
              <a:spcPct val="0"/>
            </a:spcBef>
            <a:spcAft>
              <a:spcPct val="35000"/>
            </a:spcAft>
            <a:buNone/>
          </a:pPr>
          <a:r>
            <a:rPr lang="en-US" sz="1500" b="1" kern="1200"/>
            <a:t>Primavera</a:t>
          </a:r>
        </a:p>
      </dsp:txBody>
      <dsp:txXfrm>
        <a:off x="22269" y="802434"/>
        <a:ext cx="1081880" cy="633364"/>
      </dsp:txXfrm>
    </dsp:sp>
    <dsp:sp modelId="{0145596E-2A7B-457D-A7FA-BEDD893A4A95}">
      <dsp:nvSpPr>
        <dsp:cNvPr id="0" name=""/>
        <dsp:cNvSpPr/>
      </dsp:nvSpPr>
      <dsp:spPr>
        <a:xfrm>
          <a:off x="1235984" y="980076"/>
          <a:ext cx="237713" cy="278080"/>
        </a:xfrm>
        <a:prstGeom prst="rightArrow">
          <a:avLst>
            <a:gd name="adj1" fmla="val 60000"/>
            <a:gd name="adj2" fmla="val 50000"/>
          </a:avLst>
        </a:prstGeom>
        <a:solidFill>
          <a:schemeClr val="accent2">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88950">
            <a:lnSpc>
              <a:spcPct val="90000"/>
            </a:lnSpc>
            <a:spcBef>
              <a:spcPct val="0"/>
            </a:spcBef>
            <a:spcAft>
              <a:spcPct val="35000"/>
            </a:spcAft>
            <a:buNone/>
          </a:pPr>
          <a:endParaRPr lang="en-US" sz="1100" kern="1200"/>
        </a:p>
      </dsp:txBody>
      <dsp:txXfrm>
        <a:off x="1235984" y="1035692"/>
        <a:ext cx="166399" cy="166848"/>
      </dsp:txXfrm>
    </dsp:sp>
    <dsp:sp modelId="{00EB0CA9-1E07-4B09-AE9B-C1A84D509E25}">
      <dsp:nvSpPr>
        <dsp:cNvPr id="0" name=""/>
        <dsp:cNvSpPr/>
      </dsp:nvSpPr>
      <dsp:spPr>
        <a:xfrm>
          <a:off x="1572371" y="782729"/>
          <a:ext cx="1121290" cy="672774"/>
        </a:xfrm>
        <a:prstGeom prst="roundRect">
          <a:avLst>
            <a:gd name="adj" fmla="val 10000"/>
          </a:avLst>
        </a:prstGeom>
        <a:solidFill>
          <a:schemeClr val="accent3">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7150" tIns="57150" rIns="57150" bIns="57150" numCol="1" spcCol="1270" anchor="ctr" anchorCtr="0">
          <a:noAutofit/>
        </a:bodyPr>
        <a:lstStyle/>
        <a:p>
          <a:pPr marL="0" lvl="0" indent="0" algn="ctr" defTabSz="666750">
            <a:lnSpc>
              <a:spcPct val="90000"/>
            </a:lnSpc>
            <a:spcBef>
              <a:spcPct val="0"/>
            </a:spcBef>
            <a:spcAft>
              <a:spcPct val="35000"/>
            </a:spcAft>
            <a:buNone/>
          </a:pPr>
          <a:r>
            <a:rPr lang="en-US" sz="1500" b="1" kern="1200"/>
            <a:t>ERP (SAP)</a:t>
          </a:r>
        </a:p>
      </dsp:txBody>
      <dsp:txXfrm>
        <a:off x="1592076" y="802434"/>
        <a:ext cx="1081880" cy="633364"/>
      </dsp:txXfrm>
    </dsp:sp>
    <dsp:sp modelId="{8A36F9B7-6CF3-4504-998B-1B96F4107BF1}">
      <dsp:nvSpPr>
        <dsp:cNvPr id="0" name=""/>
        <dsp:cNvSpPr/>
      </dsp:nvSpPr>
      <dsp:spPr>
        <a:xfrm>
          <a:off x="2805790" y="980076"/>
          <a:ext cx="237713" cy="278080"/>
        </a:xfrm>
        <a:prstGeom prst="rightArrow">
          <a:avLst>
            <a:gd name="adj1" fmla="val 60000"/>
            <a:gd name="adj2" fmla="val 50000"/>
          </a:avLst>
        </a:prstGeom>
        <a:solidFill>
          <a:schemeClr val="accent3">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88950">
            <a:lnSpc>
              <a:spcPct val="90000"/>
            </a:lnSpc>
            <a:spcBef>
              <a:spcPct val="0"/>
            </a:spcBef>
            <a:spcAft>
              <a:spcPct val="35000"/>
            </a:spcAft>
            <a:buNone/>
          </a:pPr>
          <a:endParaRPr lang="en-US" sz="1100" kern="1200"/>
        </a:p>
      </dsp:txBody>
      <dsp:txXfrm>
        <a:off x="2805790" y="1035692"/>
        <a:ext cx="166399" cy="166848"/>
      </dsp:txXfrm>
    </dsp:sp>
    <dsp:sp modelId="{9A8270BB-D882-4523-993F-B1863C0D9FD5}">
      <dsp:nvSpPr>
        <dsp:cNvPr id="0" name=""/>
        <dsp:cNvSpPr/>
      </dsp:nvSpPr>
      <dsp:spPr>
        <a:xfrm>
          <a:off x="3142178" y="782729"/>
          <a:ext cx="1121290" cy="672774"/>
        </a:xfrm>
        <a:prstGeom prst="roundRect">
          <a:avLst>
            <a:gd name="adj" fmla="val 10000"/>
          </a:avLst>
        </a:prstGeom>
        <a:solidFill>
          <a:schemeClr val="accent4">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7150" tIns="57150" rIns="57150" bIns="57150" numCol="1" spcCol="1270" anchor="ctr" anchorCtr="0">
          <a:noAutofit/>
        </a:bodyPr>
        <a:lstStyle/>
        <a:p>
          <a:pPr marL="0" lvl="0" indent="0" algn="ctr" defTabSz="666750">
            <a:lnSpc>
              <a:spcPct val="90000"/>
            </a:lnSpc>
            <a:spcBef>
              <a:spcPct val="0"/>
            </a:spcBef>
            <a:spcAft>
              <a:spcPct val="35000"/>
            </a:spcAft>
            <a:buNone/>
          </a:pPr>
          <a:r>
            <a:rPr lang="en-US" sz="1500" b="1" kern="1200"/>
            <a:t>Dashboard</a:t>
          </a:r>
        </a:p>
      </dsp:txBody>
      <dsp:txXfrm>
        <a:off x="3161883" y="802434"/>
        <a:ext cx="1081880" cy="633364"/>
      </dsp:txXfrm>
    </dsp:sp>
    <dsp:sp modelId="{6EFD2D3A-9CD7-499B-9AD3-C9552D49E02B}">
      <dsp:nvSpPr>
        <dsp:cNvPr id="0" name=""/>
        <dsp:cNvSpPr/>
      </dsp:nvSpPr>
      <dsp:spPr>
        <a:xfrm>
          <a:off x="4375597" y="980076"/>
          <a:ext cx="237713" cy="278080"/>
        </a:xfrm>
        <a:prstGeom prst="rightArrow">
          <a:avLst>
            <a:gd name="adj1" fmla="val 60000"/>
            <a:gd name="adj2" fmla="val 50000"/>
          </a:avLst>
        </a:prstGeom>
        <a:solidFill>
          <a:schemeClr val="accent4">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88950">
            <a:lnSpc>
              <a:spcPct val="90000"/>
            </a:lnSpc>
            <a:spcBef>
              <a:spcPct val="0"/>
            </a:spcBef>
            <a:spcAft>
              <a:spcPct val="35000"/>
            </a:spcAft>
            <a:buNone/>
          </a:pPr>
          <a:endParaRPr lang="en-US" sz="1100" kern="1200"/>
        </a:p>
      </dsp:txBody>
      <dsp:txXfrm>
        <a:off x="4375597" y="1035692"/>
        <a:ext cx="166399" cy="166848"/>
      </dsp:txXfrm>
    </dsp:sp>
    <dsp:sp modelId="{22C9C60C-65DE-48A9-8479-54BB71936103}">
      <dsp:nvSpPr>
        <dsp:cNvPr id="0" name=""/>
        <dsp:cNvSpPr/>
      </dsp:nvSpPr>
      <dsp:spPr>
        <a:xfrm>
          <a:off x="4711984" y="782729"/>
          <a:ext cx="1121290" cy="672774"/>
        </a:xfrm>
        <a:prstGeom prst="roundRect">
          <a:avLst>
            <a:gd name="adj" fmla="val 10000"/>
          </a:avLst>
        </a:prstGeom>
        <a:solidFill>
          <a:schemeClr val="accent5">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7150" tIns="57150" rIns="57150" bIns="57150" numCol="1" spcCol="1270" anchor="ctr" anchorCtr="0">
          <a:noAutofit/>
        </a:bodyPr>
        <a:lstStyle/>
        <a:p>
          <a:pPr marL="0" lvl="0" indent="0" algn="ctr" defTabSz="666750">
            <a:lnSpc>
              <a:spcPct val="90000"/>
            </a:lnSpc>
            <a:spcBef>
              <a:spcPct val="0"/>
            </a:spcBef>
            <a:spcAft>
              <a:spcPct val="35000"/>
            </a:spcAft>
            <a:buNone/>
          </a:pPr>
          <a:r>
            <a:rPr lang="en-US" sz="1500" b="1" kern="1200"/>
            <a:t>Reports</a:t>
          </a:r>
        </a:p>
      </dsp:txBody>
      <dsp:txXfrm>
        <a:off x="4731689" y="802434"/>
        <a:ext cx="1081880" cy="633364"/>
      </dsp:txXfrm>
    </dsp:sp>
  </dsp:spTree>
</dsp:drawing>
</file>

<file path=word/diagrams/layout1.xml><?xml version="1.0" encoding="utf-8"?>
<dgm:layoutDef xmlns:dgm="http://schemas.openxmlformats.org/drawingml/2006/diagram" xmlns:a="http://schemas.openxmlformats.org/drawingml/2006/main" uniqueId="urn:microsoft.com/office/officeart/2005/8/layout/process1">
  <dgm:title val=""/>
  <dgm:desc val=""/>
  <dgm:catLst>
    <dgm:cat type="process" pri="1000"/>
    <dgm:cat type="convert" pri="15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resizeHandles val="exact"/>
    </dgm:varLst>
    <dgm:choose name="Name1">
      <dgm:if name="Name2" func="var" arg="dir" op="equ" val="norm">
        <dgm:alg type="lin"/>
      </dgm:if>
      <dgm:else name="Name3">
        <dgm:alg type="lin">
          <dgm:param type="linDir" val="fromR"/>
        </dgm:alg>
      </dgm:else>
    </dgm:choose>
    <dgm:shape xmlns:r="http://schemas.openxmlformats.org/officeDocument/2006/relationships" r:blip="">
      <dgm:adjLst/>
    </dgm:shape>
    <dgm:presOf/>
    <dgm:constrLst>
      <dgm:constr type="w" for="ch" ptType="node" refType="w"/>
      <dgm:constr type="h" for="ch" ptType="node" op="equ"/>
      <dgm:constr type="primFontSz" for="ch" ptType="node" op="equ" val="65"/>
      <dgm:constr type="w" for="ch" ptType="sibTrans" refType="w" refFor="ch" refPtType="node" op="equ" fact="0.4"/>
      <dgm:constr type="h" for="ch" ptType="sibTrans" op="equ"/>
      <dgm:constr type="primFontSz" for="des" forName="connectorText" op="equ" val="55"/>
      <dgm:constr type="primFontSz" for="des" forName="connectorText" refType="primFontSz" refFor="ch" refPtType="node" op="lte" fact="0.8"/>
    </dgm:constrLst>
    <dgm:ruleLst/>
    <dgm:forEach name="nodesForEach" axis="ch" ptType="node">
      <dgm:layoutNode name="node">
        <dgm:varLst>
          <dgm:bulletEnabled val="1"/>
        </dgm:varLst>
        <dgm:alg type="tx"/>
        <dgm:shape xmlns:r="http://schemas.openxmlformats.org/officeDocument/2006/relationships" type="roundRect" r:blip="">
          <dgm:adjLst>
            <dgm:adj idx="1" val="0.1"/>
          </dgm:adjLst>
        </dgm:shape>
        <dgm:presOf axis="desOrSelf" ptType="node"/>
        <dgm:constrLst>
          <dgm:constr type="h" refType="w" fact="0.6"/>
          <dgm:constr type="tMarg" refType="primFontSz" fact="0.3"/>
          <dgm:constr type="bMarg" refType="primFontSz" fact="0.3"/>
          <dgm:constr type="lMarg" refType="primFontSz" fact="0.3"/>
          <dgm:constr type="rMarg" refType="primFontSz" fact="0.3"/>
        </dgm:constrLst>
        <dgm:ruleLst>
          <dgm:rule type="primFontSz" val="18" fact="NaN" max="NaN"/>
          <dgm:rule type="h" val="NaN" fact="1.5" max="NaN"/>
          <dgm:rule type="primFontSz" val="5" fact="NaN" max="NaN"/>
          <dgm:rule type="h" val="INF" fact="NaN" max="NaN"/>
        </dgm:ruleLst>
      </dgm:layoutNode>
      <dgm:forEach name="sibTransForEach" axis="followSib" ptType="sibTrans" cnt="1">
        <dgm:layoutNode name="sibTrans">
          <dgm:alg type="conn">
            <dgm:param type="begPts" val="auto"/>
            <dgm:param type="endPts" val="auto"/>
          </dgm:alg>
          <dgm:shape xmlns:r="http://schemas.openxmlformats.org/officeDocument/2006/relationships" type="conn" r:blip="">
            <dgm:adjLst/>
          </dgm:shape>
          <dgm:presOf axis="self"/>
          <dgm:constrLst>
            <dgm:constr type="h" refType="w" fact="0.62"/>
            <dgm:constr type="connDist"/>
            <dgm:constr type="begPad" refType="connDist" fact="0.25"/>
            <dgm:constr type="endPad" refType="connDist" fact="0.22"/>
          </dgm:constrLst>
          <dgm:ruleLst/>
          <dgm:layoutNode name="connectorText">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22</TotalTime>
  <Pages>27</Pages>
  <Words>5761</Words>
  <Characters>32839</Characters>
  <Application>Microsoft Office Word</Application>
  <DocSecurity>0</DocSecurity>
  <Lines>273</Lines>
  <Paragraphs>77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38523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ARMIN POLYAK</dc:creator>
  <cp:keywords/>
  <dc:description/>
  <cp:lastModifiedBy>ARMIN POLYAK</cp:lastModifiedBy>
  <cp:revision>8</cp:revision>
  <dcterms:created xsi:type="dcterms:W3CDTF">2026-03-23T21:29:00Z</dcterms:created>
  <dcterms:modified xsi:type="dcterms:W3CDTF">2026-03-23T21:57:00Z</dcterms:modified>
</cp:coreProperties>
</file>