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972AC" w14:textId="14354B63"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r w:rsidRPr="009F1177">
        <w:rPr>
          <w:rFonts w:ascii="TimesNewRomanPS-BoldMT" w:eastAsia="Times New Roman" w:hAnsi="TimesNewRomanPS-BoldMT" w:cs="Times New Roman"/>
          <w:b/>
          <w:bCs/>
          <w:color w:val="242424"/>
          <w:kern w:val="0"/>
          <w:sz w:val="56"/>
          <w:szCs w:val="56"/>
          <w:bdr w:val="none" w:sz="0" w:space="0" w:color="auto" w:frame="1"/>
          <w:lang w:eastAsia="en-GB"/>
          <w14:ligatures w14:val="none"/>
        </w:rPr>
        <w:t>Student Name:</w:t>
      </w:r>
      <w:r>
        <w:rPr>
          <w:rFonts w:ascii="TimesNewRomanPS-BoldMT" w:eastAsia="Times New Roman" w:hAnsi="TimesNewRomanPS-BoldMT" w:cs="Times New Roman"/>
          <w:b/>
          <w:bCs/>
          <w:color w:val="242424"/>
          <w:kern w:val="0"/>
          <w:sz w:val="56"/>
          <w:szCs w:val="56"/>
          <w:bdr w:val="none" w:sz="0" w:space="0" w:color="auto" w:frame="1"/>
          <w:lang w:eastAsia="en-GB"/>
          <w14:ligatures w14:val="none"/>
        </w:rPr>
        <w:t xml:space="preserve"> Jade Hibbert</w:t>
      </w:r>
    </w:p>
    <w:p w14:paraId="02311784"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305FCD10"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664ABBCD"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5C1381E9" w14:textId="29420A9C"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r w:rsidRPr="009F1177">
        <w:rPr>
          <w:rFonts w:ascii="TimesNewRomanPS-BoldMT" w:eastAsia="Times New Roman" w:hAnsi="TimesNewRomanPS-BoldMT" w:cs="Times New Roman"/>
          <w:b/>
          <w:bCs/>
          <w:color w:val="242424"/>
          <w:kern w:val="0"/>
          <w:sz w:val="56"/>
          <w:szCs w:val="56"/>
          <w:bdr w:val="none" w:sz="0" w:space="0" w:color="auto" w:frame="1"/>
          <w:lang w:eastAsia="en-GB"/>
          <w14:ligatures w14:val="none"/>
        </w:rPr>
        <w:t>Student ID:</w:t>
      </w:r>
      <w:r>
        <w:rPr>
          <w:rFonts w:ascii="TimesNewRomanPS-BoldMT" w:eastAsia="Times New Roman" w:hAnsi="TimesNewRomanPS-BoldMT" w:cs="Times New Roman"/>
          <w:b/>
          <w:bCs/>
          <w:color w:val="242424"/>
          <w:kern w:val="0"/>
          <w:sz w:val="56"/>
          <w:szCs w:val="56"/>
          <w:bdr w:val="none" w:sz="0" w:space="0" w:color="auto" w:frame="1"/>
          <w:lang w:eastAsia="en-GB"/>
          <w14:ligatures w14:val="none"/>
        </w:rPr>
        <w:t xml:space="preserve"> 2428717</w:t>
      </w:r>
    </w:p>
    <w:p w14:paraId="736BAAB2"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048073D1"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4EE7C3DC"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2C51ABD6" w14:textId="0910FB2D"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r w:rsidRPr="009F1177">
        <w:rPr>
          <w:rFonts w:ascii="TimesNewRomanPS-BoldMT" w:eastAsia="Times New Roman" w:hAnsi="TimesNewRomanPS-BoldMT" w:cs="Times New Roman"/>
          <w:b/>
          <w:bCs/>
          <w:color w:val="242424"/>
          <w:kern w:val="0"/>
          <w:sz w:val="56"/>
          <w:szCs w:val="56"/>
          <w:bdr w:val="none" w:sz="0" w:space="0" w:color="auto" w:frame="1"/>
          <w:lang w:eastAsia="en-GB"/>
          <w14:ligatures w14:val="none"/>
        </w:rPr>
        <w:t>Course:</w:t>
      </w:r>
      <w:r>
        <w:rPr>
          <w:rFonts w:ascii="TimesNewRomanPS-BoldMT" w:eastAsia="Times New Roman" w:hAnsi="TimesNewRomanPS-BoldMT" w:cs="Times New Roman"/>
          <w:b/>
          <w:bCs/>
          <w:color w:val="242424"/>
          <w:kern w:val="0"/>
          <w:sz w:val="56"/>
          <w:szCs w:val="56"/>
          <w:bdr w:val="none" w:sz="0" w:space="0" w:color="auto" w:frame="1"/>
          <w:lang w:eastAsia="en-GB"/>
          <w14:ligatures w14:val="none"/>
        </w:rPr>
        <w:t xml:space="preserve"> developing and managing individuals and Teams</w:t>
      </w:r>
    </w:p>
    <w:p w14:paraId="5439ED35"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4D4DFA7F"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438FB7B9"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7B880906" w14:textId="005607DF" w:rsidR="00E52BD5" w:rsidRPr="009F1177" w:rsidRDefault="00E52BD5" w:rsidP="00E52BD5">
      <w:pPr>
        <w:shd w:val="clear" w:color="auto" w:fill="FFFFFF"/>
        <w:spacing w:after="0" w:line="480" w:lineRule="auto"/>
        <w:rPr>
          <w:rFonts w:ascii="Times New Roman" w:eastAsia="Times New Roman" w:hAnsi="Times New Roman" w:cs="Times New Roman"/>
          <w:color w:val="242424"/>
          <w:kern w:val="0"/>
          <w:sz w:val="56"/>
          <w:szCs w:val="56"/>
          <w:lang w:eastAsia="en-GB"/>
          <w14:ligatures w14:val="none"/>
        </w:rPr>
      </w:pPr>
      <w:r w:rsidRPr="009F1177">
        <w:rPr>
          <w:rFonts w:ascii="TimesNewRomanPS-BoldMT" w:eastAsia="Times New Roman" w:hAnsi="TimesNewRomanPS-BoldMT" w:cs="Times New Roman"/>
          <w:b/>
          <w:bCs/>
          <w:color w:val="242424"/>
          <w:kern w:val="0"/>
          <w:sz w:val="56"/>
          <w:szCs w:val="56"/>
          <w:bdr w:val="none" w:sz="0" w:space="0" w:color="auto" w:frame="1"/>
          <w:lang w:eastAsia="en-GB"/>
          <w14:ligatures w14:val="none"/>
        </w:rPr>
        <w:t>Unit:</w:t>
      </w:r>
      <w:r>
        <w:rPr>
          <w:rFonts w:ascii="TimesNewRomanPS-BoldMT" w:eastAsia="Times New Roman" w:hAnsi="TimesNewRomanPS-BoldMT" w:cs="Times New Roman"/>
          <w:b/>
          <w:bCs/>
          <w:color w:val="242424"/>
          <w:kern w:val="0"/>
          <w:sz w:val="56"/>
          <w:szCs w:val="56"/>
          <w:bdr w:val="none" w:sz="0" w:space="0" w:color="auto" w:frame="1"/>
          <w:lang w:eastAsia="en-GB"/>
          <w14:ligatures w14:val="none"/>
        </w:rPr>
        <w:t xml:space="preserve"> LCLM5002 component 2</w:t>
      </w:r>
    </w:p>
    <w:p w14:paraId="208CB9B3"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51BCC41E"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p>
    <w:p w14:paraId="51BCA6A9" w14:textId="69DC37C6"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56"/>
          <w:szCs w:val="56"/>
          <w:lang w:eastAsia="en-GB"/>
          <w14:ligatures w14:val="none"/>
        </w:rPr>
      </w:pPr>
      <w:r>
        <w:rPr>
          <w:rFonts w:ascii="TimesNewRomanPS-BoldMT" w:eastAsia="Times New Roman" w:hAnsi="TimesNewRomanPS-BoldMT" w:cs="Times New Roman"/>
          <w:b/>
          <w:bCs/>
          <w:color w:val="242424"/>
          <w:kern w:val="0"/>
          <w:sz w:val="56"/>
          <w:szCs w:val="56"/>
          <w:bdr w:val="none" w:sz="0" w:space="0" w:color="auto" w:frame="1"/>
          <w:lang w:eastAsia="en-GB"/>
          <w14:ligatures w14:val="none"/>
        </w:rPr>
        <w:t>Tutor</w:t>
      </w:r>
      <w:r w:rsidRPr="009F1177">
        <w:rPr>
          <w:rFonts w:ascii="TimesNewRomanPS-BoldMT" w:eastAsia="Times New Roman" w:hAnsi="TimesNewRomanPS-BoldMT" w:cs="Times New Roman"/>
          <w:b/>
          <w:bCs/>
          <w:color w:val="242424"/>
          <w:kern w:val="0"/>
          <w:sz w:val="56"/>
          <w:szCs w:val="56"/>
          <w:bdr w:val="none" w:sz="0" w:space="0" w:color="auto" w:frame="1"/>
          <w:lang w:eastAsia="en-GB"/>
          <w14:ligatures w14:val="none"/>
        </w:rPr>
        <w:t>:</w:t>
      </w:r>
      <w:r>
        <w:rPr>
          <w:rFonts w:ascii="TimesNewRomanPS-BoldMT" w:eastAsia="Times New Roman" w:hAnsi="TimesNewRomanPS-BoldMT" w:cs="Times New Roman"/>
          <w:b/>
          <w:bCs/>
          <w:color w:val="242424"/>
          <w:kern w:val="0"/>
          <w:sz w:val="56"/>
          <w:szCs w:val="56"/>
          <w:bdr w:val="none" w:sz="0" w:space="0" w:color="auto" w:frame="1"/>
          <w:lang w:eastAsia="en-GB"/>
          <w14:ligatures w14:val="none"/>
        </w:rPr>
        <w:t xml:space="preserve"> Doreen Nyaa </w:t>
      </w:r>
      <w:proofErr w:type="spellStart"/>
      <w:r>
        <w:rPr>
          <w:rFonts w:ascii="TimesNewRomanPS-BoldMT" w:eastAsia="Times New Roman" w:hAnsi="TimesNewRomanPS-BoldMT" w:cs="Times New Roman"/>
          <w:b/>
          <w:bCs/>
          <w:color w:val="242424"/>
          <w:kern w:val="0"/>
          <w:sz w:val="56"/>
          <w:szCs w:val="56"/>
          <w:bdr w:val="none" w:sz="0" w:space="0" w:color="auto" w:frame="1"/>
          <w:lang w:eastAsia="en-GB"/>
          <w14:ligatures w14:val="none"/>
        </w:rPr>
        <w:t>Amundam</w:t>
      </w:r>
      <w:proofErr w:type="spellEnd"/>
      <w:r>
        <w:rPr>
          <w:rFonts w:ascii="TimesNewRomanPS-BoldMT" w:eastAsia="Times New Roman" w:hAnsi="TimesNewRomanPS-BoldMT" w:cs="Times New Roman"/>
          <w:b/>
          <w:bCs/>
          <w:color w:val="242424"/>
          <w:kern w:val="0"/>
          <w:sz w:val="56"/>
          <w:szCs w:val="56"/>
          <w:bdr w:val="none" w:sz="0" w:space="0" w:color="auto" w:frame="1"/>
          <w:lang w:eastAsia="en-GB"/>
          <w14:ligatures w14:val="none"/>
        </w:rPr>
        <w:t xml:space="preserve"> </w:t>
      </w:r>
    </w:p>
    <w:p w14:paraId="4D529396"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18"/>
          <w:szCs w:val="18"/>
          <w:lang w:eastAsia="en-GB"/>
          <w14:ligatures w14:val="none"/>
        </w:rPr>
      </w:pPr>
    </w:p>
    <w:p w14:paraId="3656A240" w14:textId="73F4B46F" w:rsidR="00E52BD5" w:rsidRDefault="00E52BD5">
      <w:pPr>
        <w:rPr>
          <w:rFonts w:ascii="Arial" w:eastAsia="Times New Roman" w:hAnsi="Arial" w:cs="Arial"/>
          <w:color w:val="242424"/>
          <w:kern w:val="0"/>
          <w:sz w:val="22"/>
          <w:szCs w:val="22"/>
          <w:lang w:eastAsia="en-GB"/>
          <w14:ligatures w14:val="none"/>
        </w:rPr>
      </w:pPr>
    </w:p>
    <w:p w14:paraId="5EF43F4B" w14:textId="77777777" w:rsidR="00E52BD5" w:rsidRDefault="00E52BD5">
      <w:pPr>
        <w:rPr>
          <w:rFonts w:ascii="Arial" w:eastAsia="Times New Roman" w:hAnsi="Arial" w:cs="Arial"/>
          <w:color w:val="242424"/>
          <w:kern w:val="0"/>
          <w:sz w:val="22"/>
          <w:szCs w:val="22"/>
          <w:lang w:eastAsia="en-GB"/>
          <w14:ligatures w14:val="none"/>
        </w:rPr>
      </w:pPr>
    </w:p>
    <w:p w14:paraId="6B7C81E1" w14:textId="77777777" w:rsidR="00E52BD5" w:rsidRDefault="00E52BD5">
      <w:pPr>
        <w:rPr>
          <w:rFonts w:ascii="Arial" w:eastAsia="Times New Roman" w:hAnsi="Arial" w:cs="Arial"/>
          <w:color w:val="242424"/>
          <w:kern w:val="0"/>
          <w:sz w:val="22"/>
          <w:szCs w:val="22"/>
          <w:lang w:eastAsia="en-GB"/>
          <w14:ligatures w14:val="none"/>
        </w:rPr>
      </w:pPr>
    </w:p>
    <w:p w14:paraId="791835E2" w14:textId="77777777" w:rsidR="00E52BD5" w:rsidRDefault="00E52BD5">
      <w:pPr>
        <w:rPr>
          <w:rFonts w:ascii="Arial" w:eastAsia="Times New Roman" w:hAnsi="Arial" w:cs="Arial"/>
          <w:color w:val="242424"/>
          <w:kern w:val="0"/>
          <w:sz w:val="22"/>
          <w:szCs w:val="22"/>
          <w:lang w:eastAsia="en-GB"/>
          <w14:ligatures w14:val="none"/>
        </w:rPr>
      </w:pPr>
    </w:p>
    <w:p w14:paraId="6A4A924A" w14:textId="77777777" w:rsidR="00E52BD5" w:rsidRDefault="00E52BD5">
      <w:pPr>
        <w:rPr>
          <w:rFonts w:ascii="Arial" w:eastAsia="Times New Roman" w:hAnsi="Arial" w:cs="Arial"/>
          <w:color w:val="242424"/>
          <w:kern w:val="0"/>
          <w:sz w:val="22"/>
          <w:szCs w:val="22"/>
          <w:lang w:eastAsia="en-GB"/>
          <w14:ligatures w14:val="none"/>
        </w:rPr>
      </w:pPr>
    </w:p>
    <w:p w14:paraId="75A84523" w14:textId="77777777" w:rsidR="00E52BD5" w:rsidRDefault="00E52BD5">
      <w:pPr>
        <w:rPr>
          <w:rFonts w:ascii="Arial" w:eastAsia="Times New Roman" w:hAnsi="Arial" w:cs="Arial"/>
          <w:color w:val="242424"/>
          <w:kern w:val="0"/>
          <w:sz w:val="22"/>
          <w:szCs w:val="22"/>
          <w:lang w:eastAsia="en-GB"/>
          <w14:ligatures w14:val="none"/>
        </w:rPr>
      </w:pPr>
    </w:p>
    <w:p w14:paraId="59FF36DF" w14:textId="77777777" w:rsidR="00C0187E" w:rsidRPr="00C0187E" w:rsidRDefault="00C0187E" w:rsidP="00C0187E">
      <w:pPr>
        <w:shd w:val="clear" w:color="auto" w:fill="FFFFFF"/>
        <w:spacing w:after="240" w:line="240" w:lineRule="auto"/>
        <w:rPr>
          <w:rFonts w:ascii="Arial" w:eastAsia="Times New Roman" w:hAnsi="Arial" w:cs="Arial"/>
          <w:color w:val="242424"/>
          <w:kern w:val="0"/>
          <w:sz w:val="22"/>
          <w:szCs w:val="22"/>
          <w:lang w:eastAsia="en-GB"/>
          <w14:ligatures w14:val="none"/>
        </w:rPr>
      </w:pPr>
    </w:p>
    <w:p w14:paraId="6443C3B6"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Addressing Key Human Resource Challenges in Tesco plc</w:t>
      </w:r>
    </w:p>
    <w:p w14:paraId="16B7F6E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A8706CF"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191CEA59"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7E0782B" w14:textId="77777777" w:rsidR="009E4920" w:rsidRPr="00371ED5" w:rsidRDefault="00C0187E" w:rsidP="009E4920">
      <w:pPr>
        <w:shd w:val="clear" w:color="auto" w:fill="FFFFFF"/>
        <w:spacing w:after="0" w:line="240" w:lineRule="auto"/>
        <w:rPr>
          <w:rFonts w:ascii="Arial" w:eastAsia="Times New Roman" w:hAnsi="Arial" w:cs="Arial"/>
          <w:b/>
          <w:bCs/>
          <w:color w:val="242424"/>
          <w:kern w:val="0"/>
          <w:sz w:val="22"/>
          <w:szCs w:val="22"/>
          <w:bdr w:val="none" w:sz="0" w:space="0" w:color="auto" w:frame="1"/>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Introduction</w:t>
      </w:r>
    </w:p>
    <w:p w14:paraId="6D3E815E" w14:textId="77777777" w:rsidR="009E4920" w:rsidRPr="00371ED5" w:rsidRDefault="009E4920" w:rsidP="009E4920">
      <w:pPr>
        <w:shd w:val="clear" w:color="auto" w:fill="FFFFFF"/>
        <w:spacing w:after="0" w:line="240" w:lineRule="auto"/>
        <w:rPr>
          <w:rFonts w:ascii="Arial" w:eastAsia="Times New Roman" w:hAnsi="Arial" w:cs="Arial"/>
          <w:b/>
          <w:bCs/>
          <w:color w:val="242424"/>
          <w:kern w:val="0"/>
          <w:sz w:val="22"/>
          <w:szCs w:val="22"/>
          <w:bdr w:val="none" w:sz="0" w:space="0" w:color="auto" w:frame="1"/>
          <w:lang w:eastAsia="en-GB"/>
          <w14:ligatures w14:val="none"/>
        </w:rPr>
      </w:pPr>
    </w:p>
    <w:p w14:paraId="3D0F147C" w14:textId="11F5D2D6" w:rsidR="009E4920" w:rsidRPr="009F1177" w:rsidRDefault="009E4920" w:rsidP="009E4920">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Human Resource Management (HRM) is very important in helping organisations stay competitive, especially in fast-changing industries like retail. In the UK, companies such as Tesco plc are facing increasing pressure due to new technology, changing employee expectations, and the need to promote fairness and inclusion in the workplace (CIPD, 2023).</w:t>
      </w:r>
    </w:p>
    <w:p w14:paraId="0691BF7A" w14:textId="77777777" w:rsidR="009E4920" w:rsidRPr="009F1177" w:rsidRDefault="009E4920" w:rsidP="009E4920">
      <w:pPr>
        <w:shd w:val="clear" w:color="auto" w:fill="FFFFFF"/>
        <w:spacing w:after="0" w:line="240" w:lineRule="auto"/>
        <w:rPr>
          <w:rFonts w:ascii="Arial" w:eastAsia="Times New Roman" w:hAnsi="Arial" w:cs="Arial"/>
          <w:color w:val="242424"/>
          <w:kern w:val="0"/>
          <w:sz w:val="22"/>
          <w:szCs w:val="22"/>
          <w:lang w:eastAsia="en-GB"/>
          <w14:ligatures w14:val="none"/>
        </w:rPr>
      </w:pPr>
    </w:p>
    <w:p w14:paraId="206B6A6A" w14:textId="761B98BF" w:rsidR="009E4920" w:rsidRPr="009F1177" w:rsidRDefault="009E4920" w:rsidP="009E4920">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This report looks at three main HR challenges: keeping up with technology, attracting and retaining employees, and improving Diversity, Equity and Inclusion (DEI). It explains the key factors behind these challenges and discusses modern HR practices that can help. It also looks at the role of managers in making sure these practices are put into action quickly and effectively.</w:t>
      </w:r>
      <w:r w:rsidRPr="00371ED5">
        <w:rPr>
          <w:rFonts w:ascii="Arial" w:eastAsia="Times New Roman" w:hAnsi="Arial" w:cs="Arial"/>
          <w:color w:val="242424"/>
          <w:kern w:val="0"/>
          <w:sz w:val="22"/>
          <w:szCs w:val="22"/>
          <w:bdr w:val="none" w:sz="0" w:space="0" w:color="auto" w:frame="1"/>
          <w:lang w:eastAsia="en-GB"/>
          <w14:ligatures w14:val="none"/>
        </w:rPr>
        <w:t xml:space="preserve"> </w:t>
      </w:r>
      <w:r w:rsidRPr="00C0187E">
        <w:rPr>
          <w:rFonts w:ascii="Arial" w:eastAsia="Times New Roman" w:hAnsi="Arial" w:cs="Arial"/>
          <w:color w:val="242424"/>
          <w:kern w:val="0"/>
          <w:sz w:val="22"/>
          <w:szCs w:val="22"/>
          <w:bdr w:val="none" w:sz="0" w:space="0" w:color="auto" w:frame="1"/>
          <w:lang w:eastAsia="en-GB"/>
          <w14:ligatures w14:val="none"/>
        </w:rPr>
        <w:t>It analyses the underlying factors contributing to these challenges and evaluates contemporary HR practices that may address them.</w:t>
      </w:r>
      <w:r w:rsidRPr="00371ED5">
        <w:rPr>
          <w:rFonts w:ascii="Arial" w:eastAsia="Times New Roman" w:hAnsi="Arial" w:cs="Arial"/>
          <w:color w:val="242424"/>
          <w:kern w:val="0"/>
          <w:sz w:val="22"/>
          <w:szCs w:val="22"/>
          <w:bdr w:val="none" w:sz="0" w:space="0" w:color="auto" w:frame="1"/>
          <w:lang w:eastAsia="en-GB"/>
          <w14:ligatures w14:val="none"/>
        </w:rPr>
        <w:t xml:space="preserve"> </w:t>
      </w:r>
      <w:r w:rsidRPr="00C0187E">
        <w:rPr>
          <w:rFonts w:ascii="Arial" w:eastAsia="Times New Roman" w:hAnsi="Arial" w:cs="Arial"/>
          <w:color w:val="242424"/>
          <w:kern w:val="0"/>
          <w:sz w:val="22"/>
          <w:szCs w:val="22"/>
          <w:bdr w:val="none" w:sz="0" w:space="0" w:color="auto" w:frame="1"/>
          <w:lang w:eastAsia="en-GB"/>
          <w14:ligatures w14:val="none"/>
        </w:rPr>
        <w:t xml:space="preserve">It analyses the underlying factors contributing to these challenges and evaluates contemporary HR practices that may address them. </w:t>
      </w:r>
      <w:r w:rsidRPr="00371ED5">
        <w:rPr>
          <w:rFonts w:ascii="Arial" w:eastAsia="Times New Roman" w:hAnsi="Arial" w:cs="Arial"/>
          <w:color w:val="242424"/>
          <w:kern w:val="0"/>
          <w:sz w:val="22"/>
          <w:szCs w:val="22"/>
          <w:bdr w:val="none" w:sz="0" w:space="0" w:color="auto" w:frame="1"/>
          <w:lang w:eastAsia="en-GB"/>
          <w14:ligatures w14:val="none"/>
        </w:rPr>
        <w:t xml:space="preserve">And so, </w:t>
      </w:r>
      <w:r w:rsidRPr="00C0187E">
        <w:rPr>
          <w:rFonts w:ascii="Arial" w:eastAsia="Times New Roman" w:hAnsi="Arial" w:cs="Arial"/>
          <w:color w:val="242424"/>
          <w:kern w:val="0"/>
          <w:sz w:val="22"/>
          <w:szCs w:val="22"/>
          <w:bdr w:val="none" w:sz="0" w:space="0" w:color="auto" w:frame="1"/>
          <w:lang w:eastAsia="en-GB"/>
          <w14:ligatures w14:val="none"/>
        </w:rPr>
        <w:t>the report examines the role of departmental managers in ensuring the effective and timely implementation of such practices. The discussion aims to demonstrate how HR strategies can contribute to organisational performance and long-term sustainability.</w:t>
      </w:r>
    </w:p>
    <w:p w14:paraId="68B03D73"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4C325099" w14:textId="4AEB0736"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 xml:space="preserve">This report critically explores three key HR challenges faced by Tesco plc: adapting to technological advancement, attracting and retaining talent, and promoting Diversity, Equity and Inclusion (DEI). </w:t>
      </w:r>
    </w:p>
    <w:p w14:paraId="414AE60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41B885B4" w14:textId="77777777" w:rsidR="009E4920" w:rsidRPr="00371ED5" w:rsidRDefault="009E4920"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FA06C3C" w14:textId="77777777" w:rsidR="009E4920" w:rsidRPr="00C0187E" w:rsidRDefault="009E4920"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5B1EAED3" w14:textId="5BE2610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 xml:space="preserve">1. Factors Affecting HR Challenges </w:t>
      </w:r>
    </w:p>
    <w:p w14:paraId="4325AABF"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17142FEA"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C7EE544"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B2E69ED"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Technological Advancement</w:t>
      </w:r>
    </w:p>
    <w:p w14:paraId="2EA26544"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713B613"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410248C8" w14:textId="6A8BBD55" w:rsidR="00FF38DD" w:rsidRPr="009F1177" w:rsidRDefault="00FF38DD" w:rsidP="00FF38DD">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Technology is changing the way businesses operate, especially in retail. Tesco uses systems like self-checkouts and online shopping platforms. However, one major issue is the skills gap, where employees may not have the digital skills needed to use new systems (World Economic Forum, 2023).</w:t>
      </w:r>
      <w:r w:rsidRPr="00371ED5">
        <w:rPr>
          <w:rFonts w:ascii="Arial" w:eastAsia="Times New Roman" w:hAnsi="Arial" w:cs="Arial"/>
          <w:color w:val="242424"/>
          <w:kern w:val="0"/>
          <w:sz w:val="22"/>
          <w:szCs w:val="22"/>
          <w:bdr w:val="none" w:sz="0" w:space="0" w:color="auto" w:frame="1"/>
          <w:lang w:eastAsia="en-GB"/>
          <w14:ligatures w14:val="none"/>
        </w:rPr>
        <w:t xml:space="preserve"> </w:t>
      </w:r>
      <w:r w:rsidRPr="00C0187E">
        <w:rPr>
          <w:rFonts w:ascii="Arial" w:eastAsia="Times New Roman" w:hAnsi="Arial" w:cs="Arial"/>
          <w:color w:val="242424"/>
          <w:kern w:val="0"/>
          <w:sz w:val="22"/>
          <w:szCs w:val="22"/>
          <w:bdr w:val="none" w:sz="0" w:space="0" w:color="auto" w:frame="1"/>
          <w:lang w:eastAsia="en-GB"/>
          <w14:ligatures w14:val="none"/>
        </w:rPr>
        <w:t>Many employees may lack the necessary digital competencies, creating a need for continuous training and development.</w:t>
      </w:r>
    </w:p>
    <w:p w14:paraId="3A3CBE9C" w14:textId="30A30A89"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Technological innovation</w:t>
      </w:r>
      <w:r w:rsidR="00FF38DD" w:rsidRPr="00371ED5">
        <w:rPr>
          <w:rFonts w:ascii="Arial" w:eastAsia="Times New Roman" w:hAnsi="Arial" w:cs="Arial"/>
          <w:color w:val="242424"/>
          <w:kern w:val="0"/>
          <w:sz w:val="22"/>
          <w:szCs w:val="22"/>
          <w:bdr w:val="none" w:sz="0" w:space="0" w:color="auto" w:frame="1"/>
          <w:lang w:eastAsia="en-GB"/>
          <w14:ligatures w14:val="none"/>
        </w:rPr>
        <w:t xml:space="preserve"> will always</w:t>
      </w:r>
      <w:r w:rsidRPr="00C0187E">
        <w:rPr>
          <w:rFonts w:ascii="Arial" w:eastAsia="Times New Roman" w:hAnsi="Arial" w:cs="Arial"/>
          <w:color w:val="242424"/>
          <w:kern w:val="0"/>
          <w:sz w:val="22"/>
          <w:szCs w:val="22"/>
          <w:bdr w:val="none" w:sz="0" w:space="0" w:color="auto" w:frame="1"/>
          <w:lang w:eastAsia="en-GB"/>
          <w14:ligatures w14:val="none"/>
        </w:rPr>
        <w:t xml:space="preserve"> </w:t>
      </w:r>
      <w:r w:rsidR="00FF38DD" w:rsidRPr="00371ED5">
        <w:rPr>
          <w:rFonts w:ascii="Arial" w:eastAsia="Times New Roman" w:hAnsi="Arial" w:cs="Arial"/>
          <w:color w:val="242424"/>
          <w:kern w:val="0"/>
          <w:sz w:val="22"/>
          <w:szCs w:val="22"/>
          <w:bdr w:val="none" w:sz="0" w:space="0" w:color="auto" w:frame="1"/>
          <w:lang w:eastAsia="en-GB"/>
          <w14:ligatures w14:val="none"/>
        </w:rPr>
        <w:t>continue</w:t>
      </w:r>
      <w:r w:rsidRPr="00C0187E">
        <w:rPr>
          <w:rFonts w:ascii="Arial" w:eastAsia="Times New Roman" w:hAnsi="Arial" w:cs="Arial"/>
          <w:color w:val="242424"/>
          <w:kern w:val="0"/>
          <w:sz w:val="22"/>
          <w:szCs w:val="22"/>
          <w:bdr w:val="none" w:sz="0" w:space="0" w:color="auto" w:frame="1"/>
          <w:lang w:eastAsia="en-GB"/>
          <w14:ligatures w14:val="none"/>
        </w:rPr>
        <w:t xml:space="preserve"> to reshape the retail industry, requiring organisations to adapt rapidly </w:t>
      </w:r>
      <w:proofErr w:type="gramStart"/>
      <w:r w:rsidRPr="00C0187E">
        <w:rPr>
          <w:rFonts w:ascii="Arial" w:eastAsia="Times New Roman" w:hAnsi="Arial" w:cs="Arial"/>
          <w:color w:val="242424"/>
          <w:kern w:val="0"/>
          <w:sz w:val="22"/>
          <w:szCs w:val="22"/>
          <w:bdr w:val="none" w:sz="0" w:space="0" w:color="auto" w:frame="1"/>
          <w:lang w:eastAsia="en-GB"/>
          <w14:ligatures w14:val="none"/>
        </w:rPr>
        <w:t>in order to</w:t>
      </w:r>
      <w:proofErr w:type="gramEnd"/>
      <w:r w:rsidRPr="00C0187E">
        <w:rPr>
          <w:rFonts w:ascii="Arial" w:eastAsia="Times New Roman" w:hAnsi="Arial" w:cs="Arial"/>
          <w:color w:val="242424"/>
          <w:kern w:val="0"/>
          <w:sz w:val="22"/>
          <w:szCs w:val="22"/>
          <w:bdr w:val="none" w:sz="0" w:space="0" w:color="auto" w:frame="1"/>
          <w:lang w:eastAsia="en-GB"/>
          <w14:ligatures w14:val="none"/>
        </w:rPr>
        <w:t xml:space="preserve"> remain competitive. </w:t>
      </w:r>
    </w:p>
    <w:p w14:paraId="52E7EE3E" w14:textId="082385A9" w:rsidR="00C0187E" w:rsidRDefault="00C0187E" w:rsidP="00C0187E">
      <w:pPr>
        <w:shd w:val="clear" w:color="auto" w:fill="FFFFFF"/>
        <w:spacing w:after="0" w:line="240" w:lineRule="auto"/>
        <w:rPr>
          <w:rFonts w:ascii="Arial" w:eastAsia="Times New Roman" w:hAnsi="Arial" w:cs="Arial"/>
          <w:color w:val="242424"/>
          <w:kern w:val="0"/>
          <w:sz w:val="22"/>
          <w:szCs w:val="22"/>
          <w:bdr w:val="none" w:sz="0" w:space="0" w:color="auto" w:frame="1"/>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Additionally, technological change can generate employee resistance</w:t>
      </w:r>
      <w:r w:rsidR="00FF38DD" w:rsidRPr="00371ED5">
        <w:rPr>
          <w:rFonts w:ascii="Arial" w:eastAsia="Times New Roman" w:hAnsi="Arial" w:cs="Arial"/>
          <w:color w:val="242424"/>
          <w:kern w:val="0"/>
          <w:sz w:val="22"/>
          <w:szCs w:val="22"/>
          <w:bdr w:val="none" w:sz="0" w:space="0" w:color="auto" w:frame="1"/>
          <w:lang w:eastAsia="en-GB"/>
          <w14:ligatures w14:val="none"/>
        </w:rPr>
        <w:t xml:space="preserve"> to change</w:t>
      </w:r>
      <w:r w:rsidRPr="00C0187E">
        <w:rPr>
          <w:rFonts w:ascii="Arial" w:eastAsia="Times New Roman" w:hAnsi="Arial" w:cs="Arial"/>
          <w:color w:val="242424"/>
          <w:kern w:val="0"/>
          <w:sz w:val="22"/>
          <w:szCs w:val="22"/>
          <w:bdr w:val="none" w:sz="0" w:space="0" w:color="auto" w:frame="1"/>
          <w:lang w:eastAsia="en-GB"/>
          <w14:ligatures w14:val="none"/>
        </w:rPr>
        <w:t>, particularly where there is uncertainty regarding job security</w:t>
      </w:r>
      <w:r w:rsidR="00FF38DD" w:rsidRPr="009F1177">
        <w:rPr>
          <w:rFonts w:ascii="Arial" w:eastAsia="Times New Roman" w:hAnsi="Arial" w:cs="Arial"/>
          <w:color w:val="242424"/>
          <w:kern w:val="0"/>
          <w:sz w:val="22"/>
          <w:szCs w:val="22"/>
          <w:bdr w:val="none" w:sz="0" w:space="0" w:color="auto" w:frame="1"/>
          <w:lang w:eastAsia="en-GB"/>
          <w14:ligatures w14:val="none"/>
        </w:rPr>
        <w:t>. Employees may feel worried about losing their jobs or struggling with new technology (Kotter, 2012). This can affect motivation and performanc</w:t>
      </w:r>
      <w:r w:rsidR="00FF38DD" w:rsidRPr="00371ED5">
        <w:rPr>
          <w:rFonts w:ascii="Arial" w:eastAsia="Times New Roman" w:hAnsi="Arial" w:cs="Arial"/>
          <w:color w:val="242424"/>
          <w:kern w:val="0"/>
          <w:sz w:val="22"/>
          <w:szCs w:val="22"/>
          <w:bdr w:val="none" w:sz="0" w:space="0" w:color="auto" w:frame="1"/>
          <w:lang w:eastAsia="en-GB"/>
          <w14:ligatures w14:val="none"/>
        </w:rPr>
        <w:t>e</w:t>
      </w:r>
      <w:r w:rsidRPr="00C0187E">
        <w:rPr>
          <w:rFonts w:ascii="Arial" w:eastAsia="Times New Roman" w:hAnsi="Arial" w:cs="Arial"/>
          <w:color w:val="242424"/>
          <w:kern w:val="0"/>
          <w:sz w:val="22"/>
          <w:szCs w:val="22"/>
          <w:bdr w:val="none" w:sz="0" w:space="0" w:color="auto" w:frame="1"/>
          <w:lang w:eastAsia="en-GB"/>
          <w14:ligatures w14:val="none"/>
        </w:rPr>
        <w:t>. Automation, for instance, may be perceived as a threat to traditional roles, which can negatively impact morale and engagement. Another contributing factor is the financial investment required, as technological implementation often involves substantial costs related not only to infrastructure but also to workforce development and support.</w:t>
      </w:r>
      <w:r w:rsidR="00FF38DD" w:rsidRPr="00371ED5">
        <w:rPr>
          <w:rFonts w:ascii="Arial" w:eastAsia="Times New Roman" w:hAnsi="Arial" w:cs="Arial"/>
          <w:color w:val="242424"/>
          <w:kern w:val="0"/>
          <w:sz w:val="22"/>
          <w:szCs w:val="22"/>
          <w:bdr w:val="none" w:sz="0" w:space="0" w:color="auto" w:frame="1"/>
          <w:lang w:eastAsia="en-GB"/>
          <w14:ligatures w14:val="none"/>
        </w:rPr>
        <w:t xml:space="preserve"> </w:t>
      </w:r>
      <w:r w:rsidR="00FF38DD" w:rsidRPr="009F1177">
        <w:rPr>
          <w:rFonts w:ascii="Arial" w:eastAsia="Times New Roman" w:hAnsi="Arial" w:cs="Arial"/>
          <w:color w:val="242424"/>
          <w:kern w:val="0"/>
          <w:sz w:val="22"/>
          <w:szCs w:val="22"/>
          <w:bdr w:val="none" w:sz="0" w:space="0" w:color="auto" w:frame="1"/>
          <w:lang w:eastAsia="en-GB"/>
          <w14:ligatures w14:val="none"/>
        </w:rPr>
        <w:t>There are costs involved, as companies need to invest in both technology and staff training.</w:t>
      </w:r>
    </w:p>
    <w:p w14:paraId="728FB35B" w14:textId="77777777" w:rsidR="00371ED5" w:rsidRPr="00C0187E" w:rsidRDefault="00371ED5" w:rsidP="00C0187E">
      <w:pPr>
        <w:shd w:val="clear" w:color="auto" w:fill="FFFFFF"/>
        <w:spacing w:after="0" w:line="240" w:lineRule="auto"/>
        <w:rPr>
          <w:rFonts w:ascii="Arial" w:eastAsia="Times New Roman" w:hAnsi="Arial" w:cs="Arial"/>
          <w:color w:val="242424"/>
          <w:kern w:val="0"/>
          <w:sz w:val="22"/>
          <w:szCs w:val="22"/>
          <w:bdr w:val="none" w:sz="0" w:space="0" w:color="auto" w:frame="1"/>
          <w:lang w:eastAsia="en-GB"/>
          <w14:ligatures w14:val="none"/>
        </w:rPr>
      </w:pPr>
    </w:p>
    <w:p w14:paraId="26AB9485" w14:textId="77777777" w:rsid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B4AB09B" w14:textId="77777777" w:rsidR="00E52BD5" w:rsidRPr="00C0187E" w:rsidRDefault="00E52BD5"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1F6D7D8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Talent Acquisition and Retention</w:t>
      </w:r>
    </w:p>
    <w:p w14:paraId="4676256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D86779A"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C0404DE" w14:textId="77777777" w:rsidR="003213FE" w:rsidRPr="009F1177" w:rsidRDefault="003213FE" w:rsidP="003213FE">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Tesco also faces challenges in attracting and keeping employees. The UK job market is competitive, and workers now expect more than just a salary. They want flexibility, career development, and a good work-life balance (CIPD, 2022).</w:t>
      </w:r>
    </w:p>
    <w:p w14:paraId="29D0A4B9" w14:textId="6496465C" w:rsidR="003213FE" w:rsidRPr="009F1177" w:rsidRDefault="003213FE" w:rsidP="003213FE">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High staff turnover is common in retail due to long hours and limited progression opportunities (Taylor, 2021). In addition, a company’s reputation is very important. A strong brand can attract talent, while a weak one can make recruitment difficult (Backhaus and Tikoo, 2004).</w:t>
      </w:r>
    </w:p>
    <w:p w14:paraId="6AA720D7"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Attracting and retaining skilled employees remains a significant challenge for Tesco plc, particularly within a competitive UK labour market. One key factor is the changing expectations of employees, with greater emphasis placed on flexible working arrangements, career progression, and overall job satisfaction. Traditional employment models are increasingly viewed as insufficient, particularly by younger generations entering the workforce.</w:t>
      </w:r>
    </w:p>
    <w:p w14:paraId="28A3C667"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DFF1F4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Retention is further influenced by working conditions and organisational culture. The retail sector is often characterised by high employee turnover, which can be attributed to factors such as low pay, limited advancement opportunities, and demanding work environments. Moreover, the organisation’s employer brand plays a crucial role in shaping perceptions among potential candidates. A negative reputation can significantly hinder recruitment efforts, while a strong, values-driven brand can enhance attraction and retention.</w:t>
      </w:r>
    </w:p>
    <w:p w14:paraId="04FFD4F5" w14:textId="77777777" w:rsidR="00C6500F" w:rsidRPr="00371ED5" w:rsidRDefault="00C6500F"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1619B7D" w14:textId="77777777" w:rsidR="00C6500F" w:rsidRPr="00C0187E" w:rsidRDefault="00C6500F"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3569F0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Diversity, Equity and Inclusion (DEI)</w:t>
      </w:r>
    </w:p>
    <w:p w14:paraId="6905C588" w14:textId="77777777" w:rsidR="003213FE" w:rsidRPr="00C0187E" w:rsidRDefault="003213F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03EF30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9D7AA80" w14:textId="77777777" w:rsidR="003213FE" w:rsidRPr="009F1177" w:rsidRDefault="003213FE" w:rsidP="003213FE">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DEI is a key focus for organisations in the UK. Tesco must follow the Equality Act 2010 and ensure fair treatment of all employees (ACAS, 2023).</w:t>
      </w:r>
    </w:p>
    <w:p w14:paraId="21B4B2AA" w14:textId="77777777" w:rsidR="003213FE" w:rsidRPr="009F1177" w:rsidRDefault="003213FE" w:rsidP="003213F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2B77532" w14:textId="790C50E9" w:rsidR="00C6500F" w:rsidRPr="009F1177" w:rsidRDefault="003213FE"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One issue is unconscious bias, where decisions in hiring or promotion may not be fully fair (Noon, 2018). Another challenge is the lack of diversity in leadership roles.</w:t>
      </w:r>
      <w:r w:rsidR="00C6500F" w:rsidRPr="00371ED5">
        <w:rPr>
          <w:rFonts w:ascii="Arial" w:eastAsia="Times New Roman" w:hAnsi="Arial" w:cs="Arial"/>
          <w:color w:val="242424"/>
          <w:kern w:val="0"/>
          <w:sz w:val="22"/>
          <w:szCs w:val="22"/>
          <w:bdr w:val="none" w:sz="0" w:space="0" w:color="auto" w:frame="1"/>
          <w:lang w:eastAsia="en-GB"/>
          <w14:ligatures w14:val="none"/>
        </w:rPr>
        <w:t xml:space="preserve"> </w:t>
      </w:r>
      <w:r w:rsidR="00C6500F" w:rsidRPr="009F1177">
        <w:rPr>
          <w:rFonts w:ascii="Arial" w:eastAsia="Times New Roman" w:hAnsi="Arial" w:cs="Arial"/>
          <w:color w:val="242424"/>
          <w:kern w:val="0"/>
          <w:sz w:val="22"/>
          <w:szCs w:val="22"/>
          <w:bdr w:val="none" w:sz="0" w:space="0" w:color="auto" w:frame="1"/>
          <w:lang w:eastAsia="en-GB"/>
          <w14:ligatures w14:val="none"/>
        </w:rPr>
        <w:t>Companies can use fair recruitment methods, such as removing names from CVs, to reduce bias (Noon, 2018). They can also provide DEI training to raise awareness, although its long-term impact can be limited.</w:t>
      </w:r>
    </w:p>
    <w:p w14:paraId="3317F6AD"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p>
    <w:p w14:paraId="2C36E625" w14:textId="0E258C1C" w:rsidR="003213FE" w:rsidRPr="009F1177" w:rsidRDefault="00C6500F" w:rsidP="003213FE">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Another useful approach is creating employee support groups, which help employees feel included and valued (ACAS, 2023). However, these need strong support from management.</w:t>
      </w:r>
      <w:r w:rsidR="003213FE" w:rsidRPr="009F1177">
        <w:rPr>
          <w:rFonts w:ascii="Arial" w:eastAsia="Times New Roman" w:hAnsi="Arial" w:cs="Arial"/>
          <w:color w:val="242424"/>
          <w:kern w:val="0"/>
          <w:sz w:val="22"/>
          <w:szCs w:val="22"/>
          <w:bdr w:val="none" w:sz="0" w:space="0" w:color="auto" w:frame="1"/>
          <w:lang w:eastAsia="en-GB"/>
          <w14:ligatures w14:val="none"/>
        </w:rPr>
        <w:t xml:space="preserve"> Research shows that diverse organisations perform better and are more innovative (McKinsey &amp; Company, 2020). Therefore, DEI is important for both ethical and business reasons.</w:t>
      </w:r>
    </w:p>
    <w:p w14:paraId="3B562860" w14:textId="77777777" w:rsidR="003213FE" w:rsidRPr="00371ED5" w:rsidRDefault="003213FE" w:rsidP="00C0187E">
      <w:pPr>
        <w:shd w:val="clear" w:color="auto" w:fill="FFFFFF"/>
        <w:spacing w:after="0" w:line="240" w:lineRule="auto"/>
        <w:rPr>
          <w:rFonts w:ascii="Arial" w:eastAsia="Times New Roman" w:hAnsi="Arial" w:cs="Arial"/>
          <w:color w:val="242424"/>
          <w:kern w:val="0"/>
          <w:sz w:val="22"/>
          <w:szCs w:val="22"/>
          <w:bdr w:val="none" w:sz="0" w:space="0" w:color="auto" w:frame="1"/>
          <w:lang w:eastAsia="en-GB"/>
          <w14:ligatures w14:val="none"/>
        </w:rPr>
      </w:pPr>
    </w:p>
    <w:p w14:paraId="79FEDC43" w14:textId="246E6CF1"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Diversity, Equity and Inclusion have become central to organisational strategy within the UK, driven by both legislative requirements and ethical considerations. Tesco plc must comply with the Equality Act 2010 while also fostering a genuinely inclusive workplace. One key issue is the presence of unconscious bias in recruitment and promotion processes, which can limit opportunities for underrepresented groups.</w:t>
      </w:r>
    </w:p>
    <w:p w14:paraId="4154EC6D"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131A9D34" w14:textId="0DE0A95D" w:rsidR="00C6500F"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 xml:space="preserve">Another important factor is the lack of diversity in leadership positions, which may undermine efforts to promote inclusion across the organisation. Furthermore, creating an inclusive culture requires more than policy implementation; it involves addressing behaviours, attitudes, and organisational norms. Failure to effectively manage DEI can result in reduced </w:t>
      </w:r>
      <w:r w:rsidRPr="00C0187E">
        <w:rPr>
          <w:rFonts w:ascii="Arial" w:eastAsia="Times New Roman" w:hAnsi="Arial" w:cs="Arial"/>
          <w:color w:val="242424"/>
          <w:kern w:val="0"/>
          <w:sz w:val="22"/>
          <w:szCs w:val="22"/>
          <w:bdr w:val="none" w:sz="0" w:space="0" w:color="auto" w:frame="1"/>
          <w:lang w:eastAsia="en-GB"/>
          <w14:ligatures w14:val="none"/>
        </w:rPr>
        <w:lastRenderedPageBreak/>
        <w:t>employee engagement, reputational damage, and potential legal implications. Conversely, a diverse workforce can enhance creativity, decision-making, and customer insight, making DEI a strategic advantage.</w:t>
      </w:r>
    </w:p>
    <w:p w14:paraId="4A2BD340"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E54171E" w14:textId="7357C802"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 xml:space="preserve">2. Evaluation of Contemporary HR Practices </w:t>
      </w:r>
    </w:p>
    <w:p w14:paraId="4B079DB5"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E3A115A"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14B8996B"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8E24AC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Technological Advancement</w:t>
      </w:r>
    </w:p>
    <w:p w14:paraId="6C5AA06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BC7BA5F"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845C891"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One widely adopted HR approach to managing technological change is the implementation of continuous learning and development (L&amp;D) programmes. Digital learning platforms enable organisations to deliver flexible and accessible training, allowing employees to develop relevant skills at their own pace. This approach is particularly effective in addressing skills gaps; however, its success depends on employee engagement and the quality of training provided.</w:t>
      </w:r>
    </w:p>
    <w:p w14:paraId="582C5ED5"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93EEA65"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In addition, structured change management models, such as Kotter’s eight-step model, can support organisations in managing transitions effectively. These models emphasise communication, employee involvement, and leadership commitment, which can help to reduce resistance. Nevertheless, such approaches can be time-consuming and require sustained managerial effort to achieve desired outcomes.</w:t>
      </w:r>
    </w:p>
    <w:p w14:paraId="3DB2F670"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15A5070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70C2176"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Talent Acquisition and Retention</w:t>
      </w:r>
    </w:p>
    <w:p w14:paraId="276C9E5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D03F7E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C493F03"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Contemporary recruitment practices increasingly utilise technology-driven solutions, including artificial intelligence (AI) and social media platforms. These tools can enhance efficiency by streamlining recruitment processes and expanding access to a wider talent pool. However, reliance on technology may overlook important interpersonal attributes and could inadvertently introduce bias if not properly managed.</w:t>
      </w:r>
    </w:p>
    <w:p w14:paraId="510352D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78E12F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To improve retention, organisations are adopting employee engagement strategies, such as flexible working arrangements, wellbeing initiatives, and structured career development programmes. These practices can significantly enhance job satisfaction and organisational commitment. However, they may also present challenges in terms of cost and operational complexity, particularly in a large organisation such as Tesco.</w:t>
      </w:r>
    </w:p>
    <w:p w14:paraId="707985A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10983A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Furthermore, employer branding has emerged as a critical strategy in attracting talent. By promoting organisational values, culture, and opportunities, Tesco can strengthen its position as an employer of choice. The effectiveness of this approach, however, relies on consistency between the organisation’s external image and the actual employee experience.</w:t>
      </w:r>
    </w:p>
    <w:p w14:paraId="650B8C3B"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70F9DFD"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D2C96B9"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Diversity, Equity and Inclusion (DEI)</w:t>
      </w:r>
    </w:p>
    <w:p w14:paraId="329F30AB"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01AD48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40583907"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To address DEI challenges, organisations are increasingly implementing inclusive recruitment practices, such as anonymised CV screening and diverse hiring panels. These measures aim to reduce bias and promote fairness, although their effectiveness depends on proper implementation and monitoring.</w:t>
      </w:r>
    </w:p>
    <w:p w14:paraId="1390904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BFC636A"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lastRenderedPageBreak/>
        <w:t>Additionally, DEI training programmes are commonly used to raise awareness of unconscious bias and encourage inclusive behaviours. While such training can be beneficial, critics argue that its impact may be limited if not supported by broader organisational change.</w:t>
      </w:r>
    </w:p>
    <w:p w14:paraId="0C7EAF01"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30C7681"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Another important practice is the establishment of employee resource groups (ERGs), which provide support networks for diverse employees and contribute to a more inclusive workplace culture. These groups can enhance engagement and representation; however, they require ongoing support and commitment from senior leadership to remain effective.</w:t>
      </w:r>
    </w:p>
    <w:p w14:paraId="402B151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4FD518A7" w14:textId="77777777" w:rsidR="00C0187E" w:rsidRPr="00C0187E" w:rsidRDefault="00C0187E" w:rsidP="00C0187E">
      <w:pPr>
        <w:shd w:val="clear" w:color="auto" w:fill="FFFFFF"/>
        <w:spacing w:after="0" w:line="240" w:lineRule="auto"/>
        <w:rPr>
          <w:rFonts w:ascii="Arial" w:eastAsia="Times New Roman" w:hAnsi="Arial" w:cs="Arial"/>
          <w:color w:val="808080"/>
          <w:kern w:val="0"/>
          <w:sz w:val="22"/>
          <w:szCs w:val="22"/>
          <w:lang w:eastAsia="en-GB"/>
          <w14:ligatures w14:val="none"/>
        </w:rPr>
      </w:pPr>
    </w:p>
    <w:p w14:paraId="3D1F9DD4"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0F69BB8"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C410489" w14:textId="7F0D942D"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 xml:space="preserve">3. Role of Departmental Managers in Implementation </w:t>
      </w:r>
    </w:p>
    <w:p w14:paraId="1557E589"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6025EE7E"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Managers are key to making sure HR practices are carried out properly. They must communicate changes clearly and support employees during transitions (Kotter, 2012).</w:t>
      </w:r>
    </w:p>
    <w:p w14:paraId="2A3B4D30"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p>
    <w:p w14:paraId="400CF61E"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They are also responsible for monitoring performance and development, making sure employees attend training and use new skills (Armstrong and Taylor, 2023).</w:t>
      </w:r>
    </w:p>
    <w:p w14:paraId="4C4AA1E8"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p>
    <w:p w14:paraId="66322648"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Managers should also promote inclusive behaviour, treating all staff fairly and addressing any discrimination (CIPD, 2023). Leading by example is very important.</w:t>
      </w:r>
    </w:p>
    <w:p w14:paraId="2CF392AA"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p>
    <w:p w14:paraId="174E5CED"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In addition, managers must track progress using targets and performance measures (KPIs). However, they may face challenges such as lack of time or training. To overcome this, organisations should provide proper support and leadership training (Taylor, 2021).</w:t>
      </w:r>
    </w:p>
    <w:p w14:paraId="0C8A30ED" w14:textId="77777777" w:rsidR="00C6500F" w:rsidRPr="00371ED5" w:rsidRDefault="00C6500F" w:rsidP="00C0187E">
      <w:pPr>
        <w:shd w:val="clear" w:color="auto" w:fill="FFFFFF"/>
        <w:spacing w:after="0" w:line="240" w:lineRule="auto"/>
        <w:rPr>
          <w:rFonts w:ascii="Arial" w:eastAsia="Times New Roman" w:hAnsi="Arial" w:cs="Arial"/>
          <w:color w:val="242424"/>
          <w:kern w:val="0"/>
          <w:sz w:val="22"/>
          <w:szCs w:val="22"/>
          <w:bdr w:val="none" w:sz="0" w:space="0" w:color="auto" w:frame="1"/>
          <w:lang w:eastAsia="en-GB"/>
          <w14:ligatures w14:val="none"/>
        </w:rPr>
      </w:pPr>
    </w:p>
    <w:p w14:paraId="680D67E6" w14:textId="5A947646"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Departmental managers play a pivotal role in translating HR strategies into practical outcomes. As frontline leaders, they are responsible for communicating organisational changes and ensuring that employees understand and engage with new initiatives. Effective communication is particularly important during periods of technological change, where uncertainty may be high.</w:t>
      </w:r>
    </w:p>
    <w:p w14:paraId="6557C60F"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3560FAD" w14:textId="2C83B13E"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Managers are also responsible for monitoring employee performance and development. Regular feedback mechanisms, such as performance appraisals, are essential in identifying areas for improvement and maintaining accountability.</w:t>
      </w:r>
    </w:p>
    <w:p w14:paraId="47A4651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8C63BE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In relation to DEI, managers must demonstrate inclusive leadership behaviours. This involves promoting equality, addressing discriminatory practices, and fostering a supportive team environment. Leading by example is crucial in embedding inclusive values within the organisation.</w:t>
      </w:r>
    </w:p>
    <w:p w14:paraId="37F4067F"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7AA1539"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Furthermore, managers must ensure accountability and performance measurement. By setting clear objectives and key performance indicators (KPIs), they can track the effectiveness of HR initiatives and make necessary adjustments. However, managers may encounter challenges such as limited time, insufficient training, or resistance from employees.</w:t>
      </w:r>
    </w:p>
    <w:p w14:paraId="42FCF271"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7CED9E82"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To address these challenges, organisations must provide adequate support, including leadership development programmes and clear strategic direction. Without this support, the successful implementation of HR practices may be compromised.</w:t>
      </w:r>
    </w:p>
    <w:p w14:paraId="42E6C9AD"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AD3D3C8" w14:textId="77777777" w:rsidR="00C0187E" w:rsidRPr="00371ED5" w:rsidRDefault="00C0187E" w:rsidP="00C0187E">
      <w:pPr>
        <w:shd w:val="clear" w:color="auto" w:fill="FFFFFF"/>
        <w:spacing w:after="0" w:line="240" w:lineRule="auto"/>
        <w:rPr>
          <w:rFonts w:ascii="Arial" w:eastAsia="Times New Roman" w:hAnsi="Arial" w:cs="Arial"/>
          <w:color w:val="808080"/>
          <w:kern w:val="0"/>
          <w:sz w:val="22"/>
          <w:szCs w:val="22"/>
          <w:lang w:eastAsia="en-GB"/>
          <w14:ligatures w14:val="none"/>
        </w:rPr>
      </w:pPr>
    </w:p>
    <w:p w14:paraId="71048073" w14:textId="77777777" w:rsidR="00C6500F" w:rsidRPr="00371ED5" w:rsidRDefault="00C6500F" w:rsidP="00C0187E">
      <w:pPr>
        <w:shd w:val="clear" w:color="auto" w:fill="FFFFFF"/>
        <w:spacing w:after="0" w:line="240" w:lineRule="auto"/>
        <w:rPr>
          <w:rFonts w:ascii="Arial" w:eastAsia="Times New Roman" w:hAnsi="Arial" w:cs="Arial"/>
          <w:color w:val="808080"/>
          <w:kern w:val="0"/>
          <w:sz w:val="22"/>
          <w:szCs w:val="22"/>
          <w:lang w:eastAsia="en-GB"/>
          <w14:ligatures w14:val="none"/>
        </w:rPr>
      </w:pPr>
    </w:p>
    <w:p w14:paraId="7FDBCAA8" w14:textId="77777777" w:rsidR="00C6500F" w:rsidRPr="00371ED5" w:rsidRDefault="00C6500F" w:rsidP="00C0187E">
      <w:pPr>
        <w:shd w:val="clear" w:color="auto" w:fill="FFFFFF"/>
        <w:spacing w:after="0" w:line="240" w:lineRule="auto"/>
        <w:rPr>
          <w:rFonts w:ascii="Arial" w:eastAsia="Times New Roman" w:hAnsi="Arial" w:cs="Arial"/>
          <w:color w:val="808080"/>
          <w:kern w:val="0"/>
          <w:sz w:val="22"/>
          <w:szCs w:val="22"/>
          <w:lang w:eastAsia="en-GB"/>
          <w14:ligatures w14:val="none"/>
        </w:rPr>
      </w:pPr>
    </w:p>
    <w:p w14:paraId="7E2AFB93" w14:textId="77777777" w:rsidR="00C6500F" w:rsidRPr="00371ED5" w:rsidRDefault="00C6500F" w:rsidP="00C0187E">
      <w:pPr>
        <w:shd w:val="clear" w:color="auto" w:fill="FFFFFF"/>
        <w:spacing w:after="0" w:line="240" w:lineRule="auto"/>
        <w:rPr>
          <w:rFonts w:ascii="Arial" w:eastAsia="Times New Roman" w:hAnsi="Arial" w:cs="Arial"/>
          <w:color w:val="808080"/>
          <w:kern w:val="0"/>
          <w:sz w:val="22"/>
          <w:szCs w:val="22"/>
          <w:lang w:eastAsia="en-GB"/>
          <w14:ligatures w14:val="none"/>
        </w:rPr>
      </w:pPr>
    </w:p>
    <w:p w14:paraId="3A714492" w14:textId="77777777" w:rsidR="00C6500F" w:rsidRPr="00371ED5" w:rsidRDefault="00C6500F" w:rsidP="00C0187E">
      <w:pPr>
        <w:shd w:val="clear" w:color="auto" w:fill="FFFFFF"/>
        <w:spacing w:after="0" w:line="240" w:lineRule="auto"/>
        <w:rPr>
          <w:rFonts w:ascii="Arial" w:eastAsia="Times New Roman" w:hAnsi="Arial" w:cs="Arial"/>
          <w:color w:val="808080"/>
          <w:kern w:val="0"/>
          <w:sz w:val="22"/>
          <w:szCs w:val="22"/>
          <w:lang w:eastAsia="en-GB"/>
          <w14:ligatures w14:val="none"/>
        </w:rPr>
      </w:pPr>
    </w:p>
    <w:p w14:paraId="19943764"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bdr w:val="none" w:sz="0" w:space="0" w:color="auto" w:frame="1"/>
        </w:rPr>
      </w:pPr>
    </w:p>
    <w:p w14:paraId="0494CC85" w14:textId="35B236E0" w:rsidR="00371ED5" w:rsidRPr="00371ED5" w:rsidRDefault="00371ED5" w:rsidP="00371ED5">
      <w:pPr>
        <w:pStyle w:val="NormalWeb"/>
        <w:shd w:val="clear" w:color="auto" w:fill="FFFFFF"/>
        <w:spacing w:before="0" w:beforeAutospacing="0" w:after="0" w:afterAutospacing="0"/>
        <w:rPr>
          <w:rFonts w:ascii="Arial" w:hAnsi="Arial" w:cs="Arial"/>
          <w:b/>
          <w:bCs/>
          <w:color w:val="242424"/>
          <w:sz w:val="22"/>
          <w:szCs w:val="22"/>
          <w:bdr w:val="none" w:sz="0" w:space="0" w:color="auto" w:frame="1"/>
        </w:rPr>
      </w:pPr>
      <w:r w:rsidRPr="00371ED5">
        <w:rPr>
          <w:rFonts w:ascii="Arial" w:hAnsi="Arial" w:cs="Arial"/>
          <w:b/>
          <w:bCs/>
          <w:color w:val="242424"/>
          <w:sz w:val="22"/>
          <w:szCs w:val="22"/>
          <w:bdr w:val="none" w:sz="0" w:space="0" w:color="auto" w:frame="1"/>
        </w:rPr>
        <w:t xml:space="preserve">Evaluation of different contemporary HR practices </w:t>
      </w:r>
    </w:p>
    <w:p w14:paraId="3E2D21DE" w14:textId="736F0161"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r w:rsidRPr="00371ED5">
        <w:rPr>
          <w:rFonts w:ascii="Arial" w:hAnsi="Arial" w:cs="Arial"/>
          <w:color w:val="242424"/>
          <w:sz w:val="22"/>
          <w:szCs w:val="22"/>
          <w:bdr w:val="none" w:sz="0" w:space="0" w:color="auto" w:frame="1"/>
        </w:rPr>
        <w:t>Contemporary HR practices at Tesco play a crucial role in addressing key workforce factors such as employee engagement, retention, diversity, and performance. Tesco adopts flexible working arrangements and wellbeing initiatives to improve employee satisfaction and work–life balance, which can enhance productivity. However, while flexibility is beneficial, it may create operational challenges in retail settings where staffing levels must meet customer demand.</w:t>
      </w:r>
    </w:p>
    <w:p w14:paraId="64791BC9"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p>
    <w:p w14:paraId="152BDB91"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r w:rsidRPr="00371ED5">
        <w:rPr>
          <w:rFonts w:ascii="Arial" w:hAnsi="Arial" w:cs="Arial"/>
          <w:color w:val="242424"/>
          <w:sz w:val="22"/>
          <w:szCs w:val="22"/>
          <w:bdr w:val="none" w:sz="0" w:space="0" w:color="auto" w:frame="1"/>
        </w:rPr>
        <w:t>Tesco also invests in training and development programmes, such as apprenticeships and leadership pathways, to support career progression. This helps improve retention and internal talent development, although the effectiveness depends on consistent access across all store locations.</w:t>
      </w:r>
    </w:p>
    <w:p w14:paraId="4E931295"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p>
    <w:p w14:paraId="7B3CADD9"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r w:rsidRPr="00371ED5">
        <w:rPr>
          <w:rFonts w:ascii="Arial" w:hAnsi="Arial" w:cs="Arial"/>
          <w:color w:val="242424"/>
          <w:sz w:val="22"/>
          <w:szCs w:val="22"/>
          <w:bdr w:val="none" w:sz="0" w:space="0" w:color="auto" w:frame="1"/>
        </w:rPr>
        <w:t>In terms of diversity and inclusion, Tesco promotes equal opportunities through inclusive recruitment policies and employee networks. These practices strengthen organisational culture and brand reputation, yet there is always a need for continuous monitoring to ensure real equality in career advancement.</w:t>
      </w:r>
    </w:p>
    <w:p w14:paraId="61E66839"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p>
    <w:p w14:paraId="5F393F6D"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r w:rsidRPr="00371ED5">
        <w:rPr>
          <w:rFonts w:ascii="Arial" w:hAnsi="Arial" w:cs="Arial"/>
          <w:color w:val="242424"/>
          <w:sz w:val="22"/>
          <w:szCs w:val="22"/>
          <w:bdr w:val="none" w:sz="0" w:space="0" w:color="auto" w:frame="1"/>
        </w:rPr>
        <w:t>Performance management systems, including regular reviews and reward schemes, are used to motivate employees. While these can drive performance, over-reliance on targets may increase pressure and reduce job satisfaction.</w:t>
      </w:r>
    </w:p>
    <w:p w14:paraId="324327F1"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p>
    <w:p w14:paraId="55601F3E" w14:textId="77777777" w:rsidR="00371ED5" w:rsidRPr="00371ED5" w:rsidRDefault="00371ED5" w:rsidP="00371ED5">
      <w:pPr>
        <w:pStyle w:val="NormalWeb"/>
        <w:shd w:val="clear" w:color="auto" w:fill="FFFFFF"/>
        <w:spacing w:before="0" w:beforeAutospacing="0" w:after="0" w:afterAutospacing="0"/>
        <w:rPr>
          <w:rFonts w:ascii="Arial" w:hAnsi="Arial" w:cs="Arial"/>
          <w:color w:val="242424"/>
          <w:sz w:val="22"/>
          <w:szCs w:val="22"/>
        </w:rPr>
      </w:pPr>
      <w:r w:rsidRPr="00371ED5">
        <w:rPr>
          <w:rFonts w:ascii="Arial" w:hAnsi="Arial" w:cs="Arial"/>
          <w:color w:val="242424"/>
          <w:sz w:val="22"/>
          <w:szCs w:val="22"/>
          <w:bdr w:val="none" w:sz="0" w:space="0" w:color="auto" w:frame="1"/>
        </w:rPr>
        <w:t>Overall, Tesco’s HR practices are modern and largely effective, but require ongoing evaluation to balance employee wellbeing with business performance demands.</w:t>
      </w:r>
    </w:p>
    <w:p w14:paraId="1B7062A5"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41851641"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5062FA9" w14:textId="77777777" w:rsidR="00371ED5" w:rsidRPr="00371ED5" w:rsidRDefault="00371ED5" w:rsidP="00C0187E">
      <w:pPr>
        <w:shd w:val="clear" w:color="auto" w:fill="FFFFFF"/>
        <w:spacing w:after="0" w:line="240" w:lineRule="auto"/>
        <w:rPr>
          <w:rFonts w:ascii="Arial" w:eastAsia="Times New Roman" w:hAnsi="Arial" w:cs="Arial"/>
          <w:b/>
          <w:bCs/>
          <w:color w:val="242424"/>
          <w:kern w:val="0"/>
          <w:sz w:val="22"/>
          <w:szCs w:val="22"/>
          <w:bdr w:val="none" w:sz="0" w:space="0" w:color="auto" w:frame="1"/>
          <w:lang w:eastAsia="en-GB"/>
          <w14:ligatures w14:val="none"/>
        </w:rPr>
      </w:pPr>
    </w:p>
    <w:p w14:paraId="29B38BF0" w14:textId="79F13188"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b/>
          <w:bCs/>
          <w:color w:val="242424"/>
          <w:kern w:val="0"/>
          <w:sz w:val="22"/>
          <w:szCs w:val="22"/>
          <w:bdr w:val="none" w:sz="0" w:space="0" w:color="auto" w:frame="1"/>
          <w:lang w:eastAsia="en-GB"/>
          <w14:ligatures w14:val="none"/>
        </w:rPr>
        <w:t xml:space="preserve">Conclusion and Recommendations </w:t>
      </w:r>
    </w:p>
    <w:p w14:paraId="680C453C"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9C900D7"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029FF275" w14:textId="64123E2A" w:rsidR="00C6500F" w:rsidRPr="009F1177" w:rsidRDefault="00C0187E"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In conclusion, Tesco plc faces a range of complex HR challenges, including adapting to technological advancements, managing talent effectively, and promoting Diversity, Equity and Inclusion. While contemporary HR practices offer viable solutions, their success is largely dependent on effective implementation and strong managerial involvement.</w:t>
      </w:r>
      <w:r w:rsidR="00C6500F" w:rsidRPr="00371ED5">
        <w:rPr>
          <w:rFonts w:ascii="Arial" w:eastAsia="Times New Roman" w:hAnsi="Arial" w:cs="Arial"/>
          <w:color w:val="242424"/>
          <w:kern w:val="0"/>
          <w:sz w:val="22"/>
          <w:szCs w:val="22"/>
          <w:bdr w:val="none" w:sz="0" w:space="0" w:color="auto" w:frame="1"/>
          <w:lang w:eastAsia="en-GB"/>
          <w14:ligatures w14:val="none"/>
        </w:rPr>
        <w:t xml:space="preserve"> </w:t>
      </w:r>
    </w:p>
    <w:p w14:paraId="4D2522AF"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b/>
          <w:bCs/>
          <w:color w:val="242424"/>
          <w:kern w:val="0"/>
          <w:sz w:val="22"/>
          <w:szCs w:val="22"/>
          <w:bdr w:val="none" w:sz="0" w:space="0" w:color="auto" w:frame="1"/>
          <w:lang w:eastAsia="en-GB"/>
          <w14:ligatures w14:val="none"/>
        </w:rPr>
        <w:t>Recommendations:</w:t>
      </w:r>
    </w:p>
    <w:p w14:paraId="24B0658D"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p>
    <w:p w14:paraId="1E3491C4" w14:textId="77777777" w:rsidR="00C6500F" w:rsidRPr="009F1177" w:rsidRDefault="00C6500F" w:rsidP="00C6500F">
      <w:pPr>
        <w:shd w:val="clear" w:color="auto" w:fill="FFFFFF"/>
        <w:spacing w:after="0" w:line="240" w:lineRule="auto"/>
        <w:rPr>
          <w:rFonts w:ascii="Arial" w:eastAsia="Times New Roman" w:hAnsi="Arial" w:cs="Arial"/>
          <w:color w:val="242424"/>
          <w:kern w:val="0"/>
          <w:sz w:val="22"/>
          <w:szCs w:val="22"/>
          <w:lang w:eastAsia="en-GB"/>
          <w14:ligatures w14:val="none"/>
        </w:rPr>
      </w:pPr>
    </w:p>
    <w:p w14:paraId="61C8C0E0" w14:textId="77777777" w:rsidR="00C6500F" w:rsidRPr="009F1177" w:rsidRDefault="00C6500F" w:rsidP="00C6500F">
      <w:pPr>
        <w:numPr>
          <w:ilvl w:val="0"/>
          <w:numId w:val="2"/>
        </w:num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Provide regular digital skills training for employees</w:t>
      </w:r>
    </w:p>
    <w:p w14:paraId="6D9C45D0" w14:textId="77777777" w:rsidR="00C6500F" w:rsidRPr="009F1177" w:rsidRDefault="00C6500F" w:rsidP="00C6500F">
      <w:pPr>
        <w:numPr>
          <w:ilvl w:val="0"/>
          <w:numId w:val="2"/>
        </w:num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Offer flexible working and clear career progression</w:t>
      </w:r>
    </w:p>
    <w:p w14:paraId="1F2F20BE" w14:textId="77777777" w:rsidR="00C6500F" w:rsidRPr="009F1177" w:rsidRDefault="00C6500F" w:rsidP="00C6500F">
      <w:pPr>
        <w:numPr>
          <w:ilvl w:val="0"/>
          <w:numId w:val="2"/>
        </w:num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Set clear DEI goals and monitor progress</w:t>
      </w:r>
    </w:p>
    <w:p w14:paraId="6E07ED51" w14:textId="77777777" w:rsidR="00C6500F" w:rsidRPr="009F1177" w:rsidRDefault="00C6500F" w:rsidP="00C6500F">
      <w:pPr>
        <w:numPr>
          <w:ilvl w:val="0"/>
          <w:numId w:val="2"/>
        </w:num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Train managers to lead and support change</w:t>
      </w:r>
    </w:p>
    <w:p w14:paraId="420652A2" w14:textId="157FED09" w:rsidR="00C0187E" w:rsidRPr="00C0187E" w:rsidRDefault="00C6500F" w:rsidP="00C0187E">
      <w:pPr>
        <w:numPr>
          <w:ilvl w:val="0"/>
          <w:numId w:val="2"/>
        </w:num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Use data to measure HR success</w:t>
      </w:r>
    </w:p>
    <w:p w14:paraId="079CEBD1"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2A0F7809" w14:textId="77777777" w:rsidR="00C0187E" w:rsidRPr="00C0187E" w:rsidRDefault="00C0187E" w:rsidP="00C0187E">
      <w:pPr>
        <w:numPr>
          <w:ilvl w:val="0"/>
          <w:numId w:val="1"/>
        </w:num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Develop comprehensive digital training programmes to address skills gaps.</w:t>
      </w:r>
    </w:p>
    <w:p w14:paraId="2E7CB335" w14:textId="77777777" w:rsidR="00C0187E" w:rsidRPr="00C0187E" w:rsidRDefault="00C0187E" w:rsidP="00C0187E">
      <w:pPr>
        <w:numPr>
          <w:ilvl w:val="0"/>
          <w:numId w:val="1"/>
        </w:num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Enhance employee engagement through flexible working and career development opportunities.</w:t>
      </w:r>
    </w:p>
    <w:p w14:paraId="00F3CC1A" w14:textId="77777777" w:rsidR="00C0187E" w:rsidRPr="00C0187E" w:rsidRDefault="00C0187E" w:rsidP="00C0187E">
      <w:pPr>
        <w:numPr>
          <w:ilvl w:val="0"/>
          <w:numId w:val="1"/>
        </w:num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Implement measurable DEI strategies with clear organisational targets.</w:t>
      </w:r>
    </w:p>
    <w:p w14:paraId="23E9BEBD" w14:textId="77777777" w:rsidR="00C0187E" w:rsidRPr="00C0187E" w:rsidRDefault="00C0187E" w:rsidP="00C0187E">
      <w:pPr>
        <w:numPr>
          <w:ilvl w:val="0"/>
          <w:numId w:val="1"/>
        </w:num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Provide ongoing leadership training to support departmental managers.</w:t>
      </w:r>
    </w:p>
    <w:p w14:paraId="59472277" w14:textId="77777777" w:rsidR="00C0187E" w:rsidRPr="00C0187E" w:rsidRDefault="00C0187E" w:rsidP="00C0187E">
      <w:pPr>
        <w:numPr>
          <w:ilvl w:val="0"/>
          <w:numId w:val="1"/>
        </w:numPr>
        <w:shd w:val="clear" w:color="auto" w:fill="FFFFFF"/>
        <w:spacing w:after="0" w:line="240" w:lineRule="auto"/>
        <w:rPr>
          <w:rFonts w:ascii="Arial" w:eastAsia="Times New Roman" w:hAnsi="Arial" w:cs="Arial"/>
          <w:color w:val="242424"/>
          <w:kern w:val="0"/>
          <w:sz w:val="22"/>
          <w:szCs w:val="22"/>
          <w:lang w:eastAsia="en-GB"/>
          <w14:ligatures w14:val="none"/>
        </w:rPr>
      </w:pPr>
      <w:r w:rsidRPr="00C0187E">
        <w:rPr>
          <w:rFonts w:ascii="Arial" w:eastAsia="Times New Roman" w:hAnsi="Arial" w:cs="Arial"/>
          <w:color w:val="242424"/>
          <w:kern w:val="0"/>
          <w:sz w:val="22"/>
          <w:szCs w:val="22"/>
          <w:bdr w:val="none" w:sz="0" w:space="0" w:color="auto" w:frame="1"/>
          <w:lang w:eastAsia="en-GB"/>
          <w14:ligatures w14:val="none"/>
        </w:rPr>
        <w:t>Utilise data-driven approaches to monitor and evaluate HR initiatives.</w:t>
      </w:r>
    </w:p>
    <w:p w14:paraId="1902115A" w14:textId="77777777" w:rsidR="00C0187E" w:rsidRPr="00C0187E" w:rsidRDefault="00C0187E" w:rsidP="00C0187E">
      <w:pPr>
        <w:shd w:val="clear" w:color="auto" w:fill="FFFFFF"/>
        <w:spacing w:after="0" w:line="240" w:lineRule="auto"/>
        <w:rPr>
          <w:rFonts w:ascii="Arial" w:eastAsia="Times New Roman" w:hAnsi="Arial" w:cs="Arial"/>
          <w:color w:val="242424"/>
          <w:kern w:val="0"/>
          <w:sz w:val="22"/>
          <w:szCs w:val="22"/>
          <w:lang w:eastAsia="en-GB"/>
          <w14:ligatures w14:val="none"/>
        </w:rPr>
      </w:pPr>
    </w:p>
    <w:p w14:paraId="3647B1A4" w14:textId="77777777" w:rsidR="00495A67" w:rsidRDefault="00495A67"/>
    <w:p w14:paraId="541E92F3" w14:textId="77777777" w:rsidR="00E52BD5" w:rsidRDefault="00E52BD5"/>
    <w:p w14:paraId="3C8912CD" w14:textId="675D5460"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45"/>
          <w:szCs w:val="45"/>
          <w:lang w:eastAsia="en-GB"/>
          <w14:ligatures w14:val="none"/>
        </w:rPr>
      </w:pPr>
      <w:r w:rsidRPr="009F1177">
        <w:rPr>
          <w:rFonts w:ascii="Arial" w:eastAsia="Times New Roman" w:hAnsi="Arial" w:cs="Arial"/>
          <w:b/>
          <w:bCs/>
          <w:color w:val="242424"/>
          <w:kern w:val="0"/>
          <w:sz w:val="45"/>
          <w:szCs w:val="45"/>
          <w:bdr w:val="none" w:sz="0" w:space="0" w:color="auto" w:frame="1"/>
          <w:lang w:eastAsia="en-GB"/>
          <w14:ligatures w14:val="none"/>
        </w:rPr>
        <w:t>Reference List</w:t>
      </w:r>
    </w:p>
    <w:p w14:paraId="71A317AA"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18"/>
          <w:szCs w:val="18"/>
          <w:lang w:eastAsia="en-GB"/>
          <w14:ligatures w14:val="none"/>
        </w:rPr>
      </w:pPr>
    </w:p>
    <w:p w14:paraId="18CFC2C1" w14:textId="77777777" w:rsidR="00E52BD5" w:rsidRPr="009F1177" w:rsidRDefault="00E52BD5" w:rsidP="00E52BD5">
      <w:pPr>
        <w:shd w:val="clear" w:color="auto" w:fill="FFFFFF"/>
        <w:spacing w:after="0" w:line="240" w:lineRule="auto"/>
        <w:rPr>
          <w:rFonts w:ascii="Times New Roman" w:eastAsia="Times New Roman" w:hAnsi="Times New Roman" w:cs="Times New Roman"/>
          <w:color w:val="242424"/>
          <w:kern w:val="0"/>
          <w:sz w:val="18"/>
          <w:szCs w:val="18"/>
          <w:lang w:eastAsia="en-GB"/>
          <w14:ligatures w14:val="none"/>
        </w:rPr>
      </w:pPr>
    </w:p>
    <w:p w14:paraId="756F3276"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ACAS (2023) Equality, diversity and inclusion in the workplace. Available at: https://www.acas.org.uk</w:t>
      </w:r>
    </w:p>
    <w:p w14:paraId="45EFDC97"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1DEE7349"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 xml:space="preserve">Armstrong, M. and Taylor, S. (2023) Armstrong’s Handbook of Human Resource Management Practice. 16th </w:t>
      </w:r>
      <w:proofErr w:type="spellStart"/>
      <w:r w:rsidRPr="009F1177">
        <w:rPr>
          <w:rFonts w:ascii="Arial" w:eastAsia="Times New Roman" w:hAnsi="Arial" w:cs="Arial"/>
          <w:color w:val="242424"/>
          <w:kern w:val="0"/>
          <w:sz w:val="22"/>
          <w:szCs w:val="22"/>
          <w:bdr w:val="none" w:sz="0" w:space="0" w:color="auto" w:frame="1"/>
          <w:lang w:eastAsia="en-GB"/>
          <w14:ligatures w14:val="none"/>
        </w:rPr>
        <w:t>edn</w:t>
      </w:r>
      <w:proofErr w:type="spellEnd"/>
      <w:r w:rsidRPr="009F1177">
        <w:rPr>
          <w:rFonts w:ascii="Arial" w:eastAsia="Times New Roman" w:hAnsi="Arial" w:cs="Arial"/>
          <w:color w:val="242424"/>
          <w:kern w:val="0"/>
          <w:sz w:val="22"/>
          <w:szCs w:val="22"/>
          <w:bdr w:val="none" w:sz="0" w:space="0" w:color="auto" w:frame="1"/>
          <w:lang w:eastAsia="en-GB"/>
          <w14:ligatures w14:val="none"/>
        </w:rPr>
        <w:t>. London: Kogan Page.</w:t>
      </w:r>
    </w:p>
    <w:p w14:paraId="5FC9769C"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4ED81643"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Backhaus, K. and Tikoo, S. (2004) ‘Conceptualizing and researching employer branding’, Career Development International, 9(5), pp. 501–517.</w:t>
      </w:r>
    </w:p>
    <w:p w14:paraId="52DAEF24"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34151A03"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Bersin, J. (2021) HR Technology Market Trends. Available at: https://www.joshbersin.com</w:t>
      </w:r>
    </w:p>
    <w:p w14:paraId="2893A814"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43A3C994"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CIPD (2022) Resourcing and talent planning report. Available at: https://www.cipd.co.uk</w:t>
      </w:r>
    </w:p>
    <w:p w14:paraId="7D790316"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26785868"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CIPD (2023) Learning at work report. Available at: https://www.cipd.co.uk</w:t>
      </w:r>
    </w:p>
    <w:p w14:paraId="71E45988"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604BA8BF"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Kotter, J.P. (2012) Leading Change. Boston: Harvard Business Review Press.</w:t>
      </w:r>
    </w:p>
    <w:p w14:paraId="5195886B"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709F5353"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McKinsey &amp; Company (2020) Diversity wins: How inclusion matters. Available at: https://www.mckinsey.com</w:t>
      </w:r>
    </w:p>
    <w:p w14:paraId="2B4C8AEB"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327A2546"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Noon, M. (2018) ‘Pointless diversity training’, Work, Employment and Society, 32(1), pp. 198–209.</w:t>
      </w:r>
    </w:p>
    <w:p w14:paraId="12F4C859"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53B6B09C"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 xml:space="preserve">Taylor, S. (2021) Resourcing and Talent Management. 8th </w:t>
      </w:r>
      <w:proofErr w:type="spellStart"/>
      <w:r w:rsidRPr="009F1177">
        <w:rPr>
          <w:rFonts w:ascii="Arial" w:eastAsia="Times New Roman" w:hAnsi="Arial" w:cs="Arial"/>
          <w:color w:val="242424"/>
          <w:kern w:val="0"/>
          <w:sz w:val="22"/>
          <w:szCs w:val="22"/>
          <w:bdr w:val="none" w:sz="0" w:space="0" w:color="auto" w:frame="1"/>
          <w:lang w:eastAsia="en-GB"/>
          <w14:ligatures w14:val="none"/>
        </w:rPr>
        <w:t>edn</w:t>
      </w:r>
      <w:proofErr w:type="spellEnd"/>
      <w:r w:rsidRPr="009F1177">
        <w:rPr>
          <w:rFonts w:ascii="Arial" w:eastAsia="Times New Roman" w:hAnsi="Arial" w:cs="Arial"/>
          <w:color w:val="242424"/>
          <w:kern w:val="0"/>
          <w:sz w:val="22"/>
          <w:szCs w:val="22"/>
          <w:bdr w:val="none" w:sz="0" w:space="0" w:color="auto" w:frame="1"/>
          <w:lang w:eastAsia="en-GB"/>
          <w14:ligatures w14:val="none"/>
        </w:rPr>
        <w:t>. London: Kogan Page.</w:t>
      </w:r>
    </w:p>
    <w:p w14:paraId="22A225F1"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p>
    <w:p w14:paraId="41965D27" w14:textId="77777777" w:rsidR="00E52BD5" w:rsidRPr="009F1177" w:rsidRDefault="00E52BD5" w:rsidP="00E52BD5">
      <w:pPr>
        <w:shd w:val="clear" w:color="auto" w:fill="FFFFFF"/>
        <w:spacing w:after="0" w:line="240" w:lineRule="auto"/>
        <w:rPr>
          <w:rFonts w:ascii="Arial" w:eastAsia="Times New Roman" w:hAnsi="Arial" w:cs="Arial"/>
          <w:color w:val="242424"/>
          <w:kern w:val="0"/>
          <w:sz w:val="22"/>
          <w:szCs w:val="22"/>
          <w:lang w:eastAsia="en-GB"/>
          <w14:ligatures w14:val="none"/>
        </w:rPr>
      </w:pPr>
      <w:r w:rsidRPr="009F1177">
        <w:rPr>
          <w:rFonts w:ascii="Arial" w:eastAsia="Times New Roman" w:hAnsi="Arial" w:cs="Arial"/>
          <w:color w:val="242424"/>
          <w:kern w:val="0"/>
          <w:sz w:val="22"/>
          <w:szCs w:val="22"/>
          <w:bdr w:val="none" w:sz="0" w:space="0" w:color="auto" w:frame="1"/>
          <w:lang w:eastAsia="en-GB"/>
          <w14:ligatures w14:val="none"/>
        </w:rPr>
        <w:t>World Economic Forum (2023) Future of Jobs Report. Available at: https://www.weforum.org</w:t>
      </w:r>
    </w:p>
    <w:p w14:paraId="5929F770" w14:textId="77777777" w:rsidR="00E52BD5" w:rsidRDefault="00E52BD5"/>
    <w:sectPr w:rsidR="00E52BD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9549F" w14:textId="77777777" w:rsidR="00E700B5" w:rsidRDefault="00E700B5" w:rsidP="00C0187E">
      <w:pPr>
        <w:spacing w:after="0" w:line="240" w:lineRule="auto"/>
      </w:pPr>
      <w:r>
        <w:separator/>
      </w:r>
    </w:p>
  </w:endnote>
  <w:endnote w:type="continuationSeparator" w:id="0">
    <w:p w14:paraId="4E21D3C8" w14:textId="77777777" w:rsidR="00E700B5" w:rsidRDefault="00E700B5" w:rsidP="00C01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NewRomanPS-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509918"/>
      <w:docPartObj>
        <w:docPartGallery w:val="Page Numbers (Bottom of Page)"/>
        <w:docPartUnique/>
      </w:docPartObj>
    </w:sdtPr>
    <w:sdtEndPr>
      <w:rPr>
        <w:noProof/>
      </w:rPr>
    </w:sdtEndPr>
    <w:sdtContent>
      <w:p w14:paraId="1B119DDD" w14:textId="5D909F16" w:rsidR="00C0187E" w:rsidRDefault="00C018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06A749" w14:textId="77777777" w:rsidR="00C0187E" w:rsidRDefault="00C01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3D25E" w14:textId="77777777" w:rsidR="00E700B5" w:rsidRDefault="00E700B5" w:rsidP="00C0187E">
      <w:pPr>
        <w:spacing w:after="0" w:line="240" w:lineRule="auto"/>
      </w:pPr>
      <w:r>
        <w:separator/>
      </w:r>
    </w:p>
  </w:footnote>
  <w:footnote w:type="continuationSeparator" w:id="0">
    <w:p w14:paraId="75D939C6" w14:textId="77777777" w:rsidR="00E700B5" w:rsidRDefault="00E700B5" w:rsidP="00C018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53E18"/>
    <w:multiLevelType w:val="multilevel"/>
    <w:tmpl w:val="9EB2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16625E"/>
    <w:multiLevelType w:val="multilevel"/>
    <w:tmpl w:val="D7F80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2429964">
    <w:abstractNumId w:val="1"/>
  </w:num>
  <w:num w:numId="2" w16cid:durableId="2124422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87E"/>
    <w:rsid w:val="003213FE"/>
    <w:rsid w:val="00371ED5"/>
    <w:rsid w:val="003C101E"/>
    <w:rsid w:val="00495A67"/>
    <w:rsid w:val="00614D7B"/>
    <w:rsid w:val="009E4920"/>
    <w:rsid w:val="00C0187E"/>
    <w:rsid w:val="00C6500F"/>
    <w:rsid w:val="00D77528"/>
    <w:rsid w:val="00E52BD5"/>
    <w:rsid w:val="00E700B5"/>
    <w:rsid w:val="00FF3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6A61A"/>
  <w15:chartTrackingRefBased/>
  <w15:docId w15:val="{07159BC0-B382-4883-88C5-1354C3813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8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8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8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8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8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8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8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8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8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8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8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8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8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8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87E"/>
    <w:rPr>
      <w:rFonts w:eastAsiaTheme="majorEastAsia" w:cstheme="majorBidi"/>
      <w:color w:val="272727" w:themeColor="text1" w:themeTint="D8"/>
    </w:rPr>
  </w:style>
  <w:style w:type="paragraph" w:styleId="Title">
    <w:name w:val="Title"/>
    <w:basedOn w:val="Normal"/>
    <w:next w:val="Normal"/>
    <w:link w:val="TitleChar"/>
    <w:uiPriority w:val="10"/>
    <w:qFormat/>
    <w:rsid w:val="00C018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8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87E"/>
    <w:pPr>
      <w:spacing w:before="160"/>
      <w:jc w:val="center"/>
    </w:pPr>
    <w:rPr>
      <w:i/>
      <w:iCs/>
      <w:color w:val="404040" w:themeColor="text1" w:themeTint="BF"/>
    </w:rPr>
  </w:style>
  <w:style w:type="character" w:customStyle="1" w:styleId="QuoteChar">
    <w:name w:val="Quote Char"/>
    <w:basedOn w:val="DefaultParagraphFont"/>
    <w:link w:val="Quote"/>
    <w:uiPriority w:val="29"/>
    <w:rsid w:val="00C0187E"/>
    <w:rPr>
      <w:i/>
      <w:iCs/>
      <w:color w:val="404040" w:themeColor="text1" w:themeTint="BF"/>
    </w:rPr>
  </w:style>
  <w:style w:type="paragraph" w:styleId="ListParagraph">
    <w:name w:val="List Paragraph"/>
    <w:basedOn w:val="Normal"/>
    <w:uiPriority w:val="34"/>
    <w:qFormat/>
    <w:rsid w:val="00C0187E"/>
    <w:pPr>
      <w:ind w:left="720"/>
      <w:contextualSpacing/>
    </w:pPr>
  </w:style>
  <w:style w:type="character" w:styleId="IntenseEmphasis">
    <w:name w:val="Intense Emphasis"/>
    <w:basedOn w:val="DefaultParagraphFont"/>
    <w:uiPriority w:val="21"/>
    <w:qFormat/>
    <w:rsid w:val="00C0187E"/>
    <w:rPr>
      <w:i/>
      <w:iCs/>
      <w:color w:val="0F4761" w:themeColor="accent1" w:themeShade="BF"/>
    </w:rPr>
  </w:style>
  <w:style w:type="paragraph" w:styleId="IntenseQuote">
    <w:name w:val="Intense Quote"/>
    <w:basedOn w:val="Normal"/>
    <w:next w:val="Normal"/>
    <w:link w:val="IntenseQuoteChar"/>
    <w:uiPriority w:val="30"/>
    <w:qFormat/>
    <w:rsid w:val="00C018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87E"/>
    <w:rPr>
      <w:i/>
      <w:iCs/>
      <w:color w:val="0F4761" w:themeColor="accent1" w:themeShade="BF"/>
    </w:rPr>
  </w:style>
  <w:style w:type="character" w:styleId="IntenseReference">
    <w:name w:val="Intense Reference"/>
    <w:basedOn w:val="DefaultParagraphFont"/>
    <w:uiPriority w:val="32"/>
    <w:qFormat/>
    <w:rsid w:val="00C0187E"/>
    <w:rPr>
      <w:b/>
      <w:bCs/>
      <w:smallCaps/>
      <w:color w:val="0F4761" w:themeColor="accent1" w:themeShade="BF"/>
      <w:spacing w:val="5"/>
    </w:rPr>
  </w:style>
  <w:style w:type="paragraph" w:styleId="Header">
    <w:name w:val="header"/>
    <w:basedOn w:val="Normal"/>
    <w:link w:val="HeaderChar"/>
    <w:uiPriority w:val="99"/>
    <w:unhideWhenUsed/>
    <w:rsid w:val="00C018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87E"/>
  </w:style>
  <w:style w:type="paragraph" w:styleId="Footer">
    <w:name w:val="footer"/>
    <w:basedOn w:val="Normal"/>
    <w:link w:val="FooterChar"/>
    <w:uiPriority w:val="99"/>
    <w:unhideWhenUsed/>
    <w:rsid w:val="00C018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87E"/>
  </w:style>
  <w:style w:type="paragraph" w:styleId="NormalWeb">
    <w:name w:val="Normal (Web)"/>
    <w:basedOn w:val="Normal"/>
    <w:uiPriority w:val="99"/>
    <w:semiHidden/>
    <w:unhideWhenUsed/>
    <w:rsid w:val="00371E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TotalTime>
  <Pages>7</Pages>
  <Words>1992</Words>
  <Characters>13452</Characters>
  <Application>Microsoft Office Word</Application>
  <DocSecurity>0</DocSecurity>
  <Lines>384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Hibbert (2428717)</dc:creator>
  <cp:keywords/>
  <dc:description/>
  <cp:lastModifiedBy>Jade Hibbert (2428717)</cp:lastModifiedBy>
  <cp:revision>1</cp:revision>
  <dcterms:created xsi:type="dcterms:W3CDTF">2026-03-25T11:56:00Z</dcterms:created>
  <dcterms:modified xsi:type="dcterms:W3CDTF">2026-03-25T13:25:00Z</dcterms:modified>
</cp:coreProperties>
</file>