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7091A" w14:textId="52DCDA56" w:rsidR="005F6A3B" w:rsidRPr="005F6A3B" w:rsidRDefault="005F6A3B" w:rsidP="005F6A3B">
      <w:pPr>
        <w:ind w:left="720"/>
        <w:jc w:val="center"/>
        <w:rPr>
          <w:rFonts w:asciiTheme="majorHAnsi" w:hAnsiTheme="majorHAnsi" w:cstheme="majorHAnsi"/>
          <w:b/>
          <w:sz w:val="28"/>
          <w:szCs w:val="24"/>
          <w:u w:val="single"/>
        </w:rPr>
      </w:pPr>
      <w:r w:rsidRPr="005F6A3B">
        <w:rPr>
          <w:rFonts w:asciiTheme="majorHAnsi" w:hAnsiTheme="majorHAnsi" w:cstheme="majorHAnsi"/>
          <w:b/>
          <w:sz w:val="24"/>
          <w:szCs w:val="22"/>
          <w:u w:val="single"/>
        </w:rPr>
        <w:t>Supporting pupil progress: a detailed analysis of one child’s holistic development, with justification for the next steps in learning.</w:t>
      </w:r>
    </w:p>
    <w:p w14:paraId="7F247A79" w14:textId="77777777" w:rsidR="005F6A3B" w:rsidRDefault="005F6A3B" w:rsidP="005F6A3B">
      <w:pPr>
        <w:ind w:left="720"/>
        <w:rPr>
          <w:rFonts w:ascii="Calibri" w:hAnsi="Calibri" w:cs="Arial"/>
          <w:b/>
          <w:sz w:val="24"/>
          <w:szCs w:val="24"/>
        </w:rPr>
      </w:pPr>
    </w:p>
    <w:p w14:paraId="5A74EE0A" w14:textId="77777777" w:rsidR="005F6A3B" w:rsidRDefault="005F6A3B" w:rsidP="005F6A3B">
      <w:pPr>
        <w:ind w:left="720"/>
        <w:rPr>
          <w:rFonts w:ascii="Calibri" w:hAnsi="Calibri" w:cs="Arial"/>
          <w:b/>
          <w:sz w:val="24"/>
          <w:szCs w:val="24"/>
        </w:rPr>
      </w:pPr>
    </w:p>
    <w:p w14:paraId="6DB6E774" w14:textId="77777777" w:rsidR="005F6A3B" w:rsidRPr="009E4A68" w:rsidRDefault="005F6A3B" w:rsidP="005F6A3B">
      <w:pPr>
        <w:ind w:left="720"/>
        <w:rPr>
          <w:rFonts w:ascii="Calibri" w:hAnsi="Calibri" w:cs="Arial"/>
          <w:sz w:val="24"/>
          <w:szCs w:val="24"/>
        </w:rPr>
      </w:pPr>
    </w:p>
    <w:p w14:paraId="05F43545" w14:textId="7C0E5DC0" w:rsidR="005F6A3B" w:rsidRDefault="005554BA" w:rsidP="00476F4A">
      <w:pPr>
        <w:rPr>
          <w:rFonts w:ascii="Calibri" w:hAnsi="Calibri" w:cs="Arial"/>
          <w:sz w:val="24"/>
          <w:szCs w:val="24"/>
        </w:rPr>
      </w:pPr>
      <w:r>
        <w:rPr>
          <w:rFonts w:ascii="Calibri" w:hAnsi="Calibri" w:cs="Arial"/>
          <w:sz w:val="24"/>
          <w:szCs w:val="24"/>
        </w:rPr>
        <w:t>The research that has been carried out has taken place in a medium sized Primary School in the Vale of Glamorgan. There are currently 440 pupils in the school and it is taught over a series of 16 single-age classes (Reference removed due to anonymity). The school has 10% of pupils who are eligible for FSM (free school meals) which is well below the Welsh national average of 19% (Reference removed due to anonymity).</w:t>
      </w:r>
      <w:r w:rsidR="00C41043">
        <w:rPr>
          <w:rFonts w:ascii="Calibri" w:hAnsi="Calibri" w:cs="Arial"/>
          <w:sz w:val="24"/>
          <w:szCs w:val="24"/>
        </w:rPr>
        <w:t xml:space="preserve"> There are no EAL pupils on record. To carry out the research that was needed within the classroom it was required that one focus child was chosen. The focus child that was chosen (Learner A) was a six year old female in a Year 1 class. </w:t>
      </w:r>
      <w:r w:rsidR="009E5342">
        <w:rPr>
          <w:rFonts w:ascii="Calibri" w:hAnsi="Calibri" w:cs="Arial"/>
          <w:sz w:val="24"/>
          <w:szCs w:val="24"/>
        </w:rPr>
        <w:t xml:space="preserve">There have been few assessments that have been previously carried out on learner A by the classroom teacher. Learner A is currently working at outcome 3 mostly with elements of outcome 4 which is the expected outcome at Year 1. When asked about learner A the teacher told me that she was very receptive and eager to learn. However has a tendency to sit back and let others do work for her when working in groups. This is something that I have tried to keep in mind when conducting the research throughout. </w:t>
      </w:r>
    </w:p>
    <w:p w14:paraId="7356BB19" w14:textId="61549987" w:rsidR="002B7A6D" w:rsidRDefault="002B7A6D" w:rsidP="005F6A3B">
      <w:pPr>
        <w:ind w:left="720"/>
        <w:rPr>
          <w:rFonts w:ascii="Calibri" w:hAnsi="Calibri" w:cs="Arial"/>
          <w:sz w:val="24"/>
          <w:szCs w:val="24"/>
        </w:rPr>
      </w:pPr>
    </w:p>
    <w:p w14:paraId="0592BC2B" w14:textId="69497537" w:rsidR="002B7A6D" w:rsidRDefault="002B7A6D" w:rsidP="005F6A3B">
      <w:pPr>
        <w:ind w:left="720"/>
        <w:rPr>
          <w:rFonts w:ascii="Calibri" w:hAnsi="Calibri" w:cs="Arial"/>
          <w:sz w:val="24"/>
          <w:szCs w:val="24"/>
        </w:rPr>
      </w:pPr>
    </w:p>
    <w:p w14:paraId="4222B6A4" w14:textId="77777777" w:rsidR="002B7A6D" w:rsidRPr="009E4A68" w:rsidRDefault="002B7A6D" w:rsidP="005F6A3B">
      <w:pPr>
        <w:ind w:left="720"/>
        <w:rPr>
          <w:rFonts w:ascii="Calibri" w:hAnsi="Calibri" w:cs="Arial"/>
          <w:sz w:val="24"/>
          <w:szCs w:val="24"/>
        </w:rPr>
      </w:pPr>
    </w:p>
    <w:p w14:paraId="11E23483" w14:textId="2E05370B" w:rsidR="009E5342" w:rsidRDefault="009E5342" w:rsidP="005F6A3B">
      <w:pPr>
        <w:ind w:left="720"/>
        <w:rPr>
          <w:rFonts w:ascii="Calibri" w:hAnsi="Calibri" w:cs="Arial"/>
          <w:sz w:val="24"/>
          <w:szCs w:val="24"/>
        </w:rPr>
      </w:pPr>
    </w:p>
    <w:p w14:paraId="72FC1710" w14:textId="603B2696" w:rsidR="005F6A3B" w:rsidRDefault="009E5342" w:rsidP="00476F4A">
      <w:pPr>
        <w:rPr>
          <w:rFonts w:ascii="Calibri" w:hAnsi="Calibri" w:cs="Arial"/>
          <w:sz w:val="24"/>
          <w:szCs w:val="24"/>
        </w:rPr>
      </w:pPr>
      <w:r>
        <w:rPr>
          <w:rFonts w:ascii="Calibri" w:hAnsi="Calibri" w:cs="Arial"/>
          <w:sz w:val="24"/>
          <w:szCs w:val="24"/>
        </w:rPr>
        <w:t>The data collection methods that have</w:t>
      </w:r>
      <w:r w:rsidR="00A813BC">
        <w:rPr>
          <w:rFonts w:ascii="Calibri" w:hAnsi="Calibri" w:cs="Arial"/>
          <w:sz w:val="24"/>
          <w:szCs w:val="24"/>
        </w:rPr>
        <w:t xml:space="preserve"> been</w:t>
      </w:r>
      <w:r>
        <w:rPr>
          <w:rFonts w:ascii="Calibri" w:hAnsi="Calibri" w:cs="Arial"/>
          <w:sz w:val="24"/>
          <w:szCs w:val="24"/>
        </w:rPr>
        <w:t xml:space="preserve"> used </w:t>
      </w:r>
      <w:r w:rsidR="00A813BC">
        <w:rPr>
          <w:rFonts w:ascii="Calibri" w:hAnsi="Calibri" w:cs="Arial"/>
          <w:sz w:val="24"/>
          <w:szCs w:val="24"/>
        </w:rPr>
        <w:t xml:space="preserve">within the research carried out </w:t>
      </w:r>
      <w:r>
        <w:rPr>
          <w:rFonts w:ascii="Calibri" w:hAnsi="Calibri" w:cs="Arial"/>
          <w:sz w:val="24"/>
          <w:szCs w:val="24"/>
        </w:rPr>
        <w:t xml:space="preserve">are the Mosaic approach and </w:t>
      </w:r>
      <w:r w:rsidR="00F30420">
        <w:rPr>
          <w:rFonts w:ascii="Calibri" w:hAnsi="Calibri" w:cs="Arial"/>
          <w:sz w:val="24"/>
          <w:szCs w:val="24"/>
        </w:rPr>
        <w:t xml:space="preserve">the ASK model. </w:t>
      </w:r>
      <w:r w:rsidR="00A813BC">
        <w:rPr>
          <w:rFonts w:ascii="Calibri" w:hAnsi="Calibri" w:cs="Arial"/>
          <w:sz w:val="24"/>
          <w:szCs w:val="24"/>
        </w:rPr>
        <w:t xml:space="preserve">The primary approach that has been used for the purpose of this research is the Mosaic approach. </w:t>
      </w:r>
      <w:r w:rsidR="004544C7">
        <w:rPr>
          <w:rFonts w:ascii="Calibri" w:hAnsi="Calibri" w:cs="Arial"/>
          <w:sz w:val="24"/>
          <w:szCs w:val="24"/>
        </w:rPr>
        <w:t xml:space="preserve">This approach considers the voice of the learners and explores their rights as children to have an opinion and participate actively in their own learning </w:t>
      </w:r>
      <w:r w:rsidR="004544C7" w:rsidRPr="004544C7">
        <w:rPr>
          <w:rFonts w:ascii="Calibri" w:hAnsi="Calibri" w:cs="Arial"/>
          <w:b/>
          <w:sz w:val="24"/>
          <w:szCs w:val="24"/>
        </w:rPr>
        <w:t>(Clark, 2007)</w:t>
      </w:r>
      <w:r w:rsidR="004544C7">
        <w:rPr>
          <w:rFonts w:ascii="Calibri" w:hAnsi="Calibri" w:cs="Arial"/>
          <w:b/>
          <w:sz w:val="24"/>
          <w:szCs w:val="24"/>
        </w:rPr>
        <w:t xml:space="preserve">. </w:t>
      </w:r>
      <w:r w:rsidR="004544C7">
        <w:rPr>
          <w:rFonts w:ascii="Calibri" w:hAnsi="Calibri" w:cs="Arial"/>
          <w:sz w:val="24"/>
          <w:szCs w:val="24"/>
        </w:rPr>
        <w:t xml:space="preserve">Giving us as the observers and active teachers to focus on what the learner perceives to be the most or least helpful to them in the classroom environment </w:t>
      </w:r>
      <w:r w:rsidR="004544C7" w:rsidRPr="004544C7">
        <w:rPr>
          <w:rFonts w:ascii="Calibri" w:hAnsi="Calibri" w:cs="Arial"/>
          <w:b/>
          <w:sz w:val="24"/>
          <w:szCs w:val="24"/>
        </w:rPr>
        <w:t>(Clark and Moss, 2005).</w:t>
      </w:r>
      <w:r w:rsidR="004544C7">
        <w:rPr>
          <w:rFonts w:ascii="Calibri" w:hAnsi="Calibri" w:cs="Arial"/>
          <w:b/>
          <w:sz w:val="24"/>
          <w:szCs w:val="24"/>
        </w:rPr>
        <w:t xml:space="preserve"> </w:t>
      </w:r>
      <w:r w:rsidR="00064BA3">
        <w:rPr>
          <w:rFonts w:ascii="Calibri" w:hAnsi="Calibri" w:cs="Arial"/>
          <w:sz w:val="24"/>
          <w:szCs w:val="24"/>
        </w:rPr>
        <w:t xml:space="preserve">Gaining this perspective from the learner is an imperative part of this research and for the development of their own learning. The Mosaic approach is made up of many different methods to obtain the data needed. Firstly through observations of the learner, photographs/interview on what they believe is important to them in order to aid in their learning. Discussions and feedback on their own learning experiences, as well as, pieces of work in different areas of learning and RAG ratings and reading records. All of these qualitative data collections are to give us the most honest and in depth review as possible. </w:t>
      </w:r>
      <w:proofErr w:type="spellStart"/>
      <w:r w:rsidR="00064BA3">
        <w:rPr>
          <w:rFonts w:ascii="Calibri" w:hAnsi="Calibri" w:cs="Arial"/>
          <w:b/>
          <w:sz w:val="24"/>
          <w:szCs w:val="24"/>
        </w:rPr>
        <w:t>Atenio</w:t>
      </w:r>
      <w:proofErr w:type="spellEnd"/>
      <w:r w:rsidR="00064BA3">
        <w:rPr>
          <w:rFonts w:ascii="Calibri" w:hAnsi="Calibri" w:cs="Arial"/>
          <w:b/>
          <w:sz w:val="24"/>
          <w:szCs w:val="24"/>
        </w:rPr>
        <w:t xml:space="preserve"> (</w:t>
      </w:r>
      <w:r w:rsidR="00FB3D3E">
        <w:rPr>
          <w:rFonts w:ascii="Calibri" w:hAnsi="Calibri" w:cs="Arial"/>
          <w:b/>
          <w:sz w:val="24"/>
          <w:szCs w:val="24"/>
        </w:rPr>
        <w:t>2009</w:t>
      </w:r>
      <w:r w:rsidR="00064BA3">
        <w:rPr>
          <w:rFonts w:ascii="Calibri" w:hAnsi="Calibri" w:cs="Arial"/>
          <w:b/>
          <w:sz w:val="24"/>
          <w:szCs w:val="24"/>
        </w:rPr>
        <w:t xml:space="preserve">) </w:t>
      </w:r>
      <w:r w:rsidR="00064BA3">
        <w:rPr>
          <w:rFonts w:ascii="Calibri" w:hAnsi="Calibri" w:cs="Arial"/>
          <w:sz w:val="24"/>
          <w:szCs w:val="24"/>
        </w:rPr>
        <w:t xml:space="preserve">suggests that qualitative data is </w:t>
      </w:r>
      <w:r w:rsidR="00064BA3">
        <w:rPr>
          <w:rFonts w:ascii="Calibri" w:hAnsi="Calibri" w:cs="Arial"/>
          <w:b/>
          <w:sz w:val="24"/>
          <w:szCs w:val="24"/>
        </w:rPr>
        <w:t xml:space="preserve">good </w:t>
      </w:r>
      <w:r w:rsidR="00064BA3">
        <w:rPr>
          <w:rFonts w:ascii="Calibri" w:hAnsi="Calibri" w:cs="Arial"/>
          <w:sz w:val="24"/>
          <w:szCs w:val="24"/>
        </w:rPr>
        <w:t>for simplifying a lot of data that has been compounded, without losing the complexity and integrity of the context.</w:t>
      </w:r>
      <w:r w:rsidR="00FB3D3E">
        <w:rPr>
          <w:rFonts w:ascii="Calibri" w:hAnsi="Calibri" w:cs="Arial"/>
          <w:sz w:val="24"/>
          <w:szCs w:val="24"/>
        </w:rPr>
        <w:t xml:space="preserve"> The purpose of this data is to see how participants view their own experience of the context rather than how the researcher did (</w:t>
      </w:r>
      <w:proofErr w:type="spellStart"/>
      <w:r w:rsidR="00FB3D3E">
        <w:rPr>
          <w:rFonts w:ascii="Calibri" w:hAnsi="Calibri" w:cs="Arial"/>
          <w:b/>
          <w:sz w:val="24"/>
          <w:szCs w:val="24"/>
        </w:rPr>
        <w:t>Atenio</w:t>
      </w:r>
      <w:proofErr w:type="spellEnd"/>
      <w:r w:rsidR="00FB3D3E">
        <w:rPr>
          <w:rFonts w:ascii="Calibri" w:hAnsi="Calibri" w:cs="Arial"/>
          <w:b/>
          <w:sz w:val="24"/>
          <w:szCs w:val="24"/>
        </w:rPr>
        <w:t xml:space="preserve">, 2009). </w:t>
      </w:r>
      <w:r w:rsidR="00FB3D3E">
        <w:rPr>
          <w:rFonts w:ascii="Calibri" w:hAnsi="Calibri" w:cs="Arial"/>
          <w:sz w:val="24"/>
          <w:szCs w:val="24"/>
        </w:rPr>
        <w:t>However, a drawback to using qualitative data would be that the research and data that has been collected is unable to be applied to the rest of the classroom. (</w:t>
      </w:r>
      <w:proofErr w:type="spellStart"/>
      <w:r w:rsidR="00FB3D3E">
        <w:rPr>
          <w:rFonts w:ascii="Calibri" w:hAnsi="Calibri" w:cs="Arial"/>
          <w:b/>
          <w:sz w:val="24"/>
          <w:szCs w:val="24"/>
        </w:rPr>
        <w:t>Atenio</w:t>
      </w:r>
      <w:proofErr w:type="spellEnd"/>
      <w:r w:rsidR="00FB3D3E">
        <w:rPr>
          <w:rFonts w:ascii="Calibri" w:hAnsi="Calibri" w:cs="Arial"/>
          <w:b/>
          <w:sz w:val="24"/>
          <w:szCs w:val="24"/>
        </w:rPr>
        <w:t xml:space="preserve">, 2009). </w:t>
      </w:r>
      <w:r w:rsidR="00FB3D3E">
        <w:rPr>
          <w:rFonts w:ascii="Calibri" w:hAnsi="Calibri" w:cs="Arial"/>
          <w:sz w:val="24"/>
          <w:szCs w:val="24"/>
        </w:rPr>
        <w:t xml:space="preserve">Although, this piece of research is strictly for one child within the classroom setting not all, so this is kept to a minimum. </w:t>
      </w:r>
      <w:r w:rsidR="00CE4342">
        <w:rPr>
          <w:rFonts w:ascii="Calibri" w:hAnsi="Calibri" w:cs="Arial"/>
          <w:sz w:val="24"/>
          <w:szCs w:val="24"/>
        </w:rPr>
        <w:t>Observational data used in this research has been useful in gathering the evidence that may not have been seen or spoken about (Cohen, 200</w:t>
      </w:r>
      <w:r w:rsidR="00CE4342">
        <w:rPr>
          <w:rFonts w:ascii="Calibri" w:hAnsi="Calibri" w:cs="Arial"/>
          <w:b/>
          <w:sz w:val="24"/>
          <w:szCs w:val="24"/>
        </w:rPr>
        <w:t>0)</w:t>
      </w:r>
      <w:r w:rsidR="00CE4342">
        <w:rPr>
          <w:rFonts w:ascii="Calibri" w:hAnsi="Calibri" w:cs="Arial"/>
          <w:sz w:val="24"/>
          <w:szCs w:val="24"/>
        </w:rPr>
        <w:t xml:space="preserve"> This was an effective tool in gaining some insight to the learners knowledge, as well as, the non-verbal communication that went on.</w:t>
      </w:r>
      <w:r w:rsidR="00A473D5">
        <w:rPr>
          <w:rFonts w:ascii="Calibri" w:hAnsi="Calibri" w:cs="Arial"/>
          <w:sz w:val="24"/>
          <w:szCs w:val="24"/>
        </w:rPr>
        <w:t xml:space="preserve"> </w:t>
      </w:r>
      <w:r w:rsidR="00A473D5">
        <w:rPr>
          <w:rFonts w:ascii="Calibri" w:hAnsi="Calibri" w:cs="Arial"/>
          <w:b/>
          <w:sz w:val="24"/>
          <w:szCs w:val="24"/>
        </w:rPr>
        <w:t xml:space="preserve">Cohen (2000) </w:t>
      </w:r>
      <w:r w:rsidR="00A473D5">
        <w:rPr>
          <w:rFonts w:ascii="Calibri" w:hAnsi="Calibri" w:cs="Arial"/>
          <w:sz w:val="24"/>
          <w:szCs w:val="24"/>
        </w:rPr>
        <w:t xml:space="preserve">suggests to us that typically the role of an </w:t>
      </w:r>
      <w:r w:rsidR="00A473D5">
        <w:rPr>
          <w:rFonts w:ascii="Calibri" w:hAnsi="Calibri" w:cs="Arial"/>
          <w:sz w:val="24"/>
          <w:szCs w:val="24"/>
        </w:rPr>
        <w:lastRenderedPageBreak/>
        <w:t xml:space="preserve">observer is to not be involved with those being observed as it may cause a change in nature if they are made aware that they are being observed. This is a limitation of this particular method as the learner was aware of my presence and that may have changed some behaviour. </w:t>
      </w:r>
    </w:p>
    <w:p w14:paraId="584436EF" w14:textId="4BFC64FC" w:rsidR="00A473D5" w:rsidRDefault="00A473D5" w:rsidP="00FB3D3E">
      <w:pPr>
        <w:ind w:left="720"/>
        <w:rPr>
          <w:rFonts w:ascii="Calibri" w:hAnsi="Calibri" w:cs="Arial"/>
          <w:sz w:val="24"/>
          <w:szCs w:val="24"/>
        </w:rPr>
      </w:pPr>
    </w:p>
    <w:p w14:paraId="2CBB028C" w14:textId="0A0C6CCC" w:rsidR="00A473D5" w:rsidRDefault="00A473D5" w:rsidP="00476F4A">
      <w:pPr>
        <w:rPr>
          <w:rFonts w:ascii="Calibri" w:hAnsi="Calibri" w:cs="Arial"/>
          <w:sz w:val="24"/>
          <w:szCs w:val="24"/>
        </w:rPr>
      </w:pPr>
      <w:r>
        <w:rPr>
          <w:rFonts w:ascii="Calibri" w:hAnsi="Calibri" w:cs="Arial"/>
          <w:sz w:val="24"/>
          <w:szCs w:val="24"/>
        </w:rPr>
        <w:t xml:space="preserve">It was very important that a unstructured interview took place in order to obtain how learner A felt or perceived the environment around them. </w:t>
      </w:r>
      <w:r>
        <w:rPr>
          <w:rFonts w:ascii="Calibri" w:hAnsi="Calibri" w:cs="Arial"/>
          <w:b/>
          <w:sz w:val="24"/>
          <w:szCs w:val="24"/>
        </w:rPr>
        <w:t xml:space="preserve">Cohen (2000) </w:t>
      </w:r>
      <w:r>
        <w:rPr>
          <w:rFonts w:ascii="Calibri" w:hAnsi="Calibri" w:cs="Arial"/>
          <w:sz w:val="24"/>
          <w:szCs w:val="24"/>
        </w:rPr>
        <w:t xml:space="preserve">states that children differ from adults in almost every way from their attention span all the way to the way they perceive the world. </w:t>
      </w:r>
      <w:r w:rsidR="00DE2BFC">
        <w:rPr>
          <w:rFonts w:ascii="Calibri" w:hAnsi="Calibri" w:cs="Arial"/>
          <w:sz w:val="24"/>
          <w:szCs w:val="24"/>
        </w:rPr>
        <w:t>Drawbacks of interviewing children are that they have a short attention span so not much information can be collected at one time. Also, children may try to say things that they expect you want to hear rather than their true feelings (</w:t>
      </w:r>
      <w:r w:rsidR="00DE2BFC">
        <w:rPr>
          <w:rFonts w:ascii="Calibri" w:hAnsi="Calibri" w:cs="Arial"/>
          <w:b/>
          <w:sz w:val="24"/>
          <w:szCs w:val="24"/>
        </w:rPr>
        <w:t xml:space="preserve">Cohen, 2000). </w:t>
      </w:r>
      <w:r>
        <w:rPr>
          <w:rFonts w:ascii="Calibri" w:hAnsi="Calibri" w:cs="Arial"/>
          <w:sz w:val="24"/>
          <w:szCs w:val="24"/>
        </w:rPr>
        <w:t>Which is why it was important for</w:t>
      </w:r>
      <w:r w:rsidR="00DE2BFC">
        <w:rPr>
          <w:rFonts w:ascii="Calibri" w:hAnsi="Calibri" w:cs="Arial"/>
          <w:sz w:val="24"/>
          <w:szCs w:val="24"/>
        </w:rPr>
        <w:t xml:space="preserve"> the</w:t>
      </w:r>
      <w:r>
        <w:rPr>
          <w:rFonts w:ascii="Calibri" w:hAnsi="Calibri" w:cs="Arial"/>
          <w:sz w:val="24"/>
          <w:szCs w:val="24"/>
        </w:rPr>
        <w:t xml:space="preserve"> interviews within</w:t>
      </w:r>
      <w:r w:rsidR="00DE2BFC">
        <w:rPr>
          <w:rFonts w:ascii="Calibri" w:hAnsi="Calibri" w:cs="Arial"/>
          <w:sz w:val="24"/>
          <w:szCs w:val="24"/>
        </w:rPr>
        <w:t xml:space="preserve"> this</w:t>
      </w:r>
      <w:r>
        <w:rPr>
          <w:rFonts w:ascii="Calibri" w:hAnsi="Calibri" w:cs="Arial"/>
          <w:sz w:val="24"/>
          <w:szCs w:val="24"/>
        </w:rPr>
        <w:t xml:space="preserve"> research to happen in the context of activities or play, employing open ended questions and letting the conversation flow where learner A wanted it to.</w:t>
      </w:r>
      <w:r w:rsidR="00DE2BFC">
        <w:rPr>
          <w:rFonts w:ascii="Calibri" w:hAnsi="Calibri" w:cs="Arial"/>
          <w:sz w:val="24"/>
          <w:szCs w:val="24"/>
        </w:rPr>
        <w:t xml:space="preserve"> Encouraging open and honest answers from learner A was top priority. </w:t>
      </w:r>
    </w:p>
    <w:p w14:paraId="19B68A0E" w14:textId="0ADAFA8E" w:rsidR="00DE2BFC" w:rsidRDefault="00DE2BFC" w:rsidP="00DE2BFC">
      <w:pPr>
        <w:ind w:left="720"/>
        <w:rPr>
          <w:rFonts w:ascii="Calibri" w:hAnsi="Calibri" w:cs="Arial"/>
          <w:b/>
          <w:sz w:val="24"/>
          <w:szCs w:val="24"/>
        </w:rPr>
      </w:pPr>
    </w:p>
    <w:p w14:paraId="0DCAC74C" w14:textId="2171A6FE" w:rsidR="00DE2BFC" w:rsidRPr="00DE2BFC" w:rsidRDefault="00DE2BFC" w:rsidP="00476F4A">
      <w:pPr>
        <w:rPr>
          <w:rFonts w:ascii="Calibri" w:hAnsi="Calibri" w:cs="Arial"/>
          <w:sz w:val="24"/>
          <w:szCs w:val="24"/>
        </w:rPr>
      </w:pPr>
      <w:r>
        <w:rPr>
          <w:rFonts w:ascii="Calibri" w:hAnsi="Calibri" w:cs="Arial"/>
          <w:sz w:val="24"/>
          <w:szCs w:val="24"/>
        </w:rPr>
        <w:t xml:space="preserve">Letters were sent out to parents and signed before any data collection had started. Ensuring that learner A was a willing participant throughout collection, all data that has been collected for this research has been completely anonymised. Whenever learner A stated that they did not want to continue on with interviews it was immediately stopped. All data has been kept in a secure password protected device that only the researcher can access. </w:t>
      </w:r>
    </w:p>
    <w:p w14:paraId="77DC93E5" w14:textId="6422B03A" w:rsidR="00A813BC" w:rsidRDefault="00A813BC" w:rsidP="005F6A3B">
      <w:pPr>
        <w:tabs>
          <w:tab w:val="left" w:pos="1170"/>
        </w:tabs>
        <w:ind w:left="720"/>
        <w:rPr>
          <w:rFonts w:ascii="Calibri" w:hAnsi="Calibri" w:cs="Arial"/>
          <w:sz w:val="24"/>
          <w:szCs w:val="24"/>
        </w:rPr>
      </w:pPr>
    </w:p>
    <w:p w14:paraId="21CF7A9D" w14:textId="2F9F8ED6" w:rsidR="00A813BC" w:rsidRDefault="00A813BC" w:rsidP="005F6A3B">
      <w:pPr>
        <w:tabs>
          <w:tab w:val="left" w:pos="1170"/>
        </w:tabs>
        <w:ind w:left="720"/>
        <w:rPr>
          <w:rFonts w:ascii="Calibri" w:hAnsi="Calibri" w:cs="Arial"/>
          <w:sz w:val="24"/>
          <w:szCs w:val="24"/>
        </w:rPr>
      </w:pPr>
    </w:p>
    <w:p w14:paraId="17376B41" w14:textId="441A6957" w:rsidR="00A813BC" w:rsidRDefault="00A813BC" w:rsidP="005F6A3B">
      <w:pPr>
        <w:tabs>
          <w:tab w:val="left" w:pos="1170"/>
        </w:tabs>
        <w:ind w:left="720"/>
        <w:rPr>
          <w:rFonts w:ascii="Calibri" w:hAnsi="Calibri" w:cs="Arial"/>
          <w:sz w:val="24"/>
          <w:szCs w:val="24"/>
        </w:rPr>
      </w:pPr>
    </w:p>
    <w:p w14:paraId="44480872" w14:textId="1A78CF17" w:rsidR="00A813BC" w:rsidRDefault="00A813BC" w:rsidP="005F6A3B">
      <w:pPr>
        <w:tabs>
          <w:tab w:val="left" w:pos="1170"/>
        </w:tabs>
        <w:ind w:left="720"/>
        <w:rPr>
          <w:rFonts w:ascii="Calibri" w:hAnsi="Calibri" w:cs="Arial"/>
          <w:sz w:val="24"/>
          <w:szCs w:val="24"/>
        </w:rPr>
      </w:pPr>
    </w:p>
    <w:p w14:paraId="27AD5862" w14:textId="402475D4" w:rsidR="00A813BC" w:rsidRDefault="00A813BC" w:rsidP="005F6A3B">
      <w:pPr>
        <w:tabs>
          <w:tab w:val="left" w:pos="1170"/>
        </w:tabs>
        <w:ind w:left="720"/>
        <w:rPr>
          <w:rFonts w:ascii="Calibri" w:hAnsi="Calibri" w:cs="Arial"/>
          <w:sz w:val="24"/>
          <w:szCs w:val="24"/>
        </w:rPr>
      </w:pPr>
    </w:p>
    <w:p w14:paraId="51C911C4" w14:textId="29BB7E8C" w:rsidR="00A813BC" w:rsidRDefault="00A813BC" w:rsidP="005F6A3B">
      <w:pPr>
        <w:tabs>
          <w:tab w:val="left" w:pos="1170"/>
        </w:tabs>
        <w:ind w:left="720"/>
        <w:rPr>
          <w:rFonts w:ascii="Calibri" w:hAnsi="Calibri" w:cs="Arial"/>
          <w:sz w:val="24"/>
          <w:szCs w:val="24"/>
        </w:rPr>
      </w:pPr>
    </w:p>
    <w:p w14:paraId="18F27B62" w14:textId="29740CC2" w:rsidR="00A813BC" w:rsidRDefault="00A813BC" w:rsidP="005F6A3B">
      <w:pPr>
        <w:tabs>
          <w:tab w:val="left" w:pos="1170"/>
        </w:tabs>
        <w:ind w:left="720"/>
        <w:rPr>
          <w:rFonts w:ascii="Calibri" w:hAnsi="Calibri" w:cs="Arial"/>
          <w:sz w:val="24"/>
          <w:szCs w:val="24"/>
        </w:rPr>
      </w:pPr>
    </w:p>
    <w:p w14:paraId="641A441E" w14:textId="5EB42457" w:rsidR="00A813BC" w:rsidRDefault="00A813BC" w:rsidP="005F6A3B">
      <w:pPr>
        <w:tabs>
          <w:tab w:val="left" w:pos="1170"/>
        </w:tabs>
        <w:ind w:left="720"/>
        <w:rPr>
          <w:rFonts w:ascii="Calibri" w:hAnsi="Calibri" w:cs="Arial"/>
          <w:sz w:val="24"/>
          <w:szCs w:val="24"/>
        </w:rPr>
      </w:pPr>
    </w:p>
    <w:p w14:paraId="3FE2F798" w14:textId="202020AA" w:rsidR="00A813BC" w:rsidRDefault="00A813BC" w:rsidP="005F6A3B">
      <w:pPr>
        <w:tabs>
          <w:tab w:val="left" w:pos="1170"/>
        </w:tabs>
        <w:ind w:left="720"/>
        <w:rPr>
          <w:rFonts w:ascii="Calibri" w:hAnsi="Calibri" w:cs="Arial"/>
          <w:sz w:val="24"/>
          <w:szCs w:val="24"/>
        </w:rPr>
      </w:pPr>
    </w:p>
    <w:p w14:paraId="0B91CAB1" w14:textId="73198CDD" w:rsidR="00DE2BFC" w:rsidRDefault="00DE2BFC" w:rsidP="005F6A3B">
      <w:pPr>
        <w:tabs>
          <w:tab w:val="left" w:pos="1170"/>
        </w:tabs>
        <w:ind w:left="720"/>
        <w:rPr>
          <w:rFonts w:ascii="Calibri" w:hAnsi="Calibri" w:cs="Arial"/>
          <w:sz w:val="24"/>
          <w:szCs w:val="24"/>
        </w:rPr>
      </w:pPr>
    </w:p>
    <w:p w14:paraId="363DECB4" w14:textId="77777777" w:rsidR="00DE2BFC" w:rsidRDefault="00DE2BFC" w:rsidP="005F6A3B">
      <w:pPr>
        <w:tabs>
          <w:tab w:val="left" w:pos="1170"/>
        </w:tabs>
        <w:ind w:left="720"/>
        <w:rPr>
          <w:rFonts w:ascii="Calibri" w:hAnsi="Calibri" w:cs="Arial"/>
          <w:sz w:val="24"/>
          <w:szCs w:val="24"/>
        </w:rPr>
      </w:pPr>
    </w:p>
    <w:p w14:paraId="4452D32A" w14:textId="387BC13C" w:rsidR="00A813BC" w:rsidRDefault="00A813BC" w:rsidP="005F6A3B">
      <w:pPr>
        <w:tabs>
          <w:tab w:val="left" w:pos="1170"/>
        </w:tabs>
        <w:ind w:left="720"/>
        <w:rPr>
          <w:rFonts w:ascii="Calibri" w:hAnsi="Calibri" w:cs="Arial"/>
          <w:sz w:val="24"/>
          <w:szCs w:val="24"/>
        </w:rPr>
      </w:pPr>
    </w:p>
    <w:p w14:paraId="7EB0EAF7" w14:textId="77777777" w:rsidR="00A813BC" w:rsidRPr="009E4A68" w:rsidRDefault="00A813BC" w:rsidP="005F6A3B">
      <w:pPr>
        <w:tabs>
          <w:tab w:val="left" w:pos="1170"/>
        </w:tabs>
        <w:ind w:left="720"/>
        <w:rPr>
          <w:rFonts w:ascii="Calibri" w:hAnsi="Calibri" w:cs="Arial"/>
          <w:sz w:val="24"/>
          <w:szCs w:val="24"/>
        </w:rPr>
      </w:pPr>
    </w:p>
    <w:p w14:paraId="517655C4" w14:textId="7ABAD81A" w:rsidR="008262DF" w:rsidRDefault="008262DF" w:rsidP="00223088">
      <w:pPr>
        <w:ind w:left="720"/>
        <w:rPr>
          <w:rFonts w:ascii="Calibri" w:hAnsi="Calibri" w:cs="Arial"/>
          <w:sz w:val="24"/>
          <w:szCs w:val="24"/>
        </w:rPr>
      </w:pPr>
    </w:p>
    <w:p w14:paraId="7A543760" w14:textId="0BDD461B" w:rsidR="008262DF" w:rsidRDefault="008262DF" w:rsidP="005F6A3B">
      <w:pPr>
        <w:ind w:left="720"/>
        <w:rPr>
          <w:rFonts w:ascii="Calibri" w:hAnsi="Calibri" w:cs="Arial"/>
          <w:sz w:val="24"/>
          <w:szCs w:val="24"/>
        </w:rPr>
      </w:pPr>
    </w:p>
    <w:p w14:paraId="47AF9E3A" w14:textId="77777777" w:rsidR="00476F4A" w:rsidRDefault="00614A06" w:rsidP="00476F4A">
      <w:pPr>
        <w:rPr>
          <w:rFonts w:ascii="Calibri" w:hAnsi="Calibri" w:cs="Arial"/>
          <w:sz w:val="24"/>
          <w:szCs w:val="24"/>
        </w:rPr>
      </w:pPr>
      <w:r>
        <w:rPr>
          <w:rFonts w:ascii="Calibri" w:hAnsi="Calibri" w:cs="Arial"/>
          <w:sz w:val="24"/>
          <w:szCs w:val="24"/>
        </w:rPr>
        <w:t>When learner A was asked what different parts of the classroom or school she found to help her learning the most, the first place that she pointed out was the table that was teacher led. She explained that she liked having a teacher with her to ask questions as well as working in a group she felt that she got more done working as a group.</w:t>
      </w:r>
      <w:r w:rsidR="009179F5">
        <w:rPr>
          <w:rFonts w:ascii="Calibri" w:hAnsi="Calibri" w:cs="Arial"/>
          <w:sz w:val="24"/>
          <w:szCs w:val="24"/>
        </w:rPr>
        <w:t xml:space="preserve"> Supporting this the ‘Zone of Proximal Development’ theory states that </w:t>
      </w:r>
      <w:r w:rsidR="001139D9">
        <w:rPr>
          <w:rFonts w:ascii="Calibri" w:hAnsi="Calibri" w:cs="Arial"/>
          <w:sz w:val="24"/>
          <w:szCs w:val="24"/>
        </w:rPr>
        <w:t>if a learner is unable to do something for themselves, then, working with another in order to complete the work</w:t>
      </w:r>
      <w:r w:rsidR="009179F5">
        <w:rPr>
          <w:rFonts w:ascii="Calibri" w:hAnsi="Calibri" w:cs="Arial"/>
          <w:sz w:val="24"/>
          <w:szCs w:val="24"/>
        </w:rPr>
        <w:t xml:space="preserve"> </w:t>
      </w:r>
      <w:r w:rsidR="001139D9">
        <w:rPr>
          <w:rFonts w:ascii="Calibri" w:hAnsi="Calibri" w:cs="Arial"/>
          <w:sz w:val="24"/>
          <w:szCs w:val="24"/>
        </w:rPr>
        <w:t xml:space="preserve">will develop learning so that they will be able to complete it independently </w:t>
      </w:r>
      <w:r w:rsidR="001139D9" w:rsidRPr="001139D9">
        <w:rPr>
          <w:rFonts w:ascii="Calibri" w:hAnsi="Calibri" w:cs="Arial"/>
          <w:b/>
          <w:sz w:val="24"/>
          <w:szCs w:val="24"/>
        </w:rPr>
        <w:t xml:space="preserve">(Harris, Taylor and Taylor, 2014). </w:t>
      </w:r>
      <w:r w:rsidRPr="001139D9">
        <w:rPr>
          <w:rFonts w:ascii="Calibri" w:hAnsi="Calibri" w:cs="Arial"/>
          <w:b/>
          <w:sz w:val="24"/>
          <w:szCs w:val="24"/>
        </w:rPr>
        <w:t xml:space="preserve"> </w:t>
      </w:r>
      <w:r>
        <w:rPr>
          <w:rFonts w:ascii="Calibri" w:hAnsi="Calibri" w:cs="Arial"/>
          <w:b/>
          <w:sz w:val="24"/>
          <w:szCs w:val="24"/>
        </w:rPr>
        <w:t xml:space="preserve">Nottingham (2013) </w:t>
      </w:r>
      <w:r w:rsidR="001139D9">
        <w:rPr>
          <w:rFonts w:ascii="Calibri" w:hAnsi="Calibri" w:cs="Arial"/>
          <w:sz w:val="24"/>
          <w:szCs w:val="24"/>
        </w:rPr>
        <w:t>supports this by</w:t>
      </w:r>
      <w:r w:rsidR="001139D9">
        <w:rPr>
          <w:rFonts w:ascii="Calibri" w:hAnsi="Calibri" w:cs="Arial"/>
          <w:b/>
          <w:sz w:val="24"/>
          <w:szCs w:val="24"/>
        </w:rPr>
        <w:t xml:space="preserve"> </w:t>
      </w:r>
      <w:r>
        <w:rPr>
          <w:rFonts w:ascii="Calibri" w:hAnsi="Calibri" w:cs="Arial"/>
          <w:sz w:val="24"/>
          <w:szCs w:val="24"/>
        </w:rPr>
        <w:t>stat</w:t>
      </w:r>
      <w:r w:rsidR="001139D9">
        <w:rPr>
          <w:rFonts w:ascii="Calibri" w:hAnsi="Calibri" w:cs="Arial"/>
          <w:sz w:val="24"/>
          <w:szCs w:val="24"/>
        </w:rPr>
        <w:t xml:space="preserve">ing </w:t>
      </w:r>
      <w:r>
        <w:rPr>
          <w:rFonts w:ascii="Calibri" w:hAnsi="Calibri" w:cs="Arial"/>
          <w:sz w:val="24"/>
          <w:szCs w:val="24"/>
        </w:rPr>
        <w:t>that</w:t>
      </w:r>
      <w:r w:rsidR="001139D9">
        <w:rPr>
          <w:rFonts w:ascii="Calibri" w:hAnsi="Calibri" w:cs="Arial"/>
          <w:sz w:val="24"/>
          <w:szCs w:val="24"/>
        </w:rPr>
        <w:t>,</w:t>
      </w:r>
      <w:r>
        <w:rPr>
          <w:rFonts w:ascii="Calibri" w:hAnsi="Calibri" w:cs="Arial"/>
          <w:sz w:val="24"/>
          <w:szCs w:val="24"/>
        </w:rPr>
        <w:t xml:space="preserve"> at first children will start to learn from one another. This is done by picking up on different social cues as well as attitudes that they may have toward something. </w:t>
      </w:r>
      <w:r>
        <w:rPr>
          <w:rFonts w:ascii="Calibri" w:hAnsi="Calibri" w:cs="Arial"/>
          <w:b/>
          <w:sz w:val="24"/>
          <w:szCs w:val="24"/>
        </w:rPr>
        <w:t xml:space="preserve">Nottingham (2013) </w:t>
      </w:r>
      <w:r>
        <w:rPr>
          <w:rFonts w:ascii="Calibri" w:hAnsi="Calibri" w:cs="Arial"/>
          <w:sz w:val="24"/>
          <w:szCs w:val="24"/>
        </w:rPr>
        <w:t xml:space="preserve">also suggested that the reason learners </w:t>
      </w:r>
      <w:r w:rsidR="00654BD0">
        <w:rPr>
          <w:rFonts w:ascii="Calibri" w:hAnsi="Calibri" w:cs="Arial"/>
          <w:sz w:val="24"/>
          <w:szCs w:val="24"/>
        </w:rPr>
        <w:t xml:space="preserve">converse with the teacher within the classroom is not because they wish to gain more </w:t>
      </w:r>
      <w:r w:rsidR="00654BD0">
        <w:rPr>
          <w:rFonts w:ascii="Calibri" w:hAnsi="Calibri" w:cs="Arial"/>
          <w:sz w:val="24"/>
          <w:szCs w:val="24"/>
        </w:rPr>
        <w:lastRenderedPageBreak/>
        <w:t xml:space="preserve">knowledge on a particular subject. It is because they wish to adopt our own attitudes into their own. When also going on a walk of her classroom she also pointed out the ‘Secret garden’ and the well-being zones as her favourite places. The secret garden is a place where learners go to when they want quiet time and to focus on their work. When asked why those were her two favourite places within the classroom the answer was because they were quiet places she could go to, to learn. This suggested that she wasn’t confident in conversing with her peers outside of a structured work environment. When observing learner A at play time it became evident that, although, she was able to communicate her thoughts and feelings effectively and correctly to a teacher she struggled with her peers. Many attempts were made by other learners to encourage her to join in but eventually she left to go elsewhere. </w:t>
      </w:r>
      <w:r w:rsidR="00E1751B">
        <w:rPr>
          <w:rFonts w:ascii="Calibri" w:hAnsi="Calibri" w:cs="Arial"/>
          <w:sz w:val="24"/>
          <w:szCs w:val="24"/>
        </w:rPr>
        <w:t xml:space="preserve">Due to learners linguistic ability when talking to adults and teachers within the school, but, is lacking in the confidence to be able to converse with her peers she would be currently working at an Outcome 3 for </w:t>
      </w:r>
      <w:proofErr w:type="spellStart"/>
      <w:r w:rsidR="00E1751B">
        <w:rPr>
          <w:rFonts w:ascii="Calibri" w:hAnsi="Calibri" w:cs="Arial"/>
          <w:sz w:val="24"/>
          <w:szCs w:val="24"/>
        </w:rPr>
        <w:t>Oracy</w:t>
      </w:r>
      <w:proofErr w:type="spellEnd"/>
      <w:r w:rsidR="00E1751B">
        <w:rPr>
          <w:rFonts w:ascii="Calibri" w:hAnsi="Calibri" w:cs="Arial"/>
          <w:sz w:val="24"/>
          <w:szCs w:val="24"/>
        </w:rPr>
        <w:t xml:space="preserve"> (</w:t>
      </w:r>
      <w:r w:rsidR="00E1751B">
        <w:rPr>
          <w:rFonts w:ascii="Calibri" w:hAnsi="Calibri" w:cs="Arial"/>
          <w:b/>
          <w:sz w:val="24"/>
          <w:szCs w:val="24"/>
        </w:rPr>
        <w:t xml:space="preserve">Foundation Phase Framework, 2015) </w:t>
      </w:r>
      <w:r w:rsidR="00E1751B">
        <w:rPr>
          <w:rFonts w:ascii="Calibri" w:hAnsi="Calibri" w:cs="Arial"/>
          <w:sz w:val="24"/>
          <w:szCs w:val="24"/>
        </w:rPr>
        <w:t>where at the end of year 1 learners are expected to be at an</w:t>
      </w:r>
      <w:r w:rsidR="00476F4A">
        <w:rPr>
          <w:rFonts w:ascii="Calibri" w:hAnsi="Calibri" w:cs="Arial"/>
          <w:sz w:val="24"/>
          <w:szCs w:val="24"/>
        </w:rPr>
        <w:t xml:space="preserve"> </w:t>
      </w:r>
      <w:r w:rsidR="00E1751B">
        <w:rPr>
          <w:rFonts w:ascii="Calibri" w:hAnsi="Calibri" w:cs="Arial"/>
          <w:sz w:val="24"/>
          <w:szCs w:val="24"/>
        </w:rPr>
        <w:t>Outcome 4.</w:t>
      </w:r>
    </w:p>
    <w:p w14:paraId="745BCB18" w14:textId="77777777" w:rsidR="00476F4A" w:rsidRDefault="00476F4A" w:rsidP="00476F4A">
      <w:pPr>
        <w:rPr>
          <w:rFonts w:ascii="Calibri" w:hAnsi="Calibri" w:cs="Arial"/>
          <w:sz w:val="24"/>
          <w:szCs w:val="24"/>
        </w:rPr>
      </w:pPr>
    </w:p>
    <w:p w14:paraId="42D72066" w14:textId="3755DF14" w:rsidR="008262DF" w:rsidRPr="00275A50" w:rsidRDefault="00E1751B" w:rsidP="00476F4A">
      <w:pPr>
        <w:rPr>
          <w:rFonts w:ascii="Calibri" w:hAnsi="Calibri" w:cs="Arial"/>
          <w:sz w:val="24"/>
          <w:szCs w:val="24"/>
        </w:rPr>
      </w:pPr>
      <w:r>
        <w:rPr>
          <w:rFonts w:ascii="Calibri" w:hAnsi="Calibri" w:cs="Arial"/>
          <w:sz w:val="24"/>
          <w:szCs w:val="24"/>
        </w:rPr>
        <w:t xml:space="preserve"> Moving on to the evidence that has been collected for Literacy, Language and Communication </w:t>
      </w:r>
      <w:r>
        <w:rPr>
          <w:rFonts w:ascii="Calibri" w:hAnsi="Calibri" w:cs="Arial"/>
          <w:b/>
          <w:sz w:val="24"/>
          <w:szCs w:val="24"/>
        </w:rPr>
        <w:t xml:space="preserve">(Appendix 1). </w:t>
      </w:r>
      <w:r w:rsidR="00275A50">
        <w:rPr>
          <w:rFonts w:ascii="Calibri" w:hAnsi="Calibri" w:cs="Arial"/>
          <w:sz w:val="24"/>
          <w:szCs w:val="24"/>
        </w:rPr>
        <w:t xml:space="preserve">From the evidence that has been collected it suggests that literacy is the weakest area for learner A. She is unable to consistently use capital letters and is unable to correctly spell high frequency words, although as you can see from the evidence there is appropriate spelling strategies put into place for those words. She is writing in a different format and structuring content appropriately with a form that is modelled by an adult </w:t>
      </w:r>
      <w:r w:rsidR="00275A50">
        <w:rPr>
          <w:rFonts w:ascii="Calibri" w:hAnsi="Calibri" w:cs="Arial"/>
          <w:b/>
          <w:sz w:val="24"/>
          <w:szCs w:val="24"/>
        </w:rPr>
        <w:t>(Foundation Phase Framework, 2015).</w:t>
      </w:r>
      <w:r w:rsidR="00275A50">
        <w:rPr>
          <w:rFonts w:ascii="Calibri" w:hAnsi="Calibri" w:cs="Arial"/>
          <w:sz w:val="24"/>
          <w:szCs w:val="24"/>
        </w:rPr>
        <w:t xml:space="preserve"> Currently considering all of these factors learner A is currently at an Outcome 3 with elements of an Outcome 4</w:t>
      </w:r>
      <w:r w:rsidR="00321E73">
        <w:rPr>
          <w:rFonts w:ascii="Calibri" w:hAnsi="Calibri" w:cs="Arial"/>
          <w:sz w:val="24"/>
          <w:szCs w:val="24"/>
        </w:rPr>
        <w:t xml:space="preserve"> for written literacy. Considering this (Appendix 1) was an activity that was meant to increase the independence of the learners within the classroom. Learner A has already stated that she enjoys working</w:t>
      </w:r>
      <w:r w:rsidR="00476F4A">
        <w:rPr>
          <w:rFonts w:ascii="Calibri" w:hAnsi="Calibri" w:cs="Arial"/>
          <w:sz w:val="24"/>
          <w:szCs w:val="24"/>
        </w:rPr>
        <w:t xml:space="preserve"> </w:t>
      </w:r>
      <w:r w:rsidR="00321E73">
        <w:rPr>
          <w:rFonts w:ascii="Calibri" w:hAnsi="Calibri" w:cs="Arial"/>
          <w:sz w:val="24"/>
          <w:szCs w:val="24"/>
        </w:rPr>
        <w:t xml:space="preserve">within a group setting, because this was an independent task it suggests that it gives a true reflection on her written literacy ability. </w:t>
      </w:r>
    </w:p>
    <w:p w14:paraId="4C5DDAFF" w14:textId="67CFC24C" w:rsidR="008262DF" w:rsidRDefault="008262DF" w:rsidP="005F6A3B">
      <w:pPr>
        <w:ind w:left="720"/>
        <w:rPr>
          <w:rFonts w:ascii="Calibri" w:hAnsi="Calibri" w:cs="Arial"/>
          <w:sz w:val="24"/>
          <w:szCs w:val="24"/>
        </w:rPr>
      </w:pPr>
    </w:p>
    <w:p w14:paraId="7489EE10" w14:textId="3E0C6060" w:rsidR="00476F4A" w:rsidRDefault="009179F5" w:rsidP="00476F4A">
      <w:pPr>
        <w:rPr>
          <w:rFonts w:ascii="Calibri" w:hAnsi="Calibri" w:cs="Arial"/>
          <w:sz w:val="24"/>
          <w:szCs w:val="24"/>
        </w:rPr>
      </w:pPr>
      <w:r>
        <w:rPr>
          <w:rFonts w:ascii="Calibri" w:hAnsi="Calibri" w:cs="Arial"/>
          <w:sz w:val="24"/>
          <w:szCs w:val="24"/>
        </w:rPr>
        <w:t>Turning now to (</w:t>
      </w:r>
      <w:r>
        <w:rPr>
          <w:rFonts w:ascii="Calibri" w:hAnsi="Calibri" w:cs="Arial"/>
          <w:b/>
          <w:sz w:val="24"/>
          <w:szCs w:val="24"/>
        </w:rPr>
        <w:t xml:space="preserve">Appendix 2) </w:t>
      </w:r>
      <w:r>
        <w:rPr>
          <w:rFonts w:ascii="Calibri" w:hAnsi="Calibri" w:cs="Arial"/>
          <w:sz w:val="24"/>
          <w:szCs w:val="24"/>
        </w:rPr>
        <w:t xml:space="preserve">when learner A was asked about numeracy within the classroom she expressed that she did not enjoy maths. Stating that the numbers had confused her and didn’t </w:t>
      </w:r>
      <w:r w:rsidR="001139D9">
        <w:rPr>
          <w:rFonts w:ascii="Calibri" w:hAnsi="Calibri" w:cs="Arial"/>
          <w:sz w:val="24"/>
          <w:szCs w:val="24"/>
        </w:rPr>
        <w:t>think she was good enough at maths to do it.</w:t>
      </w:r>
      <w:r w:rsidR="00C71B91">
        <w:rPr>
          <w:rFonts w:ascii="Calibri" w:hAnsi="Calibri" w:cs="Arial"/>
          <w:sz w:val="24"/>
          <w:szCs w:val="24"/>
        </w:rPr>
        <w:t xml:space="preserve"> </w:t>
      </w:r>
      <w:r w:rsidR="00C71B91">
        <w:rPr>
          <w:rFonts w:ascii="Calibri" w:hAnsi="Calibri" w:cs="Arial"/>
          <w:b/>
          <w:sz w:val="24"/>
          <w:szCs w:val="24"/>
        </w:rPr>
        <w:t xml:space="preserve">Pound (2008) </w:t>
      </w:r>
      <w:r w:rsidR="00C71B91">
        <w:rPr>
          <w:rFonts w:ascii="Calibri" w:hAnsi="Calibri" w:cs="Arial"/>
          <w:sz w:val="24"/>
          <w:szCs w:val="24"/>
        </w:rPr>
        <w:t xml:space="preserve">suggests to us that the reason why most learners find mathematics hard is because it requires a different way of thinking. Maths has a lot of abstract concepts that learners have never had to think about before and it does require a change in the way that they think. </w:t>
      </w:r>
      <w:r w:rsidR="00C71B91" w:rsidRPr="00C71B91">
        <w:rPr>
          <w:rFonts w:ascii="Calibri" w:hAnsi="Calibri" w:cs="Arial"/>
          <w:b/>
          <w:sz w:val="24"/>
          <w:szCs w:val="24"/>
        </w:rPr>
        <w:t>“Such as whether three plus two is less or more than four”</w:t>
      </w:r>
      <w:r w:rsidR="00C71B91">
        <w:rPr>
          <w:rFonts w:ascii="Calibri" w:hAnsi="Calibri" w:cs="Arial"/>
          <w:b/>
          <w:sz w:val="24"/>
          <w:szCs w:val="24"/>
        </w:rPr>
        <w:t xml:space="preserve"> (Pound, 2008: 4). </w:t>
      </w:r>
      <w:r w:rsidR="001139D9">
        <w:rPr>
          <w:rFonts w:ascii="Calibri" w:hAnsi="Calibri" w:cs="Arial"/>
          <w:sz w:val="24"/>
          <w:szCs w:val="24"/>
        </w:rPr>
        <w:t xml:space="preserve"> </w:t>
      </w:r>
      <w:r w:rsidR="001139D9">
        <w:rPr>
          <w:rFonts w:ascii="Calibri" w:hAnsi="Calibri" w:cs="Arial"/>
          <w:b/>
          <w:sz w:val="24"/>
          <w:szCs w:val="24"/>
        </w:rPr>
        <w:t xml:space="preserve">Harris, Taylor and Taylor (2015) </w:t>
      </w:r>
      <w:r w:rsidR="001139D9">
        <w:rPr>
          <w:rFonts w:ascii="Calibri" w:hAnsi="Calibri" w:cs="Arial"/>
          <w:sz w:val="24"/>
          <w:szCs w:val="24"/>
        </w:rPr>
        <w:t xml:space="preserve">stress to us the importance of learners having a positive self-image in relation to maths. Learners need to believe that they are successful learners in order for the efficacy of numeracy to take place. </w:t>
      </w:r>
      <w:r w:rsidR="00476F4A">
        <w:rPr>
          <w:rFonts w:ascii="Calibri" w:hAnsi="Calibri" w:cs="Arial"/>
          <w:sz w:val="24"/>
          <w:szCs w:val="24"/>
        </w:rPr>
        <w:t>Looking at the data that has been collected (</w:t>
      </w:r>
      <w:r w:rsidR="00476F4A">
        <w:rPr>
          <w:rFonts w:ascii="Calibri" w:hAnsi="Calibri" w:cs="Arial"/>
          <w:b/>
          <w:sz w:val="24"/>
          <w:szCs w:val="24"/>
        </w:rPr>
        <w:t xml:space="preserve">See appendix 2) </w:t>
      </w:r>
      <w:r w:rsidR="00476F4A">
        <w:rPr>
          <w:rFonts w:ascii="Calibri" w:hAnsi="Calibri" w:cs="Arial"/>
          <w:sz w:val="24"/>
          <w:szCs w:val="24"/>
        </w:rPr>
        <w:t>suggests that within this area of numeracy it is one of learner A’s strongest areas. Where it had been observed before that she liked to work with other people in her group, she was more than capable of doing this work and, at times, leading the group and helping others. She was able to independently choose what coins that she would need in order to pay for the magic beans. She was also able to orally discuss how much change she would give for each bean up to 10p. Given that learner A was able to work independently and was confident and able to work with money this suggests that learner A is at an Outcome 4. (</w:t>
      </w:r>
      <w:r w:rsidR="00476F4A">
        <w:rPr>
          <w:rFonts w:ascii="Calibri" w:hAnsi="Calibri" w:cs="Arial"/>
          <w:b/>
          <w:sz w:val="24"/>
          <w:szCs w:val="24"/>
        </w:rPr>
        <w:t xml:space="preserve">Foundation Phase Framework, 2015). </w:t>
      </w:r>
      <w:r w:rsidR="000D2928">
        <w:rPr>
          <w:rFonts w:ascii="Calibri" w:hAnsi="Calibri" w:cs="Arial"/>
          <w:sz w:val="24"/>
          <w:szCs w:val="24"/>
        </w:rPr>
        <w:t xml:space="preserve">Learner A’s confidence and ability </w:t>
      </w:r>
      <w:r w:rsidR="000D2928">
        <w:rPr>
          <w:rFonts w:ascii="Calibri" w:hAnsi="Calibri" w:cs="Arial"/>
          <w:sz w:val="24"/>
          <w:szCs w:val="24"/>
        </w:rPr>
        <w:lastRenderedPageBreak/>
        <w:t xml:space="preserve">during numeracy session suggested that there may be a deeper reason behind her low self-esteem in what she perceived to be in numeracy. </w:t>
      </w:r>
    </w:p>
    <w:p w14:paraId="7BDA0BA1" w14:textId="76FD07A3" w:rsidR="000D2928" w:rsidRDefault="000D2928" w:rsidP="00476F4A">
      <w:pPr>
        <w:rPr>
          <w:sz w:val="24"/>
          <w:szCs w:val="24"/>
          <w:lang w:eastAsia="en-US"/>
        </w:rPr>
      </w:pPr>
    </w:p>
    <w:p w14:paraId="641AE4A2" w14:textId="6D853156" w:rsidR="000D2928" w:rsidRDefault="000D2928" w:rsidP="00476F4A">
      <w:pPr>
        <w:rPr>
          <w:rFonts w:asciiTheme="majorHAnsi" w:hAnsiTheme="majorHAnsi" w:cstheme="majorHAnsi"/>
          <w:sz w:val="24"/>
          <w:szCs w:val="24"/>
          <w:lang w:eastAsia="en-US"/>
        </w:rPr>
      </w:pPr>
      <w:r>
        <w:rPr>
          <w:rFonts w:asciiTheme="majorHAnsi" w:hAnsiTheme="majorHAnsi" w:cstheme="majorHAnsi"/>
          <w:sz w:val="24"/>
          <w:szCs w:val="24"/>
          <w:lang w:eastAsia="en-US"/>
        </w:rPr>
        <w:t>As previously mentioned</w:t>
      </w:r>
      <w:r w:rsidR="00A54158">
        <w:rPr>
          <w:rFonts w:asciiTheme="majorHAnsi" w:hAnsiTheme="majorHAnsi" w:cstheme="majorHAnsi"/>
          <w:sz w:val="24"/>
          <w:szCs w:val="24"/>
          <w:lang w:eastAsia="en-US"/>
        </w:rPr>
        <w:t>,</w:t>
      </w:r>
      <w:r>
        <w:rPr>
          <w:rFonts w:asciiTheme="majorHAnsi" w:hAnsiTheme="majorHAnsi" w:cstheme="majorHAnsi"/>
          <w:sz w:val="24"/>
          <w:szCs w:val="24"/>
          <w:lang w:eastAsia="en-US"/>
        </w:rPr>
        <w:t xml:space="preserve"> observing learner A she had some difficulties playing with her peers. </w:t>
      </w:r>
      <w:r w:rsidR="00956488">
        <w:rPr>
          <w:rFonts w:asciiTheme="majorHAnsi" w:hAnsiTheme="majorHAnsi" w:cstheme="majorHAnsi"/>
          <w:sz w:val="24"/>
          <w:szCs w:val="24"/>
          <w:lang w:eastAsia="en-US"/>
        </w:rPr>
        <w:t xml:space="preserve">When asked if she would like to point out any friends that help her in school she simply stated that none of them help her unless a teacher is there. This could have been for a number of reasons, the next steps that were taken were to engage in a more focussed observation. </w:t>
      </w:r>
      <w:r>
        <w:rPr>
          <w:rFonts w:asciiTheme="majorHAnsi" w:hAnsiTheme="majorHAnsi" w:cstheme="majorHAnsi"/>
          <w:sz w:val="24"/>
          <w:szCs w:val="24"/>
          <w:lang w:eastAsia="en-US"/>
        </w:rPr>
        <w:t xml:space="preserve">When conducting a more focussed observation </w:t>
      </w:r>
      <w:r w:rsidR="00956488">
        <w:rPr>
          <w:rFonts w:asciiTheme="majorHAnsi" w:hAnsiTheme="majorHAnsi" w:cstheme="majorHAnsi"/>
          <w:sz w:val="24"/>
          <w:szCs w:val="24"/>
          <w:lang w:eastAsia="en-US"/>
        </w:rPr>
        <w:t xml:space="preserve">learner A it became clear that she did not engage in a lot of free play. Learner A had a couple of friends who would go outside to read rather than explore. </w:t>
      </w:r>
      <w:r w:rsidR="001516CF">
        <w:rPr>
          <w:rFonts w:asciiTheme="majorHAnsi" w:hAnsiTheme="majorHAnsi" w:cstheme="majorHAnsi"/>
          <w:b/>
          <w:sz w:val="24"/>
          <w:szCs w:val="24"/>
          <w:lang w:eastAsia="en-US"/>
        </w:rPr>
        <w:t>Woolf (2011)</w:t>
      </w:r>
      <w:r w:rsidR="00C935CF">
        <w:rPr>
          <w:rFonts w:asciiTheme="majorHAnsi" w:hAnsiTheme="majorHAnsi" w:cstheme="majorHAnsi"/>
          <w:b/>
          <w:sz w:val="24"/>
          <w:szCs w:val="24"/>
          <w:lang w:eastAsia="en-US"/>
        </w:rPr>
        <w:t xml:space="preserve"> </w:t>
      </w:r>
      <w:r w:rsidR="00C935CF">
        <w:rPr>
          <w:rFonts w:asciiTheme="majorHAnsi" w:hAnsiTheme="majorHAnsi" w:cstheme="majorHAnsi"/>
          <w:sz w:val="24"/>
          <w:szCs w:val="24"/>
          <w:lang w:eastAsia="en-US"/>
        </w:rPr>
        <w:t>states that for learners to develop good emotional, health and wellbeing learners need to experience free play. If learners aren’t participating or not getting enough free play then this can lead to mental health difficulties. The experiences that the learners were sharing outside of the classroom environment were of particular importance because, there did not seem to be a strong attachment or friendship within the classroom environment. Learner A demonstrates a stronger independence within the classroom and may feel that she does not need to rely on her friends as much because of that. Perhaps this is because there are teachers present in the room, or it may suggest that learner A is uncomfortable outside</w:t>
      </w:r>
      <w:r w:rsidR="00DD0528">
        <w:rPr>
          <w:rFonts w:asciiTheme="majorHAnsi" w:hAnsiTheme="majorHAnsi" w:cstheme="majorHAnsi"/>
          <w:sz w:val="24"/>
          <w:szCs w:val="24"/>
          <w:lang w:eastAsia="en-US"/>
        </w:rPr>
        <w:t xml:space="preserve"> with many people.</w:t>
      </w:r>
    </w:p>
    <w:p w14:paraId="29C2ADC0" w14:textId="2C905BD1" w:rsidR="00A54158" w:rsidRDefault="00A54158" w:rsidP="00476F4A">
      <w:pPr>
        <w:rPr>
          <w:rFonts w:asciiTheme="majorHAnsi" w:hAnsiTheme="majorHAnsi" w:cstheme="majorHAnsi"/>
          <w:sz w:val="24"/>
          <w:szCs w:val="24"/>
          <w:lang w:eastAsia="en-US"/>
        </w:rPr>
      </w:pPr>
    </w:p>
    <w:p w14:paraId="391F3C30" w14:textId="1C30C58F" w:rsidR="00A54158" w:rsidRDefault="00A54158" w:rsidP="00476F4A">
      <w:pPr>
        <w:rPr>
          <w:rFonts w:asciiTheme="majorHAnsi" w:hAnsiTheme="majorHAnsi" w:cstheme="majorHAnsi"/>
          <w:sz w:val="24"/>
          <w:szCs w:val="24"/>
          <w:lang w:eastAsia="en-US"/>
        </w:rPr>
      </w:pPr>
      <w:r>
        <w:rPr>
          <w:rFonts w:asciiTheme="majorHAnsi" w:hAnsiTheme="majorHAnsi" w:cstheme="majorHAnsi"/>
          <w:sz w:val="24"/>
          <w:szCs w:val="24"/>
          <w:lang w:eastAsia="en-US"/>
        </w:rPr>
        <w:t>Turning now to the area of Knowledge and Understanding of the World (</w:t>
      </w:r>
      <w:r>
        <w:rPr>
          <w:rFonts w:asciiTheme="majorHAnsi" w:hAnsiTheme="majorHAnsi" w:cstheme="majorHAnsi"/>
          <w:b/>
          <w:sz w:val="24"/>
          <w:szCs w:val="24"/>
          <w:lang w:eastAsia="en-US"/>
        </w:rPr>
        <w:t xml:space="preserve">Appendix 3) </w:t>
      </w:r>
      <w:r>
        <w:rPr>
          <w:rFonts w:asciiTheme="majorHAnsi" w:hAnsiTheme="majorHAnsi" w:cstheme="majorHAnsi"/>
          <w:sz w:val="24"/>
          <w:szCs w:val="24"/>
          <w:lang w:eastAsia="en-US"/>
        </w:rPr>
        <w:t xml:space="preserve"> you can see significant improvement in learner A’s handwriting and the general layout of her work. When asked in the learners conference it immediately became clear that practical work was her favourite </w:t>
      </w:r>
      <w:r w:rsidR="00A16150">
        <w:rPr>
          <w:rFonts w:asciiTheme="majorHAnsi" w:hAnsiTheme="majorHAnsi" w:cstheme="majorHAnsi"/>
          <w:sz w:val="24"/>
          <w:szCs w:val="24"/>
          <w:lang w:eastAsia="en-US"/>
        </w:rPr>
        <w:t>thing</w:t>
      </w:r>
      <w:r>
        <w:rPr>
          <w:rFonts w:asciiTheme="majorHAnsi" w:hAnsiTheme="majorHAnsi" w:cstheme="majorHAnsi"/>
          <w:sz w:val="24"/>
          <w:szCs w:val="24"/>
          <w:lang w:eastAsia="en-US"/>
        </w:rPr>
        <w:t xml:space="preserve"> to do in school. </w:t>
      </w:r>
      <w:r w:rsidR="00A16150">
        <w:rPr>
          <w:rFonts w:asciiTheme="majorHAnsi" w:hAnsiTheme="majorHAnsi" w:cstheme="majorHAnsi"/>
          <w:sz w:val="24"/>
          <w:szCs w:val="24"/>
          <w:lang w:eastAsia="en-US"/>
        </w:rPr>
        <w:t>There was an immediate enthusiasm for the session straight away and an eagerness to experiment.</w:t>
      </w:r>
      <w:r w:rsidR="001B549C">
        <w:rPr>
          <w:rFonts w:asciiTheme="majorHAnsi" w:hAnsiTheme="majorHAnsi" w:cstheme="majorHAnsi"/>
          <w:sz w:val="24"/>
          <w:szCs w:val="24"/>
          <w:lang w:eastAsia="en-US"/>
        </w:rPr>
        <w:t xml:space="preserve"> </w:t>
      </w:r>
      <w:r w:rsidR="001B549C">
        <w:rPr>
          <w:rFonts w:asciiTheme="majorHAnsi" w:hAnsiTheme="majorHAnsi" w:cstheme="majorHAnsi"/>
          <w:b/>
          <w:sz w:val="24"/>
          <w:szCs w:val="24"/>
          <w:lang w:eastAsia="en-US"/>
        </w:rPr>
        <w:t xml:space="preserve">Abrahams and Millar (2008) </w:t>
      </w:r>
      <w:r w:rsidR="001B549C">
        <w:rPr>
          <w:rFonts w:asciiTheme="majorHAnsi" w:hAnsiTheme="majorHAnsi" w:cstheme="majorHAnsi"/>
          <w:sz w:val="24"/>
          <w:szCs w:val="24"/>
          <w:lang w:eastAsia="en-US"/>
        </w:rPr>
        <w:t>state that learners are more likely to find practical work more useful to them as well as finding it the most enjoyable. Learners are enabled with free thought and are able to experiment with the different resources that are given to them (</w:t>
      </w:r>
      <w:r w:rsidR="001B549C">
        <w:rPr>
          <w:rFonts w:asciiTheme="majorHAnsi" w:hAnsiTheme="majorHAnsi" w:cstheme="majorHAnsi"/>
          <w:b/>
          <w:sz w:val="24"/>
          <w:szCs w:val="24"/>
          <w:lang w:eastAsia="en-US"/>
        </w:rPr>
        <w:t>Abrahams and Millar, 2008</w:t>
      </w:r>
      <w:r w:rsidR="001B549C">
        <w:rPr>
          <w:rFonts w:asciiTheme="majorHAnsi" w:hAnsiTheme="majorHAnsi" w:cstheme="majorHAnsi"/>
          <w:sz w:val="24"/>
          <w:szCs w:val="24"/>
          <w:lang w:eastAsia="en-US"/>
        </w:rPr>
        <w:t>). Learner A communicated clearly and effectively with the group stating her own ideas as well as listening to others. She helped form the experiment and what variables that could be introduced into the experiment. Once she had a clear idea in her head on what was going to happen she recorded it on her experiment sheet (</w:t>
      </w:r>
      <w:r w:rsidR="001B549C" w:rsidRPr="001B549C">
        <w:rPr>
          <w:rFonts w:asciiTheme="majorHAnsi" w:hAnsiTheme="majorHAnsi" w:cstheme="majorHAnsi"/>
          <w:b/>
          <w:sz w:val="24"/>
          <w:szCs w:val="24"/>
          <w:lang w:eastAsia="en-US"/>
        </w:rPr>
        <w:t>See appendix 3)</w:t>
      </w:r>
      <w:r w:rsidR="001B549C">
        <w:rPr>
          <w:rFonts w:asciiTheme="majorHAnsi" w:hAnsiTheme="majorHAnsi" w:cstheme="majorHAnsi"/>
          <w:b/>
          <w:sz w:val="24"/>
          <w:szCs w:val="24"/>
          <w:lang w:eastAsia="en-US"/>
        </w:rPr>
        <w:t xml:space="preserve">. </w:t>
      </w:r>
      <w:r w:rsidR="001B549C">
        <w:rPr>
          <w:rFonts w:asciiTheme="majorHAnsi" w:hAnsiTheme="majorHAnsi" w:cstheme="majorHAnsi"/>
          <w:sz w:val="24"/>
          <w:szCs w:val="24"/>
          <w:lang w:eastAsia="en-US"/>
        </w:rPr>
        <w:t xml:space="preserve">Very clearly during this time learner A took her time to form letters: ensuring that she was asking the teacher or her peers about spelling as she said she did not want to make a mistake. From the data that has been collected here it is clear to see that learner A seems to take more pride in her work when she is around a teacher and is working within a supportive group. </w:t>
      </w:r>
      <w:r w:rsidR="00A02CB1">
        <w:rPr>
          <w:rFonts w:asciiTheme="majorHAnsi" w:hAnsiTheme="majorHAnsi" w:cstheme="majorHAnsi"/>
          <w:sz w:val="24"/>
          <w:szCs w:val="24"/>
          <w:lang w:eastAsia="en-US"/>
        </w:rPr>
        <w:t>Learner A had made clear communication to her peers about what would be best for the bean in order for it to grow. Also, with little support she was able to come up with the steps that they would need to do in order to carry out the investigation (</w:t>
      </w:r>
      <w:r w:rsidR="00A02CB1">
        <w:rPr>
          <w:rFonts w:asciiTheme="majorHAnsi" w:hAnsiTheme="majorHAnsi" w:cstheme="majorHAnsi"/>
          <w:b/>
          <w:sz w:val="24"/>
          <w:szCs w:val="24"/>
          <w:lang w:eastAsia="en-US"/>
        </w:rPr>
        <w:t xml:space="preserve">Foundation Phase Framework, 2015). </w:t>
      </w:r>
      <w:r w:rsidR="00A02CB1">
        <w:rPr>
          <w:rFonts w:asciiTheme="majorHAnsi" w:hAnsiTheme="majorHAnsi" w:cstheme="majorHAnsi"/>
          <w:sz w:val="24"/>
          <w:szCs w:val="24"/>
          <w:lang w:eastAsia="en-US"/>
        </w:rPr>
        <w:t>Considering all of the evidence that was collected for Knowledge and Understanding of the World it suggests that learner A is at an Outcome 5.</w:t>
      </w:r>
    </w:p>
    <w:p w14:paraId="1617CBAE" w14:textId="4B557410" w:rsidR="00A02CB1" w:rsidRDefault="00A02CB1" w:rsidP="00476F4A">
      <w:pPr>
        <w:rPr>
          <w:rFonts w:asciiTheme="majorHAnsi" w:hAnsiTheme="majorHAnsi" w:cstheme="majorHAnsi"/>
          <w:sz w:val="24"/>
          <w:szCs w:val="24"/>
          <w:lang w:eastAsia="en-US"/>
        </w:rPr>
      </w:pPr>
    </w:p>
    <w:p w14:paraId="2852580A" w14:textId="0226A72B" w:rsidR="00A02CB1" w:rsidRDefault="00A02CB1" w:rsidP="00476F4A">
      <w:pPr>
        <w:rPr>
          <w:rFonts w:asciiTheme="majorHAnsi" w:hAnsiTheme="majorHAnsi" w:cstheme="majorHAnsi"/>
          <w:b/>
          <w:sz w:val="24"/>
          <w:szCs w:val="24"/>
          <w:lang w:eastAsia="en-US"/>
        </w:rPr>
      </w:pPr>
      <w:r>
        <w:rPr>
          <w:rFonts w:asciiTheme="majorHAnsi" w:hAnsiTheme="majorHAnsi" w:cstheme="majorHAnsi"/>
          <w:sz w:val="24"/>
          <w:szCs w:val="24"/>
          <w:lang w:eastAsia="en-US"/>
        </w:rPr>
        <w:t xml:space="preserve">An area that the classroom teacher had communicated learner A was very capable of was Creative Development. This not indicated by learner A at any point when discussing what her favourite parts of the classroom or school were. When observing learner A it was clear that she did enjoy the creative zone as she was eager to go there more than most. </w:t>
      </w:r>
      <w:r w:rsidR="00E40D9C">
        <w:rPr>
          <w:rFonts w:asciiTheme="majorHAnsi" w:hAnsiTheme="majorHAnsi" w:cstheme="majorHAnsi"/>
          <w:sz w:val="24"/>
          <w:szCs w:val="24"/>
          <w:lang w:eastAsia="en-US"/>
        </w:rPr>
        <w:t xml:space="preserve">When given the task of drawing a diagram of a castle and labelling it there was excitement from learner A. However, she expressed soon after that she would like to go into the secret garden to </w:t>
      </w:r>
      <w:r w:rsidR="00E40D9C">
        <w:rPr>
          <w:rFonts w:asciiTheme="majorHAnsi" w:hAnsiTheme="majorHAnsi" w:cstheme="majorHAnsi"/>
          <w:sz w:val="24"/>
          <w:szCs w:val="24"/>
          <w:lang w:eastAsia="en-US"/>
        </w:rPr>
        <w:lastRenderedPageBreak/>
        <w:t xml:space="preserve">complete her task as there were too many people talking to her. This suggests that the learner A wanted to complete the task independently and was also taking pride in her independent work. This is something that had not been shown at all throughout observations and recorded work. </w:t>
      </w:r>
      <w:r w:rsidR="00E40D9C">
        <w:rPr>
          <w:rFonts w:asciiTheme="majorHAnsi" w:hAnsiTheme="majorHAnsi" w:cstheme="majorHAnsi"/>
          <w:b/>
          <w:sz w:val="24"/>
          <w:szCs w:val="24"/>
          <w:lang w:eastAsia="en-US"/>
        </w:rPr>
        <w:t>REFERENCE</w:t>
      </w:r>
    </w:p>
    <w:p w14:paraId="1FE7D139" w14:textId="1B523ED2" w:rsidR="00E40D9C" w:rsidRDefault="00E40D9C" w:rsidP="00476F4A">
      <w:pPr>
        <w:rPr>
          <w:rFonts w:asciiTheme="majorHAnsi" w:hAnsiTheme="majorHAnsi" w:cstheme="majorHAnsi"/>
          <w:b/>
          <w:sz w:val="24"/>
          <w:szCs w:val="24"/>
          <w:lang w:eastAsia="en-US"/>
        </w:rPr>
      </w:pPr>
    </w:p>
    <w:p w14:paraId="3D40B0DE" w14:textId="447A6C84" w:rsidR="00E40D9C" w:rsidRPr="00F926CA" w:rsidRDefault="00334CE2" w:rsidP="00476F4A">
      <w:pPr>
        <w:rPr>
          <w:rFonts w:asciiTheme="majorHAnsi" w:hAnsiTheme="majorHAnsi" w:cstheme="majorHAnsi"/>
          <w:sz w:val="24"/>
          <w:szCs w:val="24"/>
          <w:lang w:eastAsia="en-US"/>
        </w:rPr>
      </w:pPr>
      <w:r>
        <w:rPr>
          <w:rFonts w:asciiTheme="majorHAnsi" w:hAnsiTheme="majorHAnsi" w:cstheme="majorHAnsi"/>
          <w:sz w:val="24"/>
          <w:szCs w:val="24"/>
          <w:lang w:eastAsia="en-US"/>
        </w:rPr>
        <w:t>Turning</w:t>
      </w:r>
      <w:r w:rsidR="00E40D9C">
        <w:rPr>
          <w:rFonts w:asciiTheme="majorHAnsi" w:hAnsiTheme="majorHAnsi" w:cstheme="majorHAnsi"/>
          <w:sz w:val="24"/>
          <w:szCs w:val="24"/>
          <w:lang w:eastAsia="en-US"/>
        </w:rPr>
        <w:t xml:space="preserve"> now to </w:t>
      </w:r>
      <w:r w:rsidR="00E40D9C">
        <w:rPr>
          <w:rFonts w:asciiTheme="majorHAnsi" w:hAnsiTheme="majorHAnsi" w:cstheme="majorHAnsi"/>
          <w:b/>
          <w:sz w:val="24"/>
          <w:szCs w:val="24"/>
          <w:lang w:eastAsia="en-US"/>
        </w:rPr>
        <w:t>Appendix 4</w:t>
      </w:r>
      <w:r w:rsidR="003B0008">
        <w:rPr>
          <w:rFonts w:asciiTheme="majorHAnsi" w:hAnsiTheme="majorHAnsi" w:cstheme="majorHAnsi"/>
          <w:b/>
          <w:sz w:val="24"/>
          <w:szCs w:val="24"/>
          <w:lang w:eastAsia="en-US"/>
        </w:rPr>
        <w:t xml:space="preserve"> </w:t>
      </w:r>
      <w:r w:rsidR="003B0008">
        <w:rPr>
          <w:rFonts w:asciiTheme="majorHAnsi" w:hAnsiTheme="majorHAnsi" w:cstheme="majorHAnsi"/>
          <w:sz w:val="24"/>
          <w:szCs w:val="24"/>
          <w:lang w:eastAsia="en-US"/>
        </w:rPr>
        <w:t xml:space="preserve">where learner A had to draw a castle it is very structurally accurate with many different details included. Learner A used the recent trip to Cardiff Castle as a reference guide as well as some non-fiction castle books to aid her in the diagram. The only thing that had not been completed was the labelling but due to time constraints it would not have been possible. Looking at all the data gathered </w:t>
      </w:r>
      <w:r w:rsidR="00F926CA">
        <w:rPr>
          <w:rFonts w:asciiTheme="majorHAnsi" w:hAnsiTheme="majorHAnsi" w:cstheme="majorHAnsi"/>
          <w:sz w:val="24"/>
          <w:szCs w:val="24"/>
          <w:lang w:eastAsia="en-US"/>
        </w:rPr>
        <w:t>Learner A is an Outcome 4 for Creative Development (</w:t>
      </w:r>
      <w:r w:rsidR="00F926CA">
        <w:rPr>
          <w:rFonts w:asciiTheme="majorHAnsi" w:hAnsiTheme="majorHAnsi" w:cstheme="majorHAnsi"/>
          <w:b/>
          <w:sz w:val="24"/>
          <w:szCs w:val="24"/>
          <w:lang w:eastAsia="en-US"/>
        </w:rPr>
        <w:t xml:space="preserve">Foundation Phase Framework, 2015). </w:t>
      </w:r>
    </w:p>
    <w:p w14:paraId="76C7F2D3" w14:textId="6FBB89AD" w:rsidR="008262DF" w:rsidRDefault="008262DF" w:rsidP="00F926CA">
      <w:pPr>
        <w:rPr>
          <w:rFonts w:ascii="Calibri" w:hAnsi="Calibri" w:cs="Arial"/>
          <w:sz w:val="24"/>
          <w:szCs w:val="24"/>
        </w:rPr>
      </w:pPr>
    </w:p>
    <w:p w14:paraId="08C6C727" w14:textId="4CD2C64F" w:rsidR="006F36D1" w:rsidRDefault="006F36D1" w:rsidP="006F36D1">
      <w:pPr>
        <w:rPr>
          <w:rFonts w:ascii="Calibri" w:hAnsi="Calibri" w:cs="Arial"/>
          <w:sz w:val="24"/>
          <w:szCs w:val="24"/>
        </w:rPr>
      </w:pPr>
    </w:p>
    <w:p w14:paraId="4D0EA5CE" w14:textId="11BB858B" w:rsidR="006F36D1" w:rsidRPr="002A7C27" w:rsidRDefault="00DD0B9F" w:rsidP="006F36D1">
      <w:pPr>
        <w:rPr>
          <w:rFonts w:asciiTheme="majorHAnsi" w:hAnsiTheme="majorHAnsi" w:cstheme="majorHAnsi"/>
          <w:sz w:val="24"/>
          <w:szCs w:val="24"/>
        </w:rPr>
      </w:pPr>
      <w:r w:rsidRPr="002A7C27">
        <w:rPr>
          <w:rFonts w:asciiTheme="majorHAnsi" w:hAnsiTheme="majorHAnsi" w:cstheme="majorHAnsi"/>
          <w:sz w:val="24"/>
          <w:szCs w:val="24"/>
        </w:rPr>
        <w:t xml:space="preserve">One of the first major areas that has been identified as needing significant improvement in learner A’s development is </w:t>
      </w:r>
      <w:proofErr w:type="spellStart"/>
      <w:r w:rsidRPr="002A7C27">
        <w:rPr>
          <w:rFonts w:asciiTheme="majorHAnsi" w:hAnsiTheme="majorHAnsi" w:cstheme="majorHAnsi"/>
          <w:sz w:val="24"/>
          <w:szCs w:val="24"/>
        </w:rPr>
        <w:t>oracy</w:t>
      </w:r>
      <w:proofErr w:type="spellEnd"/>
      <w:r w:rsidRPr="002A7C27">
        <w:rPr>
          <w:rFonts w:asciiTheme="majorHAnsi" w:hAnsiTheme="majorHAnsi" w:cstheme="majorHAnsi"/>
          <w:sz w:val="24"/>
          <w:szCs w:val="24"/>
        </w:rPr>
        <w:t xml:space="preserve"> specifically communication with her peers. Learner A does not seem to have the desire to communicate with her peers in enhanced provision activities. </w:t>
      </w:r>
      <w:r w:rsidR="00E7551A" w:rsidRPr="002A7C27">
        <w:rPr>
          <w:rFonts w:asciiTheme="majorHAnsi" w:hAnsiTheme="majorHAnsi" w:cstheme="majorHAnsi"/>
          <w:sz w:val="24"/>
          <w:szCs w:val="24"/>
        </w:rPr>
        <w:t xml:space="preserve">There is always a need to work by herself and preferably for her in a quiet environment. Due to learner A communicating effectively to adults and peers in a structured environment I believe that it would be most appropriate to provide enhanced provision opportunities that are more focussed in group work. Learner A’s reluctance to communicate is due to the fact that most provision provided is independent work, and she struggles sometimes to communicate that she needs help from others. </w:t>
      </w:r>
      <w:r w:rsidR="00E7551A" w:rsidRPr="002A7C27">
        <w:rPr>
          <w:rFonts w:asciiTheme="majorHAnsi" w:hAnsiTheme="majorHAnsi" w:cstheme="majorHAnsi"/>
          <w:b/>
          <w:sz w:val="24"/>
          <w:szCs w:val="24"/>
        </w:rPr>
        <w:t xml:space="preserve">Donaldson (2015) </w:t>
      </w:r>
      <w:r w:rsidR="00E7551A" w:rsidRPr="002A7C27">
        <w:rPr>
          <w:rFonts w:asciiTheme="majorHAnsi" w:hAnsiTheme="majorHAnsi" w:cstheme="majorHAnsi"/>
          <w:sz w:val="24"/>
          <w:szCs w:val="24"/>
        </w:rPr>
        <w:t>states that all learners should have the opportunities provided to them to work as part of a team that will “enable and develop positive relationships” (</w:t>
      </w:r>
      <w:r w:rsidR="00E7551A" w:rsidRPr="002A7C27">
        <w:rPr>
          <w:rFonts w:asciiTheme="majorHAnsi" w:hAnsiTheme="majorHAnsi" w:cstheme="majorHAnsi"/>
          <w:b/>
          <w:sz w:val="24"/>
          <w:szCs w:val="24"/>
        </w:rPr>
        <w:t xml:space="preserve">45). </w:t>
      </w:r>
      <w:r w:rsidR="00E7551A" w:rsidRPr="002A7C27">
        <w:rPr>
          <w:rFonts w:asciiTheme="majorHAnsi" w:hAnsiTheme="majorHAnsi" w:cstheme="majorHAnsi"/>
          <w:sz w:val="24"/>
          <w:szCs w:val="24"/>
        </w:rPr>
        <w:t>The skills that learners develop through communication is crucial to their development throughout the school setting</w:t>
      </w:r>
      <w:r w:rsidR="00AB597A" w:rsidRPr="002A7C27">
        <w:rPr>
          <w:rFonts w:asciiTheme="majorHAnsi" w:hAnsiTheme="majorHAnsi" w:cstheme="majorHAnsi"/>
          <w:sz w:val="24"/>
          <w:szCs w:val="24"/>
        </w:rPr>
        <w:t xml:space="preserve"> (</w:t>
      </w:r>
      <w:proofErr w:type="spellStart"/>
      <w:r w:rsidR="00AB597A" w:rsidRPr="002A7C27">
        <w:rPr>
          <w:rFonts w:asciiTheme="majorHAnsi" w:hAnsiTheme="majorHAnsi" w:cstheme="majorHAnsi"/>
          <w:b/>
          <w:sz w:val="24"/>
          <w:szCs w:val="24"/>
        </w:rPr>
        <w:t>Pianta</w:t>
      </w:r>
      <w:proofErr w:type="spellEnd"/>
      <w:r w:rsidR="00AB597A" w:rsidRPr="002A7C27">
        <w:rPr>
          <w:rFonts w:asciiTheme="majorHAnsi" w:hAnsiTheme="majorHAnsi" w:cstheme="majorHAnsi"/>
          <w:b/>
          <w:sz w:val="24"/>
          <w:szCs w:val="24"/>
        </w:rPr>
        <w:t xml:space="preserve"> et al, 2004). </w:t>
      </w:r>
      <w:r w:rsidR="00AB597A" w:rsidRPr="002A7C27">
        <w:rPr>
          <w:rFonts w:asciiTheme="majorHAnsi" w:hAnsiTheme="majorHAnsi" w:cstheme="majorHAnsi"/>
          <w:sz w:val="24"/>
          <w:szCs w:val="24"/>
        </w:rPr>
        <w:t xml:space="preserve">Under the context of group work in enhanced provision learner A will be able to communicate thoughts, feelings and her own opinions on work based tasks. Effectively communicating with peers a lot more and not shying away from it within the classroom setting. I believe that by doing this Learner A would be excited to converse with her peers, and this will then also extend into various different areas of learning. Such as another learner modelling good handwriting or helping with grammar in literacy tasks. A limitation of doing enhanced provision this way would mean less independent work so I may not be able to get a clear picture on where each learner is on their journey. </w:t>
      </w:r>
    </w:p>
    <w:p w14:paraId="61FEEC60" w14:textId="0BBF18A3" w:rsidR="00AB597A" w:rsidRPr="002A7C27" w:rsidRDefault="00AB597A" w:rsidP="006F36D1">
      <w:pPr>
        <w:rPr>
          <w:rFonts w:asciiTheme="majorHAnsi" w:hAnsiTheme="majorHAnsi" w:cstheme="majorHAnsi"/>
          <w:sz w:val="24"/>
          <w:szCs w:val="24"/>
        </w:rPr>
      </w:pPr>
    </w:p>
    <w:p w14:paraId="6F614632" w14:textId="780AAFA8" w:rsidR="00C761DA" w:rsidRPr="002A7C27" w:rsidRDefault="002851F0" w:rsidP="006F36D1">
      <w:pPr>
        <w:rPr>
          <w:rFonts w:asciiTheme="majorHAnsi" w:hAnsiTheme="majorHAnsi" w:cstheme="majorHAnsi"/>
          <w:sz w:val="24"/>
          <w:szCs w:val="24"/>
        </w:rPr>
      </w:pPr>
      <w:r w:rsidRPr="002A7C27">
        <w:rPr>
          <w:rFonts w:asciiTheme="majorHAnsi" w:hAnsiTheme="majorHAnsi" w:cstheme="majorHAnsi"/>
          <w:sz w:val="24"/>
          <w:szCs w:val="24"/>
        </w:rPr>
        <w:t>Another area that needs to be developed is the changing of attitudes towards numeracy. Learner A has stated that she does not feel good enough to do mathematics or has the ability to do so. Even though she has proved through her work that she is more than capable of achieving consistently in numeracy her self-esteem is lacking. In order to help learner A progress it is important that first I address the confidence that she has in herself.</w:t>
      </w:r>
      <w:r w:rsidR="00C761DA" w:rsidRPr="002A7C27">
        <w:rPr>
          <w:rFonts w:asciiTheme="majorHAnsi" w:hAnsiTheme="majorHAnsi" w:cstheme="majorHAnsi"/>
          <w:sz w:val="24"/>
          <w:szCs w:val="24"/>
        </w:rPr>
        <w:t xml:space="preserve"> There are many different ways in which but for learner A I feel that encouragement to persist and continuous praise in regards to work and wider areas of learning. </w:t>
      </w:r>
      <w:r w:rsidRPr="002A7C27">
        <w:rPr>
          <w:rFonts w:asciiTheme="majorHAnsi" w:hAnsiTheme="majorHAnsi" w:cstheme="majorHAnsi"/>
          <w:sz w:val="24"/>
          <w:szCs w:val="24"/>
        </w:rPr>
        <w:t xml:space="preserve"> </w:t>
      </w:r>
      <w:r w:rsidRPr="002A7C27">
        <w:rPr>
          <w:rFonts w:asciiTheme="majorHAnsi" w:hAnsiTheme="majorHAnsi" w:cstheme="majorHAnsi"/>
          <w:b/>
          <w:sz w:val="24"/>
          <w:szCs w:val="24"/>
        </w:rPr>
        <w:t>Bunker (</w:t>
      </w:r>
      <w:r w:rsidR="009B6922" w:rsidRPr="002A7C27">
        <w:rPr>
          <w:rFonts w:asciiTheme="majorHAnsi" w:hAnsiTheme="majorHAnsi" w:cstheme="majorHAnsi"/>
          <w:b/>
          <w:sz w:val="24"/>
          <w:szCs w:val="24"/>
        </w:rPr>
        <w:t>1991</w:t>
      </w:r>
      <w:r w:rsidRPr="002A7C27">
        <w:rPr>
          <w:rFonts w:asciiTheme="majorHAnsi" w:hAnsiTheme="majorHAnsi" w:cstheme="majorHAnsi"/>
          <w:b/>
          <w:sz w:val="24"/>
          <w:szCs w:val="24"/>
        </w:rPr>
        <w:t xml:space="preserve">) </w:t>
      </w:r>
      <w:r w:rsidRPr="002A7C27">
        <w:rPr>
          <w:rFonts w:asciiTheme="majorHAnsi" w:hAnsiTheme="majorHAnsi" w:cstheme="majorHAnsi"/>
          <w:sz w:val="24"/>
          <w:szCs w:val="24"/>
        </w:rPr>
        <w:t>s</w:t>
      </w:r>
      <w:r w:rsidR="00C761DA" w:rsidRPr="002A7C27">
        <w:rPr>
          <w:rFonts w:asciiTheme="majorHAnsi" w:hAnsiTheme="majorHAnsi" w:cstheme="majorHAnsi"/>
          <w:sz w:val="24"/>
          <w:szCs w:val="24"/>
        </w:rPr>
        <w:t>tates</w:t>
      </w:r>
      <w:r w:rsidRPr="002A7C27">
        <w:rPr>
          <w:rFonts w:asciiTheme="majorHAnsi" w:hAnsiTheme="majorHAnsi" w:cstheme="majorHAnsi"/>
          <w:sz w:val="24"/>
          <w:szCs w:val="24"/>
        </w:rPr>
        <w:t xml:space="preserve"> that learners confidence comes from the positive and successful experiences that they have when they are in school.</w:t>
      </w:r>
      <w:r w:rsidR="00C761DA" w:rsidRPr="002A7C27">
        <w:rPr>
          <w:rFonts w:asciiTheme="majorHAnsi" w:hAnsiTheme="majorHAnsi" w:cstheme="majorHAnsi"/>
          <w:sz w:val="24"/>
          <w:szCs w:val="24"/>
        </w:rPr>
        <w:t xml:space="preserve"> Of course, not all experiences in a learners life in school is going to be successful but where appropriate I will ensure that she is successful and that is recognised both by myself and her peers. I will also put in place strategies that encourage learner A to persist even if something is being unsuccessful. </w:t>
      </w:r>
      <w:r w:rsidR="00C761DA" w:rsidRPr="002A7C27">
        <w:rPr>
          <w:rFonts w:asciiTheme="majorHAnsi" w:hAnsiTheme="majorHAnsi" w:cstheme="majorHAnsi"/>
          <w:b/>
          <w:sz w:val="24"/>
          <w:szCs w:val="24"/>
        </w:rPr>
        <w:t>Bunker (</w:t>
      </w:r>
      <w:r w:rsidR="009B6922" w:rsidRPr="002A7C27">
        <w:rPr>
          <w:rFonts w:asciiTheme="majorHAnsi" w:hAnsiTheme="majorHAnsi" w:cstheme="majorHAnsi"/>
          <w:b/>
          <w:sz w:val="24"/>
          <w:szCs w:val="24"/>
        </w:rPr>
        <w:t>1991</w:t>
      </w:r>
      <w:r w:rsidR="00C761DA" w:rsidRPr="002A7C27">
        <w:rPr>
          <w:rFonts w:asciiTheme="majorHAnsi" w:hAnsiTheme="majorHAnsi" w:cstheme="majorHAnsi"/>
          <w:b/>
          <w:sz w:val="24"/>
          <w:szCs w:val="24"/>
        </w:rPr>
        <w:t xml:space="preserve">) </w:t>
      </w:r>
      <w:r w:rsidR="00C761DA" w:rsidRPr="002A7C27">
        <w:rPr>
          <w:rFonts w:asciiTheme="majorHAnsi" w:hAnsiTheme="majorHAnsi" w:cstheme="majorHAnsi"/>
          <w:sz w:val="24"/>
          <w:szCs w:val="24"/>
        </w:rPr>
        <w:t xml:space="preserve">supports this by stating that there should always be an opportunity every day for a learner to succeed: but also </w:t>
      </w:r>
      <w:r w:rsidR="00C761DA" w:rsidRPr="002A7C27">
        <w:rPr>
          <w:rFonts w:asciiTheme="majorHAnsi" w:hAnsiTheme="majorHAnsi" w:cstheme="majorHAnsi"/>
          <w:sz w:val="24"/>
          <w:szCs w:val="24"/>
        </w:rPr>
        <w:lastRenderedPageBreak/>
        <w:t xml:space="preserve">sometimes learners need to fail in order to persevere and find alternative answers to problems that they may encounter. I believe that if learner A develops these skills she will be able to apply them to all aspects in her school life and beyond. </w:t>
      </w:r>
      <w:r w:rsidR="009B6922" w:rsidRPr="002A7C27">
        <w:rPr>
          <w:rFonts w:asciiTheme="majorHAnsi" w:hAnsiTheme="majorHAnsi" w:cstheme="majorHAnsi"/>
          <w:b/>
          <w:sz w:val="24"/>
          <w:szCs w:val="24"/>
        </w:rPr>
        <w:t xml:space="preserve">Harris, Taylor and Taylor (2014) </w:t>
      </w:r>
      <w:r w:rsidR="009B6922" w:rsidRPr="002A7C27">
        <w:rPr>
          <w:rFonts w:asciiTheme="majorHAnsi" w:hAnsiTheme="majorHAnsi" w:cstheme="majorHAnsi"/>
          <w:sz w:val="24"/>
          <w:szCs w:val="24"/>
        </w:rPr>
        <w:t xml:space="preserve">offer a different perspective on developing confidence mathematically. By stating that there should be resources on offer to the learners that gives learners the potential for numeracy to arise in a role play situation. </w:t>
      </w:r>
      <w:r w:rsidR="00C761DA" w:rsidRPr="002A7C27">
        <w:rPr>
          <w:rFonts w:asciiTheme="majorHAnsi" w:hAnsiTheme="majorHAnsi" w:cstheme="majorHAnsi"/>
          <w:sz w:val="24"/>
          <w:szCs w:val="24"/>
        </w:rPr>
        <w:t>Once learner A’s confidence in numeracy has been developed I would then move her up to a higher group so she is being correctly challenged in numeracy. At the moment she is with a group who are lower ability Outcome 3’s in numeracy, and she is working at an Outcome 4. Moving learner A to a more suitable group for her ability would mean that she is correctly being challenged with her peers, and, where a</w:t>
      </w:r>
      <w:r w:rsidR="009B6922" w:rsidRPr="002A7C27">
        <w:rPr>
          <w:rFonts w:asciiTheme="majorHAnsi" w:hAnsiTheme="majorHAnsi" w:cstheme="majorHAnsi"/>
          <w:sz w:val="24"/>
          <w:szCs w:val="24"/>
        </w:rPr>
        <w:t>p</w:t>
      </w:r>
      <w:r w:rsidR="00C761DA" w:rsidRPr="002A7C27">
        <w:rPr>
          <w:rFonts w:asciiTheme="majorHAnsi" w:hAnsiTheme="majorHAnsi" w:cstheme="majorHAnsi"/>
          <w:sz w:val="24"/>
          <w:szCs w:val="24"/>
        </w:rPr>
        <w:t xml:space="preserve">propriate extended by them and myself too. </w:t>
      </w:r>
    </w:p>
    <w:p w14:paraId="2502049A" w14:textId="555B6503" w:rsidR="009B6922" w:rsidRPr="002A7C27" w:rsidRDefault="009B6922" w:rsidP="006F36D1">
      <w:pPr>
        <w:rPr>
          <w:rFonts w:asciiTheme="majorHAnsi" w:hAnsiTheme="majorHAnsi" w:cstheme="majorHAnsi"/>
          <w:sz w:val="24"/>
          <w:szCs w:val="24"/>
        </w:rPr>
      </w:pPr>
      <w:r w:rsidRPr="002A7C27">
        <w:rPr>
          <w:rFonts w:asciiTheme="majorHAnsi" w:hAnsiTheme="majorHAnsi" w:cstheme="majorHAnsi"/>
          <w:sz w:val="24"/>
          <w:szCs w:val="24"/>
        </w:rPr>
        <w:t xml:space="preserve"> </w:t>
      </w:r>
    </w:p>
    <w:p w14:paraId="2E3EFE01" w14:textId="4CD64B19" w:rsidR="009B6922" w:rsidRPr="002A7C27" w:rsidRDefault="009B6922" w:rsidP="006F36D1">
      <w:pPr>
        <w:rPr>
          <w:rFonts w:asciiTheme="majorHAnsi" w:hAnsiTheme="majorHAnsi" w:cstheme="majorHAnsi"/>
          <w:sz w:val="24"/>
          <w:szCs w:val="24"/>
        </w:rPr>
      </w:pPr>
      <w:r w:rsidRPr="002A7C27">
        <w:rPr>
          <w:rFonts w:asciiTheme="majorHAnsi" w:hAnsiTheme="majorHAnsi" w:cstheme="majorHAnsi"/>
          <w:sz w:val="24"/>
          <w:szCs w:val="24"/>
        </w:rPr>
        <w:t xml:space="preserve">Learner A loved science because it was a practical activity and enabled her to have many opinions and explore whether they could be right or wrong. I believe the crucial next step for learner A is that I ensure that all sessions where possible are interactive. Allows the time for expressing numerous opinions and why learners may think that it is right or wrong. </w:t>
      </w:r>
      <w:r w:rsidRPr="002A7C27">
        <w:rPr>
          <w:rFonts w:asciiTheme="majorHAnsi" w:hAnsiTheme="majorHAnsi" w:cstheme="majorHAnsi"/>
          <w:b/>
          <w:sz w:val="24"/>
          <w:szCs w:val="24"/>
        </w:rPr>
        <w:t xml:space="preserve">Hendrick (2011) </w:t>
      </w:r>
      <w:r w:rsidRPr="002A7C27">
        <w:rPr>
          <w:rFonts w:asciiTheme="majorHAnsi" w:hAnsiTheme="majorHAnsi" w:cstheme="majorHAnsi"/>
          <w:sz w:val="24"/>
          <w:szCs w:val="24"/>
        </w:rPr>
        <w:t xml:space="preserve">suggests that learners who are “learning by doing” </w:t>
      </w:r>
      <w:r w:rsidRPr="002A7C27">
        <w:rPr>
          <w:rFonts w:asciiTheme="majorHAnsi" w:hAnsiTheme="majorHAnsi" w:cstheme="majorHAnsi"/>
          <w:b/>
          <w:sz w:val="24"/>
          <w:szCs w:val="24"/>
        </w:rPr>
        <w:t>(1)</w:t>
      </w:r>
      <w:r w:rsidR="002A7C27" w:rsidRPr="002A7C27">
        <w:rPr>
          <w:rFonts w:asciiTheme="majorHAnsi" w:hAnsiTheme="majorHAnsi" w:cstheme="majorHAnsi"/>
          <w:b/>
          <w:sz w:val="24"/>
          <w:szCs w:val="24"/>
        </w:rPr>
        <w:t xml:space="preserve"> </w:t>
      </w:r>
      <w:r w:rsidR="002A7C27" w:rsidRPr="002A7C27">
        <w:rPr>
          <w:rFonts w:asciiTheme="majorHAnsi" w:hAnsiTheme="majorHAnsi" w:cstheme="majorHAnsi"/>
          <w:sz w:val="24"/>
          <w:szCs w:val="24"/>
        </w:rPr>
        <w:t xml:space="preserve">are creating </w:t>
      </w:r>
      <w:proofErr w:type="spellStart"/>
      <w:r w:rsidR="002A7C27" w:rsidRPr="002A7C27">
        <w:rPr>
          <w:rFonts w:asciiTheme="majorHAnsi" w:hAnsiTheme="majorHAnsi" w:cstheme="majorHAnsi"/>
          <w:sz w:val="24"/>
          <w:szCs w:val="24"/>
        </w:rPr>
        <w:t>a</w:t>
      </w:r>
      <w:proofErr w:type="spellEnd"/>
      <w:r w:rsidR="002A7C27" w:rsidRPr="002A7C27">
        <w:rPr>
          <w:rFonts w:asciiTheme="majorHAnsi" w:hAnsiTheme="majorHAnsi" w:cstheme="majorHAnsi"/>
          <w:sz w:val="24"/>
          <w:szCs w:val="24"/>
        </w:rPr>
        <w:t xml:space="preserve"> elevated level of thinking. Learners who are engaged in a practical activity are able to collaborate, explore and reflect. The skills that learners gain through practical activity are able to transfer the information that they have learnt and feedback to peers as well as the skills attained (</w:t>
      </w:r>
      <w:r w:rsidR="002A7C27" w:rsidRPr="002A7C27">
        <w:rPr>
          <w:rFonts w:asciiTheme="majorHAnsi" w:hAnsiTheme="majorHAnsi" w:cstheme="majorHAnsi"/>
          <w:b/>
          <w:sz w:val="24"/>
          <w:szCs w:val="24"/>
        </w:rPr>
        <w:t xml:space="preserve">Hendrick, 2011). </w:t>
      </w:r>
    </w:p>
    <w:p w14:paraId="4ECAA8EC" w14:textId="77777777" w:rsidR="009B6922" w:rsidRPr="00C761DA" w:rsidRDefault="009B6922" w:rsidP="006F36D1">
      <w:pPr>
        <w:rPr>
          <w:rFonts w:ascii="Calibri" w:hAnsi="Calibri" w:cs="Arial"/>
          <w:sz w:val="24"/>
          <w:szCs w:val="24"/>
        </w:rPr>
      </w:pPr>
    </w:p>
    <w:p w14:paraId="46264FB5" w14:textId="46CCBDAD" w:rsidR="00AB597A" w:rsidRDefault="00AB597A" w:rsidP="006F36D1">
      <w:pPr>
        <w:rPr>
          <w:rFonts w:ascii="Calibri" w:hAnsi="Calibri" w:cs="Arial"/>
          <w:sz w:val="24"/>
          <w:szCs w:val="24"/>
        </w:rPr>
      </w:pPr>
    </w:p>
    <w:p w14:paraId="37957768" w14:textId="77777777" w:rsidR="00AB597A" w:rsidRPr="00AB597A" w:rsidRDefault="00AB597A" w:rsidP="006F36D1">
      <w:pPr>
        <w:rPr>
          <w:rFonts w:ascii="Calibri" w:hAnsi="Calibri" w:cs="Arial"/>
          <w:sz w:val="24"/>
          <w:szCs w:val="24"/>
        </w:rPr>
      </w:pPr>
    </w:p>
    <w:p w14:paraId="539BD037" w14:textId="1B8FA400" w:rsidR="00F926CA" w:rsidRDefault="00F926CA" w:rsidP="005F6A3B">
      <w:pPr>
        <w:ind w:left="720"/>
        <w:rPr>
          <w:rFonts w:ascii="Calibri" w:hAnsi="Calibri" w:cs="Arial"/>
          <w:sz w:val="24"/>
          <w:szCs w:val="24"/>
        </w:rPr>
      </w:pPr>
    </w:p>
    <w:p w14:paraId="70935B8E" w14:textId="602C4255" w:rsidR="00F926CA" w:rsidRDefault="00F926CA" w:rsidP="005F6A3B">
      <w:pPr>
        <w:ind w:left="720"/>
        <w:rPr>
          <w:rFonts w:ascii="Calibri" w:hAnsi="Calibri" w:cs="Arial"/>
          <w:sz w:val="24"/>
          <w:szCs w:val="24"/>
        </w:rPr>
      </w:pPr>
    </w:p>
    <w:p w14:paraId="1CF99883" w14:textId="2E5CA711" w:rsidR="00F926CA" w:rsidRDefault="00F926CA" w:rsidP="005F6A3B">
      <w:pPr>
        <w:ind w:left="720"/>
        <w:rPr>
          <w:rFonts w:ascii="Calibri" w:hAnsi="Calibri" w:cs="Arial"/>
          <w:sz w:val="24"/>
          <w:szCs w:val="24"/>
        </w:rPr>
      </w:pPr>
    </w:p>
    <w:p w14:paraId="338209F9" w14:textId="77777777" w:rsidR="00F926CA" w:rsidRPr="009E4A68" w:rsidRDefault="00F926CA" w:rsidP="005F6A3B">
      <w:pPr>
        <w:ind w:left="720"/>
        <w:rPr>
          <w:rFonts w:ascii="Calibri" w:hAnsi="Calibri" w:cs="Arial"/>
          <w:sz w:val="24"/>
          <w:szCs w:val="24"/>
        </w:rPr>
      </w:pPr>
    </w:p>
    <w:p w14:paraId="76FFFAEC" w14:textId="77777777" w:rsidR="005F6A3B" w:rsidRPr="009E4A68" w:rsidRDefault="005F6A3B" w:rsidP="005F6A3B">
      <w:pPr>
        <w:ind w:left="720"/>
        <w:rPr>
          <w:rFonts w:ascii="Calibri" w:hAnsi="Calibri" w:cs="Arial"/>
          <w:sz w:val="24"/>
          <w:szCs w:val="24"/>
        </w:rPr>
      </w:pPr>
      <w:bookmarkStart w:id="0" w:name="_GoBack"/>
      <w:bookmarkEnd w:id="0"/>
    </w:p>
    <w:p w14:paraId="16BFED61" w14:textId="0056C665" w:rsidR="00C935CF" w:rsidRDefault="00C935CF"/>
    <w:p w14:paraId="1C05B45C" w14:textId="21E4F296" w:rsidR="004544C7" w:rsidRDefault="004544C7"/>
    <w:p w14:paraId="673B1917" w14:textId="613E74D3" w:rsidR="004544C7" w:rsidRDefault="004544C7"/>
    <w:p w14:paraId="3414AAF4" w14:textId="17EF267D" w:rsidR="004544C7" w:rsidRDefault="004544C7"/>
    <w:p w14:paraId="4CA446B3" w14:textId="55393132" w:rsidR="004544C7" w:rsidRDefault="004544C7"/>
    <w:p w14:paraId="0E2121C9" w14:textId="2819CE99" w:rsidR="004544C7" w:rsidRDefault="004544C7"/>
    <w:p w14:paraId="01178E5D" w14:textId="7FBD43E6" w:rsidR="004544C7" w:rsidRDefault="004544C7"/>
    <w:p w14:paraId="1AE2BEA7" w14:textId="07B8C17F" w:rsidR="004544C7" w:rsidRDefault="004544C7"/>
    <w:p w14:paraId="55E3DAC9" w14:textId="214D2CF5" w:rsidR="004544C7" w:rsidRDefault="004544C7"/>
    <w:p w14:paraId="28C287F9" w14:textId="49E7348C" w:rsidR="004544C7" w:rsidRDefault="004544C7"/>
    <w:p w14:paraId="45D7B793" w14:textId="7FAA5EA3" w:rsidR="004544C7" w:rsidRDefault="004544C7"/>
    <w:p w14:paraId="45FD840F" w14:textId="29BFFC35" w:rsidR="004544C7" w:rsidRDefault="004544C7"/>
    <w:p w14:paraId="453B3F0A" w14:textId="0CEE4EE8" w:rsidR="004544C7" w:rsidRDefault="004544C7"/>
    <w:p w14:paraId="2D55DFD1" w14:textId="52781DFB" w:rsidR="004544C7" w:rsidRDefault="004544C7"/>
    <w:p w14:paraId="652303D8" w14:textId="0B575142" w:rsidR="004544C7" w:rsidRDefault="004544C7"/>
    <w:p w14:paraId="2FD51803" w14:textId="1D06E610" w:rsidR="004544C7" w:rsidRDefault="004544C7"/>
    <w:p w14:paraId="2CB4A56B" w14:textId="293AB6CA" w:rsidR="004544C7" w:rsidRDefault="004544C7"/>
    <w:p w14:paraId="4C8330B5" w14:textId="5FF07AFA" w:rsidR="004544C7" w:rsidRDefault="004544C7"/>
    <w:p w14:paraId="27AA9FE4" w14:textId="57C4A3DA" w:rsidR="004544C7" w:rsidRDefault="004544C7"/>
    <w:p w14:paraId="2DCEBA9D" w14:textId="6ED9D965" w:rsidR="004544C7" w:rsidRDefault="004544C7"/>
    <w:p w14:paraId="3675F905" w14:textId="66DEFC12" w:rsidR="004544C7" w:rsidRDefault="004544C7"/>
    <w:p w14:paraId="137934C7" w14:textId="665F51B7" w:rsidR="004544C7" w:rsidRDefault="004544C7">
      <w:r>
        <w:t xml:space="preserve">REFERENCES </w:t>
      </w:r>
    </w:p>
    <w:p w14:paraId="71CEBCC2" w14:textId="232C522B" w:rsidR="001B549C" w:rsidRDefault="001B549C"/>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1B549C" w:rsidRPr="001B549C" w14:paraId="02EF0677" w14:textId="77777777" w:rsidTr="001B549C">
        <w:trPr>
          <w:gridAfter w:val="1"/>
        </w:trPr>
        <w:tc>
          <w:tcPr>
            <w:tcW w:w="0" w:type="auto"/>
            <w:shd w:val="clear" w:color="auto" w:fill="FFFFFF"/>
            <w:vAlign w:val="center"/>
            <w:hideMark/>
          </w:tcPr>
          <w:p w14:paraId="205BF5BD" w14:textId="77777777" w:rsidR="001B549C" w:rsidRPr="001B549C" w:rsidRDefault="001B549C" w:rsidP="001B549C">
            <w:pPr>
              <w:rPr>
                <w:sz w:val="24"/>
                <w:szCs w:val="24"/>
                <w:lang w:eastAsia="en-US"/>
              </w:rPr>
            </w:pPr>
          </w:p>
        </w:tc>
      </w:tr>
      <w:tr w:rsidR="001B549C" w:rsidRPr="001B549C" w14:paraId="3D694557" w14:textId="77777777" w:rsidTr="001B549C">
        <w:trPr>
          <w:gridAfter w:val="1"/>
        </w:trPr>
        <w:tc>
          <w:tcPr>
            <w:tcW w:w="0" w:type="auto"/>
            <w:shd w:val="clear" w:color="auto" w:fill="FFFFFF"/>
            <w:tcMar>
              <w:top w:w="120" w:type="dxa"/>
              <w:left w:w="0" w:type="dxa"/>
              <w:bottom w:w="120" w:type="dxa"/>
              <w:right w:w="0" w:type="dxa"/>
            </w:tcMar>
            <w:hideMark/>
          </w:tcPr>
          <w:p w14:paraId="4799A7DE" w14:textId="77777777" w:rsidR="009B6922" w:rsidRDefault="009B6922" w:rsidP="009B6922">
            <w:pPr>
              <w:rPr>
                <w:lang w:eastAsia="en-US"/>
              </w:rPr>
            </w:pPr>
            <w:r>
              <w:rPr>
                <w:rFonts w:ascii="Arial" w:hAnsi="Arial" w:cs="Arial"/>
                <w:color w:val="222222"/>
                <w:shd w:val="clear" w:color="auto" w:fill="FFFFFF"/>
              </w:rPr>
              <w:lastRenderedPageBreak/>
              <w:t>Bunker, L.K., 1991. The role of play and motor skill development in building children's self-confidence and self-esteem. </w:t>
            </w:r>
            <w:r>
              <w:rPr>
                <w:rFonts w:ascii="Arial" w:hAnsi="Arial" w:cs="Arial"/>
                <w:i/>
                <w:iCs/>
                <w:color w:val="222222"/>
                <w:shd w:val="clear" w:color="auto" w:fill="FFFFFF"/>
              </w:rPr>
              <w:t>The Elementary School Journal</w:t>
            </w:r>
            <w:r>
              <w:rPr>
                <w:rFonts w:ascii="Arial" w:hAnsi="Arial" w:cs="Arial"/>
                <w:color w:val="222222"/>
                <w:shd w:val="clear" w:color="auto" w:fill="FFFFFF"/>
              </w:rPr>
              <w:t>, </w:t>
            </w:r>
            <w:r>
              <w:rPr>
                <w:rFonts w:ascii="Arial" w:hAnsi="Arial" w:cs="Arial"/>
                <w:i/>
                <w:iCs/>
                <w:color w:val="222222"/>
                <w:shd w:val="clear" w:color="auto" w:fill="FFFFFF"/>
              </w:rPr>
              <w:t>91</w:t>
            </w:r>
            <w:r>
              <w:rPr>
                <w:rFonts w:ascii="Arial" w:hAnsi="Arial" w:cs="Arial"/>
                <w:color w:val="222222"/>
                <w:shd w:val="clear" w:color="auto" w:fill="FFFFFF"/>
              </w:rPr>
              <w:t>(5), pp.467-471.</w:t>
            </w:r>
          </w:p>
          <w:p w14:paraId="5B7F93C8" w14:textId="77777777" w:rsidR="002851F0" w:rsidRDefault="002851F0" w:rsidP="001B549C">
            <w:pPr>
              <w:rPr>
                <w:rFonts w:ascii="Arial" w:hAnsi="Arial" w:cs="Arial"/>
                <w:color w:val="222222"/>
                <w:lang w:eastAsia="en-US"/>
              </w:rPr>
            </w:pPr>
          </w:p>
          <w:p w14:paraId="0940A6AA" w14:textId="77777777" w:rsidR="002851F0" w:rsidRDefault="002851F0" w:rsidP="001B549C">
            <w:pPr>
              <w:rPr>
                <w:rFonts w:ascii="Arial" w:hAnsi="Arial" w:cs="Arial"/>
                <w:color w:val="222222"/>
                <w:lang w:eastAsia="en-US"/>
              </w:rPr>
            </w:pPr>
          </w:p>
          <w:p w14:paraId="26D7BC8D" w14:textId="48553E37" w:rsidR="001B549C" w:rsidRPr="001B549C" w:rsidRDefault="001B549C" w:rsidP="001B549C">
            <w:pPr>
              <w:rPr>
                <w:rFonts w:ascii="Arial" w:hAnsi="Arial" w:cs="Arial"/>
                <w:color w:val="222222"/>
                <w:lang w:eastAsia="en-US"/>
              </w:rPr>
            </w:pPr>
            <w:r w:rsidRPr="001B549C">
              <w:rPr>
                <w:rFonts w:ascii="Arial" w:hAnsi="Arial" w:cs="Arial"/>
                <w:color w:val="222222"/>
                <w:lang w:eastAsia="en-US"/>
              </w:rPr>
              <w:t>Abrahams, I. and Millar, R., 2008. Does practical work really work? A study of the effectiveness of practical work as a teaching and learning method in school science. </w:t>
            </w:r>
            <w:r w:rsidRPr="001B549C">
              <w:rPr>
                <w:rFonts w:ascii="Arial" w:hAnsi="Arial" w:cs="Arial"/>
                <w:i/>
                <w:iCs/>
                <w:color w:val="222222"/>
                <w:lang w:eastAsia="en-US"/>
              </w:rPr>
              <w:t>International Journal of Science Education</w:t>
            </w:r>
            <w:r w:rsidRPr="001B549C">
              <w:rPr>
                <w:rFonts w:ascii="Arial" w:hAnsi="Arial" w:cs="Arial"/>
                <w:color w:val="222222"/>
                <w:lang w:eastAsia="en-US"/>
              </w:rPr>
              <w:t>, </w:t>
            </w:r>
            <w:r w:rsidRPr="001B549C">
              <w:rPr>
                <w:rFonts w:ascii="Arial" w:hAnsi="Arial" w:cs="Arial"/>
                <w:i/>
                <w:iCs/>
                <w:color w:val="222222"/>
                <w:lang w:eastAsia="en-US"/>
              </w:rPr>
              <w:t>30</w:t>
            </w:r>
            <w:r w:rsidRPr="001B549C">
              <w:rPr>
                <w:rFonts w:ascii="Arial" w:hAnsi="Arial" w:cs="Arial"/>
                <w:color w:val="222222"/>
                <w:lang w:eastAsia="en-US"/>
              </w:rPr>
              <w:t>(14), pp.1945-1969.</w:t>
            </w:r>
          </w:p>
        </w:tc>
      </w:tr>
      <w:tr w:rsidR="001B549C" w:rsidRPr="001B549C" w14:paraId="0D85E6B0" w14:textId="77777777" w:rsidTr="001B549C">
        <w:tc>
          <w:tcPr>
            <w:tcW w:w="0" w:type="auto"/>
            <w:shd w:val="clear" w:color="auto" w:fill="FFFFFF"/>
            <w:noWrap/>
            <w:tcMar>
              <w:top w:w="120" w:type="dxa"/>
              <w:left w:w="0" w:type="dxa"/>
              <w:bottom w:w="120" w:type="dxa"/>
              <w:right w:w="240" w:type="dxa"/>
            </w:tcMar>
            <w:hideMark/>
          </w:tcPr>
          <w:p w14:paraId="0A95FC77" w14:textId="1F9A38A8" w:rsidR="001B549C" w:rsidRPr="001B549C" w:rsidRDefault="001B549C" w:rsidP="001B549C">
            <w:pPr>
              <w:jc w:val="center"/>
              <w:rPr>
                <w:rFonts w:ascii="Arial" w:hAnsi="Arial" w:cs="Arial"/>
                <w:color w:val="777777"/>
                <w:lang w:eastAsia="en-US"/>
              </w:rPr>
            </w:pPr>
          </w:p>
        </w:tc>
        <w:tc>
          <w:tcPr>
            <w:tcW w:w="0" w:type="auto"/>
            <w:shd w:val="clear" w:color="auto" w:fill="FFFFFF"/>
            <w:tcMar>
              <w:top w:w="120" w:type="dxa"/>
              <w:left w:w="0" w:type="dxa"/>
              <w:bottom w:w="120" w:type="dxa"/>
              <w:right w:w="0" w:type="dxa"/>
            </w:tcMar>
            <w:hideMark/>
          </w:tcPr>
          <w:p w14:paraId="37031D40" w14:textId="77777777" w:rsidR="001B549C" w:rsidRPr="001B549C" w:rsidRDefault="001B549C" w:rsidP="001B549C">
            <w:pPr>
              <w:jc w:val="right"/>
              <w:rPr>
                <w:rFonts w:ascii="Arial" w:hAnsi="Arial" w:cs="Arial"/>
                <w:color w:val="777777"/>
                <w:lang w:eastAsia="en-US"/>
              </w:rPr>
            </w:pPr>
          </w:p>
        </w:tc>
      </w:tr>
    </w:tbl>
    <w:p w14:paraId="79045FA0" w14:textId="77777777" w:rsidR="009B6922" w:rsidRPr="009B6922" w:rsidRDefault="009B6922" w:rsidP="009B6922">
      <w:pPr>
        <w:shd w:val="clear" w:color="auto" w:fill="FFFFFF"/>
        <w:spacing w:line="288" w:lineRule="atLeast"/>
        <w:rPr>
          <w:rFonts w:ascii="Arial" w:hAnsi="Arial" w:cs="Arial"/>
          <w:color w:val="000000"/>
          <w:sz w:val="19"/>
          <w:szCs w:val="19"/>
          <w:lang w:eastAsia="en-US"/>
        </w:rPr>
      </w:pPr>
      <w:r w:rsidRPr="009B6922">
        <w:rPr>
          <w:rFonts w:ascii="Arial" w:hAnsi="Arial" w:cs="Arial"/>
          <w:color w:val="000000"/>
          <w:sz w:val="19"/>
          <w:szCs w:val="19"/>
          <w:lang w:eastAsia="en-US"/>
        </w:rPr>
        <w:t>Hedrick, J., 2011. Learning by Doing. </w:t>
      </w:r>
      <w:r w:rsidRPr="009B6922">
        <w:rPr>
          <w:rFonts w:ascii="Arial" w:hAnsi="Arial" w:cs="Arial"/>
          <w:i/>
          <w:iCs/>
          <w:color w:val="000000"/>
          <w:sz w:val="19"/>
          <w:szCs w:val="19"/>
          <w:bdr w:val="none" w:sz="0" w:space="0" w:color="auto" w:frame="1"/>
          <w:lang w:eastAsia="en-US"/>
        </w:rPr>
        <w:t>NACTA Journal</w:t>
      </w:r>
      <w:r w:rsidRPr="009B6922">
        <w:rPr>
          <w:rFonts w:ascii="Arial" w:hAnsi="Arial" w:cs="Arial"/>
          <w:color w:val="000000"/>
          <w:sz w:val="19"/>
          <w:szCs w:val="19"/>
          <w:lang w:eastAsia="en-US"/>
        </w:rPr>
        <w:t>, 55(3), pp.98–99.</w:t>
      </w:r>
    </w:p>
    <w:p w14:paraId="64EF9785" w14:textId="77777777" w:rsidR="001B549C" w:rsidRPr="001B549C" w:rsidRDefault="001B549C" w:rsidP="001B549C">
      <w:pPr>
        <w:rPr>
          <w:sz w:val="24"/>
          <w:szCs w:val="24"/>
          <w:lang w:eastAsia="en-US"/>
        </w:rPr>
      </w:pPr>
    </w:p>
    <w:p w14:paraId="7659007A" w14:textId="77777777" w:rsidR="001B549C" w:rsidRDefault="001B549C"/>
    <w:p w14:paraId="2429BC3B" w14:textId="7026F2EE" w:rsidR="004544C7" w:rsidRDefault="004544C7"/>
    <w:p w14:paraId="41853D59" w14:textId="1CF14806" w:rsidR="004544C7" w:rsidRDefault="004544C7" w:rsidP="004544C7">
      <w:pPr>
        <w:rPr>
          <w:sz w:val="24"/>
          <w:szCs w:val="24"/>
          <w:lang w:eastAsia="en-US"/>
        </w:rPr>
      </w:pPr>
      <w:hyperlink r:id="rId4" w:history="1">
        <w:r w:rsidRPr="004544C7">
          <w:rPr>
            <w:color w:val="0000FF"/>
            <w:sz w:val="24"/>
            <w:szCs w:val="24"/>
            <w:u w:val="single"/>
            <w:lang w:eastAsia="en-US"/>
          </w:rPr>
          <w:t>file:///Users/alixjames1/Downloads/ClarkMosaicApproach.pdf</w:t>
        </w:r>
      </w:hyperlink>
    </w:p>
    <w:p w14:paraId="6F64D85B" w14:textId="0ACD1485" w:rsidR="00C71B91" w:rsidRDefault="00C71B91" w:rsidP="004544C7">
      <w:pPr>
        <w:rPr>
          <w:sz w:val="24"/>
          <w:szCs w:val="24"/>
          <w:lang w:eastAsia="en-US"/>
        </w:rPr>
      </w:pPr>
    </w:p>
    <w:p w14:paraId="55027C48" w14:textId="77777777" w:rsidR="00C71B91" w:rsidRPr="00C71B91" w:rsidRDefault="00C71B91" w:rsidP="00C71B91">
      <w:pPr>
        <w:shd w:val="clear" w:color="auto" w:fill="FFFFFF"/>
        <w:spacing w:line="288" w:lineRule="atLeast"/>
        <w:rPr>
          <w:rFonts w:ascii="Arial" w:hAnsi="Arial" w:cs="Arial"/>
          <w:color w:val="000000"/>
          <w:sz w:val="19"/>
          <w:szCs w:val="19"/>
          <w:lang w:eastAsia="en-US"/>
        </w:rPr>
      </w:pPr>
      <w:r>
        <w:rPr>
          <w:sz w:val="24"/>
          <w:szCs w:val="24"/>
          <w:lang w:eastAsia="en-US"/>
        </w:rPr>
        <w:t xml:space="preserve"> </w:t>
      </w:r>
      <w:r w:rsidRPr="00C71B91">
        <w:rPr>
          <w:rFonts w:ascii="Arial" w:hAnsi="Arial" w:cs="Arial"/>
          <w:color w:val="000000"/>
          <w:sz w:val="19"/>
          <w:szCs w:val="19"/>
          <w:lang w:eastAsia="en-US"/>
        </w:rPr>
        <w:t>Pound, L. &amp; Nursery world, 2008. </w:t>
      </w:r>
      <w:r w:rsidRPr="00C71B91">
        <w:rPr>
          <w:rFonts w:ascii="Arial" w:hAnsi="Arial" w:cs="Arial"/>
          <w:i/>
          <w:iCs/>
          <w:color w:val="000000"/>
          <w:sz w:val="19"/>
          <w:szCs w:val="19"/>
          <w:bdr w:val="none" w:sz="0" w:space="0" w:color="auto" w:frame="1"/>
          <w:lang w:eastAsia="en-US"/>
        </w:rPr>
        <w:t>Thinking and learning about mathematics in the early years</w:t>
      </w:r>
      <w:r w:rsidRPr="00C71B91">
        <w:rPr>
          <w:rFonts w:ascii="Arial" w:hAnsi="Arial" w:cs="Arial"/>
          <w:color w:val="000000"/>
          <w:sz w:val="19"/>
          <w:szCs w:val="19"/>
          <w:lang w:eastAsia="en-US"/>
        </w:rPr>
        <w:t>, London: Routledge.</w:t>
      </w:r>
    </w:p>
    <w:p w14:paraId="5B66C4D3" w14:textId="77777777" w:rsidR="00C71B91" w:rsidRPr="00C71B91" w:rsidRDefault="00C71B91" w:rsidP="00C71B91">
      <w:pPr>
        <w:rPr>
          <w:sz w:val="24"/>
          <w:szCs w:val="24"/>
          <w:lang w:eastAsia="en-US"/>
        </w:rPr>
      </w:pPr>
    </w:p>
    <w:p w14:paraId="57AA85D4" w14:textId="77777777" w:rsidR="001516CF" w:rsidRPr="001516CF" w:rsidRDefault="001516CF" w:rsidP="001516CF">
      <w:pPr>
        <w:shd w:val="clear" w:color="auto" w:fill="FFFFFF"/>
        <w:spacing w:line="288" w:lineRule="atLeast"/>
        <w:rPr>
          <w:rFonts w:ascii="Arial" w:hAnsi="Arial" w:cs="Arial"/>
          <w:color w:val="000000"/>
          <w:sz w:val="19"/>
          <w:szCs w:val="19"/>
          <w:lang w:eastAsia="en-US"/>
        </w:rPr>
      </w:pPr>
      <w:r w:rsidRPr="001516CF">
        <w:rPr>
          <w:rFonts w:ascii="Arial" w:hAnsi="Arial" w:cs="Arial"/>
          <w:color w:val="000000"/>
          <w:sz w:val="19"/>
          <w:szCs w:val="19"/>
          <w:lang w:eastAsia="en-US"/>
        </w:rPr>
        <w:t>Woolf, Alison, 2011. Everyone Playing in Class: A Group Play Provision for Enhancing the Emotional Well-Being of Children in School. </w:t>
      </w:r>
      <w:r w:rsidRPr="001516CF">
        <w:rPr>
          <w:rFonts w:ascii="Arial" w:hAnsi="Arial" w:cs="Arial"/>
          <w:i/>
          <w:iCs/>
          <w:color w:val="000000"/>
          <w:sz w:val="19"/>
          <w:szCs w:val="19"/>
          <w:bdr w:val="none" w:sz="0" w:space="0" w:color="auto" w:frame="1"/>
          <w:lang w:eastAsia="en-US"/>
        </w:rPr>
        <w:t>British Journal of Special Education</w:t>
      </w:r>
      <w:r w:rsidRPr="001516CF">
        <w:rPr>
          <w:rFonts w:ascii="Arial" w:hAnsi="Arial" w:cs="Arial"/>
          <w:color w:val="000000"/>
          <w:sz w:val="19"/>
          <w:szCs w:val="19"/>
          <w:lang w:eastAsia="en-US"/>
        </w:rPr>
        <w:t>, 38(4), pp.178–190.</w:t>
      </w:r>
    </w:p>
    <w:p w14:paraId="43DCF6AC" w14:textId="77777777" w:rsidR="001516CF" w:rsidRPr="001516CF" w:rsidRDefault="001516CF" w:rsidP="001516CF">
      <w:pPr>
        <w:rPr>
          <w:sz w:val="24"/>
          <w:szCs w:val="24"/>
          <w:lang w:eastAsia="en-US"/>
        </w:rPr>
      </w:pPr>
    </w:p>
    <w:p w14:paraId="7898F6B9" w14:textId="1F3E1131" w:rsidR="00C71B91" w:rsidRDefault="00C71B91" w:rsidP="004544C7">
      <w:pPr>
        <w:rPr>
          <w:sz w:val="24"/>
          <w:szCs w:val="24"/>
          <w:lang w:eastAsia="en-US"/>
        </w:rPr>
      </w:pPr>
    </w:p>
    <w:p w14:paraId="4A0CCA4B" w14:textId="77777777" w:rsidR="00AB597A" w:rsidRPr="00AB597A" w:rsidRDefault="00AB597A" w:rsidP="00AB597A">
      <w:pPr>
        <w:shd w:val="clear" w:color="auto" w:fill="FFFFFF"/>
        <w:spacing w:line="288" w:lineRule="atLeast"/>
        <w:rPr>
          <w:rFonts w:ascii="Arial" w:hAnsi="Arial" w:cs="Arial"/>
          <w:color w:val="000000"/>
          <w:sz w:val="19"/>
          <w:szCs w:val="19"/>
          <w:lang w:eastAsia="en-US"/>
        </w:rPr>
      </w:pPr>
      <w:proofErr w:type="spellStart"/>
      <w:r w:rsidRPr="00AB597A">
        <w:rPr>
          <w:rFonts w:ascii="Arial" w:hAnsi="Arial" w:cs="Arial"/>
          <w:color w:val="000000"/>
          <w:sz w:val="19"/>
          <w:szCs w:val="19"/>
          <w:lang w:eastAsia="en-US"/>
        </w:rPr>
        <w:t>Pianta</w:t>
      </w:r>
      <w:proofErr w:type="spellEnd"/>
      <w:r w:rsidRPr="00AB597A">
        <w:rPr>
          <w:rFonts w:ascii="Arial" w:hAnsi="Arial" w:cs="Arial"/>
          <w:color w:val="000000"/>
          <w:sz w:val="19"/>
          <w:szCs w:val="19"/>
          <w:lang w:eastAsia="en-US"/>
        </w:rPr>
        <w:t xml:space="preserve">, Robert C. &amp; </w:t>
      </w:r>
      <w:proofErr w:type="spellStart"/>
      <w:r w:rsidRPr="00AB597A">
        <w:rPr>
          <w:rFonts w:ascii="Arial" w:hAnsi="Arial" w:cs="Arial"/>
          <w:color w:val="000000"/>
          <w:sz w:val="19"/>
          <w:szCs w:val="19"/>
          <w:lang w:eastAsia="en-US"/>
        </w:rPr>
        <w:t>Stuhlman</w:t>
      </w:r>
      <w:proofErr w:type="spellEnd"/>
      <w:r w:rsidRPr="00AB597A">
        <w:rPr>
          <w:rFonts w:ascii="Arial" w:hAnsi="Arial" w:cs="Arial"/>
          <w:color w:val="000000"/>
          <w:sz w:val="19"/>
          <w:szCs w:val="19"/>
          <w:lang w:eastAsia="en-US"/>
        </w:rPr>
        <w:t>, Megan W., 2004. Teacher-Child Relationships and Children's Success in the First Years of School. </w:t>
      </w:r>
      <w:r w:rsidRPr="00AB597A">
        <w:rPr>
          <w:rFonts w:ascii="Arial" w:hAnsi="Arial" w:cs="Arial"/>
          <w:i/>
          <w:iCs/>
          <w:color w:val="000000"/>
          <w:sz w:val="19"/>
          <w:szCs w:val="19"/>
          <w:bdr w:val="none" w:sz="0" w:space="0" w:color="auto" w:frame="1"/>
          <w:lang w:eastAsia="en-US"/>
        </w:rPr>
        <w:t>School Psychology Review</w:t>
      </w:r>
      <w:r w:rsidRPr="00AB597A">
        <w:rPr>
          <w:rFonts w:ascii="Arial" w:hAnsi="Arial" w:cs="Arial"/>
          <w:color w:val="000000"/>
          <w:sz w:val="19"/>
          <w:szCs w:val="19"/>
          <w:lang w:eastAsia="en-US"/>
        </w:rPr>
        <w:t>, 33(3), pp.444–458.</w:t>
      </w:r>
    </w:p>
    <w:p w14:paraId="2C56BAB9" w14:textId="2F05D9DB" w:rsidR="004544C7" w:rsidRDefault="004544C7" w:rsidP="004544C7">
      <w:pPr>
        <w:rPr>
          <w:sz w:val="24"/>
          <w:szCs w:val="24"/>
          <w:lang w:eastAsia="en-US"/>
        </w:rPr>
      </w:pPr>
    </w:p>
    <w:p w14:paraId="0E83644E" w14:textId="77777777" w:rsidR="00AB597A" w:rsidRDefault="00AB597A" w:rsidP="004544C7">
      <w:pPr>
        <w:rPr>
          <w:sz w:val="24"/>
          <w:szCs w:val="24"/>
          <w:lang w:eastAsia="en-US"/>
        </w:rPr>
      </w:pPr>
    </w:p>
    <w:p w14:paraId="2425E11E" w14:textId="313EB1FD" w:rsidR="004544C7" w:rsidRPr="004544C7" w:rsidRDefault="004544C7" w:rsidP="007F4BE7">
      <w:pPr>
        <w:shd w:val="clear" w:color="auto" w:fill="FFFFFF"/>
        <w:spacing w:line="288" w:lineRule="atLeast"/>
        <w:rPr>
          <w:rFonts w:ascii="Arial" w:hAnsi="Arial" w:cs="Arial"/>
          <w:color w:val="000000"/>
          <w:sz w:val="19"/>
          <w:szCs w:val="19"/>
          <w:lang w:eastAsia="en-US"/>
        </w:rPr>
      </w:pPr>
      <w:r w:rsidRPr="004544C7">
        <w:rPr>
          <w:rFonts w:ascii="Arial" w:hAnsi="Arial" w:cs="Arial"/>
          <w:color w:val="000000"/>
          <w:sz w:val="19"/>
          <w:szCs w:val="19"/>
          <w:lang w:eastAsia="en-US"/>
        </w:rPr>
        <w:t>Clark, A., Moss, P. &amp; National Children's Bureau, 2005. </w:t>
      </w:r>
      <w:r w:rsidRPr="004544C7">
        <w:rPr>
          <w:rFonts w:ascii="Arial" w:hAnsi="Arial" w:cs="Arial"/>
          <w:i/>
          <w:iCs/>
          <w:color w:val="000000"/>
          <w:sz w:val="19"/>
          <w:szCs w:val="19"/>
          <w:bdr w:val="none" w:sz="0" w:space="0" w:color="auto" w:frame="1"/>
          <w:lang w:eastAsia="en-US"/>
        </w:rPr>
        <w:t>Spaces to play more listening to young children using the mosaic approach</w:t>
      </w:r>
      <w:r w:rsidRPr="004544C7">
        <w:rPr>
          <w:rFonts w:ascii="Arial" w:hAnsi="Arial" w:cs="Arial"/>
          <w:color w:val="000000"/>
          <w:sz w:val="19"/>
          <w:szCs w:val="19"/>
          <w:lang w:eastAsia="en-US"/>
        </w:rPr>
        <w:t>, London: National Children's Bureau.</w:t>
      </w:r>
    </w:p>
    <w:p w14:paraId="18593974" w14:textId="77777777" w:rsidR="004544C7" w:rsidRPr="004544C7" w:rsidRDefault="004544C7" w:rsidP="004544C7">
      <w:pPr>
        <w:rPr>
          <w:sz w:val="24"/>
          <w:szCs w:val="24"/>
          <w:lang w:eastAsia="en-US"/>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FB3D3E" w:rsidRPr="00FB3D3E" w14:paraId="251BA045" w14:textId="77777777" w:rsidTr="007F4BE7">
        <w:tc>
          <w:tcPr>
            <w:tcW w:w="0" w:type="auto"/>
            <w:shd w:val="clear" w:color="auto" w:fill="FFFFFF"/>
            <w:vAlign w:val="center"/>
            <w:hideMark/>
          </w:tcPr>
          <w:p w14:paraId="1C55DD68" w14:textId="77777777" w:rsidR="00FB3D3E" w:rsidRPr="00FB3D3E" w:rsidRDefault="00FB3D3E" w:rsidP="00FB3D3E">
            <w:pPr>
              <w:rPr>
                <w:sz w:val="24"/>
                <w:szCs w:val="24"/>
                <w:lang w:eastAsia="en-US"/>
              </w:rPr>
            </w:pPr>
          </w:p>
        </w:tc>
      </w:tr>
      <w:tr w:rsidR="00FB3D3E" w:rsidRPr="00FB3D3E" w14:paraId="4A22763F" w14:textId="77777777" w:rsidTr="007F4BE7">
        <w:tc>
          <w:tcPr>
            <w:tcW w:w="0" w:type="auto"/>
            <w:shd w:val="clear" w:color="auto" w:fill="FFFFFF"/>
            <w:tcMar>
              <w:top w:w="120" w:type="dxa"/>
              <w:left w:w="0" w:type="dxa"/>
              <w:bottom w:w="120" w:type="dxa"/>
              <w:right w:w="0" w:type="dxa"/>
            </w:tcMar>
            <w:hideMark/>
          </w:tcPr>
          <w:p w14:paraId="41A39745" w14:textId="77777777" w:rsidR="00FB3D3E" w:rsidRDefault="00FB3D3E" w:rsidP="00FB3D3E">
            <w:pPr>
              <w:rPr>
                <w:rFonts w:ascii="Arial" w:hAnsi="Arial" w:cs="Arial"/>
                <w:color w:val="222222"/>
                <w:lang w:eastAsia="en-US"/>
              </w:rPr>
            </w:pPr>
            <w:proofErr w:type="spellStart"/>
            <w:r w:rsidRPr="00FB3D3E">
              <w:rPr>
                <w:rFonts w:ascii="Arial" w:hAnsi="Arial" w:cs="Arial"/>
                <w:color w:val="222222"/>
                <w:lang w:eastAsia="en-US"/>
              </w:rPr>
              <w:t>Atieno</w:t>
            </w:r>
            <w:proofErr w:type="spellEnd"/>
            <w:r w:rsidRPr="00FB3D3E">
              <w:rPr>
                <w:rFonts w:ascii="Arial" w:hAnsi="Arial" w:cs="Arial"/>
                <w:color w:val="222222"/>
                <w:lang w:eastAsia="en-US"/>
              </w:rPr>
              <w:t>, O.P., 2009. An analysis of the strengths and limitation of qualitative and quantitative research paradigms. </w:t>
            </w:r>
            <w:r w:rsidRPr="00FB3D3E">
              <w:rPr>
                <w:rFonts w:ascii="Arial" w:hAnsi="Arial" w:cs="Arial"/>
                <w:i/>
                <w:iCs/>
                <w:color w:val="222222"/>
                <w:lang w:eastAsia="en-US"/>
              </w:rPr>
              <w:t>Problems of Education in the 21st Century</w:t>
            </w:r>
            <w:r w:rsidRPr="00FB3D3E">
              <w:rPr>
                <w:rFonts w:ascii="Arial" w:hAnsi="Arial" w:cs="Arial"/>
                <w:color w:val="222222"/>
                <w:lang w:eastAsia="en-US"/>
              </w:rPr>
              <w:t>, </w:t>
            </w:r>
            <w:r w:rsidRPr="00FB3D3E">
              <w:rPr>
                <w:rFonts w:ascii="Arial" w:hAnsi="Arial" w:cs="Arial"/>
                <w:i/>
                <w:iCs/>
                <w:color w:val="222222"/>
                <w:lang w:eastAsia="en-US"/>
              </w:rPr>
              <w:t>13</w:t>
            </w:r>
            <w:r w:rsidRPr="00FB3D3E">
              <w:rPr>
                <w:rFonts w:ascii="Arial" w:hAnsi="Arial" w:cs="Arial"/>
                <w:color w:val="222222"/>
                <w:lang w:eastAsia="en-US"/>
              </w:rPr>
              <w:t>(1), pp.13-38.</w:t>
            </w:r>
          </w:p>
          <w:p w14:paraId="5B3E653F" w14:textId="77777777" w:rsidR="00CE4342" w:rsidRDefault="00CE4342" w:rsidP="00FB3D3E">
            <w:pPr>
              <w:rPr>
                <w:rFonts w:ascii="Arial" w:hAnsi="Arial" w:cs="Arial"/>
                <w:color w:val="222222"/>
                <w:lang w:eastAsia="en-US"/>
              </w:rPr>
            </w:pPr>
          </w:p>
          <w:p w14:paraId="78769637" w14:textId="77777777" w:rsidR="00CE4342" w:rsidRDefault="00CE4342" w:rsidP="00CE4342">
            <w:pPr>
              <w:shd w:val="clear" w:color="auto" w:fill="FFFFFF"/>
              <w:spacing w:line="288" w:lineRule="atLeast"/>
              <w:rPr>
                <w:rFonts w:ascii="Arial" w:hAnsi="Arial" w:cs="Arial"/>
                <w:color w:val="000000"/>
                <w:sz w:val="19"/>
                <w:szCs w:val="19"/>
                <w:lang w:eastAsia="en-US"/>
              </w:rPr>
            </w:pPr>
            <w:r>
              <w:rPr>
                <w:rFonts w:ascii="Arial" w:hAnsi="Arial" w:cs="Arial"/>
                <w:color w:val="000000"/>
                <w:sz w:val="19"/>
                <w:szCs w:val="19"/>
              </w:rPr>
              <w:t>Cohen, L., 2000. </w:t>
            </w:r>
            <w:r>
              <w:rPr>
                <w:rFonts w:ascii="Arial" w:hAnsi="Arial" w:cs="Arial"/>
                <w:i/>
                <w:iCs/>
                <w:color w:val="000000"/>
                <w:sz w:val="19"/>
                <w:szCs w:val="19"/>
                <w:bdr w:val="none" w:sz="0" w:space="0" w:color="auto" w:frame="1"/>
              </w:rPr>
              <w:t>Research methods in education an introduction</w:t>
            </w:r>
            <w:r>
              <w:rPr>
                <w:rFonts w:ascii="Arial" w:hAnsi="Arial" w:cs="Arial"/>
                <w:color w:val="000000"/>
                <w:sz w:val="19"/>
                <w:szCs w:val="19"/>
              </w:rPr>
              <w:t xml:space="preserve"> 5th ed., Boston: </w:t>
            </w:r>
            <w:proofErr w:type="spellStart"/>
            <w:r>
              <w:rPr>
                <w:rFonts w:ascii="Arial" w:hAnsi="Arial" w:cs="Arial"/>
                <w:color w:val="000000"/>
                <w:sz w:val="19"/>
                <w:szCs w:val="19"/>
              </w:rPr>
              <w:t>Allyn</w:t>
            </w:r>
            <w:proofErr w:type="spellEnd"/>
            <w:r>
              <w:rPr>
                <w:rFonts w:ascii="Arial" w:hAnsi="Arial" w:cs="Arial"/>
                <w:color w:val="000000"/>
                <w:sz w:val="19"/>
                <w:szCs w:val="19"/>
              </w:rPr>
              <w:t xml:space="preserve"> and Bacon.</w:t>
            </w:r>
          </w:p>
          <w:p w14:paraId="786DBDE7" w14:textId="77777777" w:rsidR="00CE4342" w:rsidRDefault="00CE4342" w:rsidP="00CE4342">
            <w:pPr>
              <w:rPr>
                <w:sz w:val="24"/>
                <w:szCs w:val="24"/>
              </w:rPr>
            </w:pPr>
          </w:p>
          <w:p w14:paraId="2FE04777" w14:textId="3BEF0277" w:rsidR="00CE4342" w:rsidRPr="00FB3D3E" w:rsidRDefault="00CE4342" w:rsidP="00FB3D3E">
            <w:pPr>
              <w:rPr>
                <w:rFonts w:ascii="Arial" w:hAnsi="Arial" w:cs="Arial"/>
                <w:color w:val="222222"/>
                <w:lang w:eastAsia="en-US"/>
              </w:rPr>
            </w:pPr>
          </w:p>
        </w:tc>
      </w:tr>
    </w:tbl>
    <w:p w14:paraId="334C0381" w14:textId="77777777" w:rsidR="00E1751B" w:rsidRPr="00E1751B" w:rsidRDefault="00E1751B" w:rsidP="00E1751B">
      <w:pPr>
        <w:rPr>
          <w:sz w:val="24"/>
          <w:szCs w:val="24"/>
          <w:lang w:eastAsia="en-US"/>
        </w:rPr>
      </w:pPr>
      <w:hyperlink r:id="rId5" w:history="1">
        <w:r w:rsidRPr="00E1751B">
          <w:rPr>
            <w:color w:val="0000FF"/>
            <w:sz w:val="24"/>
            <w:szCs w:val="24"/>
            <w:u w:val="single"/>
            <w:lang w:eastAsia="en-US"/>
          </w:rPr>
          <w:t>https://gov.wales/sites/default/files/publications/2018-02/foundation-phase-framework-revised-2015.pdf</w:t>
        </w:r>
      </w:hyperlink>
    </w:p>
    <w:p w14:paraId="2ECC4DA7" w14:textId="62700B2D" w:rsidR="00FB3D3E" w:rsidRDefault="00FB3D3E" w:rsidP="00FB3D3E">
      <w:pPr>
        <w:rPr>
          <w:sz w:val="24"/>
          <w:szCs w:val="24"/>
          <w:lang w:eastAsia="en-US"/>
        </w:rPr>
      </w:pPr>
    </w:p>
    <w:p w14:paraId="45D4B7BD" w14:textId="77777777" w:rsidR="001139D9" w:rsidRPr="001139D9" w:rsidRDefault="001139D9" w:rsidP="001139D9">
      <w:pPr>
        <w:shd w:val="clear" w:color="auto" w:fill="FFFFFF"/>
        <w:spacing w:line="288" w:lineRule="atLeast"/>
        <w:rPr>
          <w:rFonts w:ascii="Arial" w:hAnsi="Arial" w:cs="Arial"/>
          <w:color w:val="000000"/>
          <w:sz w:val="19"/>
          <w:szCs w:val="19"/>
          <w:lang w:eastAsia="en-US"/>
        </w:rPr>
      </w:pPr>
      <w:r w:rsidRPr="001139D9">
        <w:rPr>
          <w:rFonts w:ascii="Arial" w:hAnsi="Arial" w:cs="Arial"/>
          <w:color w:val="000000"/>
          <w:sz w:val="19"/>
          <w:szCs w:val="19"/>
          <w:lang w:eastAsia="en-US"/>
        </w:rPr>
        <w:t>Harris, A., Taylor, A. &amp; Taylor, Helen, 2014. </w:t>
      </w:r>
      <w:r w:rsidRPr="001139D9">
        <w:rPr>
          <w:rFonts w:ascii="Arial" w:hAnsi="Arial" w:cs="Arial"/>
          <w:i/>
          <w:iCs/>
          <w:color w:val="000000"/>
          <w:sz w:val="19"/>
          <w:szCs w:val="19"/>
          <w:bdr w:val="none" w:sz="0" w:space="0" w:color="auto" w:frame="1"/>
          <w:lang w:eastAsia="en-US"/>
        </w:rPr>
        <w:t>Learning and teaching mathematics 0-8</w:t>
      </w:r>
      <w:r w:rsidRPr="001139D9">
        <w:rPr>
          <w:rFonts w:ascii="Arial" w:hAnsi="Arial" w:cs="Arial"/>
          <w:color w:val="000000"/>
          <w:sz w:val="19"/>
          <w:szCs w:val="19"/>
          <w:lang w:eastAsia="en-US"/>
        </w:rPr>
        <w:t>,</w:t>
      </w:r>
    </w:p>
    <w:p w14:paraId="0C99961F" w14:textId="77777777" w:rsidR="001139D9" w:rsidRPr="001139D9" w:rsidRDefault="001139D9" w:rsidP="001139D9">
      <w:pPr>
        <w:rPr>
          <w:sz w:val="24"/>
          <w:szCs w:val="24"/>
          <w:lang w:eastAsia="en-US"/>
        </w:rPr>
      </w:pPr>
    </w:p>
    <w:p w14:paraId="7F69B6CE" w14:textId="77777777" w:rsidR="001139D9" w:rsidRDefault="001139D9" w:rsidP="00FB3D3E">
      <w:pPr>
        <w:rPr>
          <w:sz w:val="24"/>
          <w:szCs w:val="24"/>
          <w:lang w:eastAsia="en-US"/>
        </w:rPr>
      </w:pPr>
    </w:p>
    <w:p w14:paraId="1D1ECC7F" w14:textId="77777777" w:rsidR="00E1751B" w:rsidRPr="00E1751B" w:rsidRDefault="00E1751B" w:rsidP="00E1751B">
      <w:pPr>
        <w:rPr>
          <w:sz w:val="24"/>
          <w:szCs w:val="24"/>
          <w:lang w:eastAsia="en-US"/>
        </w:rPr>
      </w:pPr>
      <w:hyperlink r:id="rId6" w:history="1">
        <w:r w:rsidRPr="00E1751B">
          <w:rPr>
            <w:color w:val="0000FF"/>
            <w:sz w:val="24"/>
            <w:szCs w:val="24"/>
            <w:u w:val="single"/>
            <w:lang w:eastAsia="en-US"/>
          </w:rPr>
          <w:t>file:///Users/alixjames1/Downloads/IntroducingtheASKmodel.pdf</w:t>
        </w:r>
      </w:hyperlink>
    </w:p>
    <w:p w14:paraId="4C8998A9" w14:textId="77777777" w:rsidR="00E1751B" w:rsidRPr="00FB3D3E" w:rsidRDefault="00E1751B" w:rsidP="00FB3D3E">
      <w:pPr>
        <w:rPr>
          <w:sz w:val="24"/>
          <w:szCs w:val="24"/>
          <w:lang w:eastAsia="en-US"/>
        </w:rPr>
      </w:pPr>
    </w:p>
    <w:p w14:paraId="214289F3" w14:textId="77777777" w:rsidR="004544C7" w:rsidRDefault="004544C7"/>
    <w:sectPr w:rsidR="004544C7" w:rsidSect="00EC15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A3B"/>
    <w:rsid w:val="00064BA3"/>
    <w:rsid w:val="000D2928"/>
    <w:rsid w:val="001139D9"/>
    <w:rsid w:val="001516CF"/>
    <w:rsid w:val="001B549C"/>
    <w:rsid w:val="002172A6"/>
    <w:rsid w:val="00223088"/>
    <w:rsid w:val="00275A50"/>
    <w:rsid w:val="002851F0"/>
    <w:rsid w:val="002A7C27"/>
    <w:rsid w:val="002B7A6D"/>
    <w:rsid w:val="00321E73"/>
    <w:rsid w:val="00334CE2"/>
    <w:rsid w:val="003B0008"/>
    <w:rsid w:val="004544C7"/>
    <w:rsid w:val="00476F4A"/>
    <w:rsid w:val="005554BA"/>
    <w:rsid w:val="005F6A3B"/>
    <w:rsid w:val="00614A06"/>
    <w:rsid w:val="00654BD0"/>
    <w:rsid w:val="006F36D1"/>
    <w:rsid w:val="007F4BE7"/>
    <w:rsid w:val="008262DF"/>
    <w:rsid w:val="009179F5"/>
    <w:rsid w:val="00956488"/>
    <w:rsid w:val="009B6922"/>
    <w:rsid w:val="009E5342"/>
    <w:rsid w:val="00A02CB1"/>
    <w:rsid w:val="00A16150"/>
    <w:rsid w:val="00A473D5"/>
    <w:rsid w:val="00A54158"/>
    <w:rsid w:val="00A813BC"/>
    <w:rsid w:val="00AB597A"/>
    <w:rsid w:val="00C41043"/>
    <w:rsid w:val="00C71B91"/>
    <w:rsid w:val="00C761DA"/>
    <w:rsid w:val="00C935CF"/>
    <w:rsid w:val="00CE4342"/>
    <w:rsid w:val="00DD0528"/>
    <w:rsid w:val="00DD0B9F"/>
    <w:rsid w:val="00DE2BFC"/>
    <w:rsid w:val="00DF3CAD"/>
    <w:rsid w:val="00E1751B"/>
    <w:rsid w:val="00E40D9C"/>
    <w:rsid w:val="00E7551A"/>
    <w:rsid w:val="00EC15BE"/>
    <w:rsid w:val="00F30420"/>
    <w:rsid w:val="00F50D3D"/>
    <w:rsid w:val="00F64E5B"/>
    <w:rsid w:val="00F926CA"/>
    <w:rsid w:val="00FB3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F33F5"/>
  <w15:chartTrackingRefBased/>
  <w15:docId w15:val="{6E5FD24F-2D32-074D-90BC-B84922B5D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6A3B"/>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544C7"/>
    <w:rPr>
      <w:color w:val="0000FF"/>
      <w:u w:val="single"/>
    </w:rPr>
  </w:style>
  <w:style w:type="character" w:customStyle="1" w:styleId="nlmstring-name">
    <w:name w:val="nlm_string-name"/>
    <w:basedOn w:val="DefaultParagraphFont"/>
    <w:rsid w:val="002851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754536">
      <w:bodyDiv w:val="1"/>
      <w:marLeft w:val="0"/>
      <w:marRight w:val="0"/>
      <w:marTop w:val="0"/>
      <w:marBottom w:val="0"/>
      <w:divBdr>
        <w:top w:val="none" w:sz="0" w:space="0" w:color="auto"/>
        <w:left w:val="none" w:sz="0" w:space="0" w:color="auto"/>
        <w:bottom w:val="none" w:sz="0" w:space="0" w:color="auto"/>
        <w:right w:val="none" w:sz="0" w:space="0" w:color="auto"/>
      </w:divBdr>
      <w:divsChild>
        <w:div w:id="2011640814">
          <w:marLeft w:val="0"/>
          <w:marRight w:val="0"/>
          <w:marTop w:val="0"/>
          <w:marBottom w:val="0"/>
          <w:divBdr>
            <w:top w:val="none" w:sz="0" w:space="0" w:color="auto"/>
            <w:left w:val="none" w:sz="0" w:space="0" w:color="auto"/>
            <w:bottom w:val="none" w:sz="0" w:space="0" w:color="auto"/>
            <w:right w:val="none" w:sz="0" w:space="0" w:color="auto"/>
          </w:divBdr>
        </w:div>
      </w:divsChild>
    </w:div>
    <w:div w:id="140654964">
      <w:bodyDiv w:val="1"/>
      <w:marLeft w:val="0"/>
      <w:marRight w:val="0"/>
      <w:marTop w:val="0"/>
      <w:marBottom w:val="0"/>
      <w:divBdr>
        <w:top w:val="none" w:sz="0" w:space="0" w:color="auto"/>
        <w:left w:val="none" w:sz="0" w:space="0" w:color="auto"/>
        <w:bottom w:val="none" w:sz="0" w:space="0" w:color="auto"/>
        <w:right w:val="none" w:sz="0" w:space="0" w:color="auto"/>
      </w:divBdr>
    </w:div>
    <w:div w:id="173348386">
      <w:bodyDiv w:val="1"/>
      <w:marLeft w:val="0"/>
      <w:marRight w:val="0"/>
      <w:marTop w:val="0"/>
      <w:marBottom w:val="0"/>
      <w:divBdr>
        <w:top w:val="none" w:sz="0" w:space="0" w:color="auto"/>
        <w:left w:val="none" w:sz="0" w:space="0" w:color="auto"/>
        <w:bottom w:val="none" w:sz="0" w:space="0" w:color="auto"/>
        <w:right w:val="none" w:sz="0" w:space="0" w:color="auto"/>
      </w:divBdr>
    </w:div>
    <w:div w:id="381682854">
      <w:bodyDiv w:val="1"/>
      <w:marLeft w:val="0"/>
      <w:marRight w:val="0"/>
      <w:marTop w:val="0"/>
      <w:marBottom w:val="0"/>
      <w:divBdr>
        <w:top w:val="none" w:sz="0" w:space="0" w:color="auto"/>
        <w:left w:val="none" w:sz="0" w:space="0" w:color="auto"/>
        <w:bottom w:val="none" w:sz="0" w:space="0" w:color="auto"/>
        <w:right w:val="none" w:sz="0" w:space="0" w:color="auto"/>
      </w:divBdr>
      <w:divsChild>
        <w:div w:id="1534995731">
          <w:marLeft w:val="0"/>
          <w:marRight w:val="0"/>
          <w:marTop w:val="0"/>
          <w:marBottom w:val="0"/>
          <w:divBdr>
            <w:top w:val="none" w:sz="0" w:space="0" w:color="auto"/>
            <w:left w:val="none" w:sz="0" w:space="0" w:color="auto"/>
            <w:bottom w:val="none" w:sz="0" w:space="0" w:color="auto"/>
            <w:right w:val="none" w:sz="0" w:space="0" w:color="auto"/>
          </w:divBdr>
        </w:div>
      </w:divsChild>
    </w:div>
    <w:div w:id="534777193">
      <w:bodyDiv w:val="1"/>
      <w:marLeft w:val="0"/>
      <w:marRight w:val="0"/>
      <w:marTop w:val="0"/>
      <w:marBottom w:val="0"/>
      <w:divBdr>
        <w:top w:val="none" w:sz="0" w:space="0" w:color="auto"/>
        <w:left w:val="none" w:sz="0" w:space="0" w:color="auto"/>
        <w:bottom w:val="none" w:sz="0" w:space="0" w:color="auto"/>
        <w:right w:val="none" w:sz="0" w:space="0" w:color="auto"/>
      </w:divBdr>
      <w:divsChild>
        <w:div w:id="1843933368">
          <w:marLeft w:val="0"/>
          <w:marRight w:val="0"/>
          <w:marTop w:val="0"/>
          <w:marBottom w:val="0"/>
          <w:divBdr>
            <w:top w:val="none" w:sz="0" w:space="0" w:color="auto"/>
            <w:left w:val="none" w:sz="0" w:space="0" w:color="auto"/>
            <w:bottom w:val="none" w:sz="0" w:space="0" w:color="auto"/>
            <w:right w:val="none" w:sz="0" w:space="0" w:color="auto"/>
          </w:divBdr>
        </w:div>
      </w:divsChild>
    </w:div>
    <w:div w:id="676730911">
      <w:bodyDiv w:val="1"/>
      <w:marLeft w:val="0"/>
      <w:marRight w:val="0"/>
      <w:marTop w:val="0"/>
      <w:marBottom w:val="0"/>
      <w:divBdr>
        <w:top w:val="none" w:sz="0" w:space="0" w:color="auto"/>
        <w:left w:val="none" w:sz="0" w:space="0" w:color="auto"/>
        <w:bottom w:val="none" w:sz="0" w:space="0" w:color="auto"/>
        <w:right w:val="none" w:sz="0" w:space="0" w:color="auto"/>
      </w:divBdr>
      <w:divsChild>
        <w:div w:id="498470016">
          <w:marLeft w:val="0"/>
          <w:marRight w:val="0"/>
          <w:marTop w:val="0"/>
          <w:marBottom w:val="0"/>
          <w:divBdr>
            <w:top w:val="none" w:sz="0" w:space="0" w:color="auto"/>
            <w:left w:val="none" w:sz="0" w:space="0" w:color="auto"/>
            <w:bottom w:val="none" w:sz="0" w:space="0" w:color="auto"/>
            <w:right w:val="none" w:sz="0" w:space="0" w:color="auto"/>
          </w:divBdr>
        </w:div>
      </w:divsChild>
    </w:div>
    <w:div w:id="689649640">
      <w:bodyDiv w:val="1"/>
      <w:marLeft w:val="0"/>
      <w:marRight w:val="0"/>
      <w:marTop w:val="0"/>
      <w:marBottom w:val="0"/>
      <w:divBdr>
        <w:top w:val="none" w:sz="0" w:space="0" w:color="auto"/>
        <w:left w:val="none" w:sz="0" w:space="0" w:color="auto"/>
        <w:bottom w:val="none" w:sz="0" w:space="0" w:color="auto"/>
        <w:right w:val="none" w:sz="0" w:space="0" w:color="auto"/>
      </w:divBdr>
    </w:div>
    <w:div w:id="992490370">
      <w:bodyDiv w:val="1"/>
      <w:marLeft w:val="0"/>
      <w:marRight w:val="0"/>
      <w:marTop w:val="0"/>
      <w:marBottom w:val="0"/>
      <w:divBdr>
        <w:top w:val="none" w:sz="0" w:space="0" w:color="auto"/>
        <w:left w:val="none" w:sz="0" w:space="0" w:color="auto"/>
        <w:bottom w:val="none" w:sz="0" w:space="0" w:color="auto"/>
        <w:right w:val="none" w:sz="0" w:space="0" w:color="auto"/>
      </w:divBdr>
      <w:divsChild>
        <w:div w:id="706560963">
          <w:marLeft w:val="0"/>
          <w:marRight w:val="0"/>
          <w:marTop w:val="0"/>
          <w:marBottom w:val="0"/>
          <w:divBdr>
            <w:top w:val="none" w:sz="0" w:space="0" w:color="auto"/>
            <w:left w:val="none" w:sz="0" w:space="0" w:color="auto"/>
            <w:bottom w:val="none" w:sz="0" w:space="0" w:color="auto"/>
            <w:right w:val="none" w:sz="0" w:space="0" w:color="auto"/>
          </w:divBdr>
        </w:div>
      </w:divsChild>
    </w:div>
    <w:div w:id="1263798178">
      <w:bodyDiv w:val="1"/>
      <w:marLeft w:val="0"/>
      <w:marRight w:val="0"/>
      <w:marTop w:val="0"/>
      <w:marBottom w:val="0"/>
      <w:divBdr>
        <w:top w:val="none" w:sz="0" w:space="0" w:color="auto"/>
        <w:left w:val="none" w:sz="0" w:space="0" w:color="auto"/>
        <w:bottom w:val="none" w:sz="0" w:space="0" w:color="auto"/>
        <w:right w:val="none" w:sz="0" w:space="0" w:color="auto"/>
      </w:divBdr>
      <w:divsChild>
        <w:div w:id="356926964">
          <w:marLeft w:val="0"/>
          <w:marRight w:val="0"/>
          <w:marTop w:val="0"/>
          <w:marBottom w:val="0"/>
          <w:divBdr>
            <w:top w:val="none" w:sz="0" w:space="0" w:color="auto"/>
            <w:left w:val="none" w:sz="0" w:space="0" w:color="auto"/>
            <w:bottom w:val="none" w:sz="0" w:space="0" w:color="auto"/>
            <w:right w:val="none" w:sz="0" w:space="0" w:color="auto"/>
          </w:divBdr>
        </w:div>
      </w:divsChild>
    </w:div>
    <w:div w:id="1483421385">
      <w:bodyDiv w:val="1"/>
      <w:marLeft w:val="0"/>
      <w:marRight w:val="0"/>
      <w:marTop w:val="0"/>
      <w:marBottom w:val="0"/>
      <w:divBdr>
        <w:top w:val="none" w:sz="0" w:space="0" w:color="auto"/>
        <w:left w:val="none" w:sz="0" w:space="0" w:color="auto"/>
        <w:bottom w:val="none" w:sz="0" w:space="0" w:color="auto"/>
        <w:right w:val="none" w:sz="0" w:space="0" w:color="auto"/>
      </w:divBdr>
    </w:div>
    <w:div w:id="1553342325">
      <w:bodyDiv w:val="1"/>
      <w:marLeft w:val="0"/>
      <w:marRight w:val="0"/>
      <w:marTop w:val="0"/>
      <w:marBottom w:val="0"/>
      <w:divBdr>
        <w:top w:val="none" w:sz="0" w:space="0" w:color="auto"/>
        <w:left w:val="none" w:sz="0" w:space="0" w:color="auto"/>
        <w:bottom w:val="none" w:sz="0" w:space="0" w:color="auto"/>
        <w:right w:val="none" w:sz="0" w:space="0" w:color="auto"/>
      </w:divBdr>
    </w:div>
    <w:div w:id="1739548420">
      <w:bodyDiv w:val="1"/>
      <w:marLeft w:val="0"/>
      <w:marRight w:val="0"/>
      <w:marTop w:val="0"/>
      <w:marBottom w:val="0"/>
      <w:divBdr>
        <w:top w:val="none" w:sz="0" w:space="0" w:color="auto"/>
        <w:left w:val="none" w:sz="0" w:space="0" w:color="auto"/>
        <w:bottom w:val="none" w:sz="0" w:space="0" w:color="auto"/>
        <w:right w:val="none" w:sz="0" w:space="0" w:color="auto"/>
      </w:divBdr>
      <w:divsChild>
        <w:div w:id="1095908102">
          <w:marLeft w:val="0"/>
          <w:marRight w:val="0"/>
          <w:marTop w:val="0"/>
          <w:marBottom w:val="0"/>
          <w:divBdr>
            <w:top w:val="none" w:sz="0" w:space="0" w:color="auto"/>
            <w:left w:val="none" w:sz="0" w:space="0" w:color="auto"/>
            <w:bottom w:val="none" w:sz="0" w:space="0" w:color="auto"/>
            <w:right w:val="none" w:sz="0" w:space="0" w:color="auto"/>
          </w:divBdr>
        </w:div>
      </w:divsChild>
    </w:div>
    <w:div w:id="1798527582">
      <w:bodyDiv w:val="1"/>
      <w:marLeft w:val="0"/>
      <w:marRight w:val="0"/>
      <w:marTop w:val="0"/>
      <w:marBottom w:val="0"/>
      <w:divBdr>
        <w:top w:val="none" w:sz="0" w:space="0" w:color="auto"/>
        <w:left w:val="none" w:sz="0" w:space="0" w:color="auto"/>
        <w:bottom w:val="none" w:sz="0" w:space="0" w:color="auto"/>
        <w:right w:val="none" w:sz="0" w:space="0" w:color="auto"/>
      </w:divBdr>
    </w:div>
    <w:div w:id="1895698168">
      <w:bodyDiv w:val="1"/>
      <w:marLeft w:val="0"/>
      <w:marRight w:val="0"/>
      <w:marTop w:val="0"/>
      <w:marBottom w:val="0"/>
      <w:divBdr>
        <w:top w:val="none" w:sz="0" w:space="0" w:color="auto"/>
        <w:left w:val="none" w:sz="0" w:space="0" w:color="auto"/>
        <w:bottom w:val="none" w:sz="0" w:space="0" w:color="auto"/>
        <w:right w:val="none" w:sz="0" w:space="0" w:color="auto"/>
      </w:divBdr>
    </w:div>
    <w:div w:id="1936590673">
      <w:bodyDiv w:val="1"/>
      <w:marLeft w:val="0"/>
      <w:marRight w:val="0"/>
      <w:marTop w:val="0"/>
      <w:marBottom w:val="0"/>
      <w:divBdr>
        <w:top w:val="none" w:sz="0" w:space="0" w:color="auto"/>
        <w:left w:val="none" w:sz="0" w:space="0" w:color="auto"/>
        <w:bottom w:val="none" w:sz="0" w:space="0" w:color="auto"/>
        <w:right w:val="none" w:sz="0" w:space="0" w:color="auto"/>
      </w:divBdr>
      <w:divsChild>
        <w:div w:id="1374385827">
          <w:marLeft w:val="0"/>
          <w:marRight w:val="0"/>
          <w:marTop w:val="0"/>
          <w:marBottom w:val="0"/>
          <w:divBdr>
            <w:top w:val="none" w:sz="0" w:space="0" w:color="auto"/>
            <w:left w:val="none" w:sz="0" w:space="0" w:color="auto"/>
            <w:bottom w:val="none" w:sz="0" w:space="0" w:color="auto"/>
            <w:right w:val="none" w:sz="0" w:space="0" w:color="auto"/>
          </w:divBdr>
        </w:div>
      </w:divsChild>
    </w:div>
    <w:div w:id="2084571138">
      <w:bodyDiv w:val="1"/>
      <w:marLeft w:val="0"/>
      <w:marRight w:val="0"/>
      <w:marTop w:val="0"/>
      <w:marBottom w:val="0"/>
      <w:divBdr>
        <w:top w:val="none" w:sz="0" w:space="0" w:color="auto"/>
        <w:left w:val="none" w:sz="0" w:space="0" w:color="auto"/>
        <w:bottom w:val="none" w:sz="0" w:space="0" w:color="auto"/>
        <w:right w:val="none" w:sz="0" w:space="0" w:color="auto"/>
      </w:divBdr>
      <w:divsChild>
        <w:div w:id="444231914">
          <w:marLeft w:val="0"/>
          <w:marRight w:val="0"/>
          <w:marTop w:val="0"/>
          <w:marBottom w:val="0"/>
          <w:divBdr>
            <w:top w:val="none" w:sz="0" w:space="0" w:color="auto"/>
            <w:left w:val="none" w:sz="0" w:space="0" w:color="auto"/>
            <w:bottom w:val="none" w:sz="0" w:space="0" w:color="auto"/>
            <w:right w:val="none" w:sz="0" w:space="0" w:color="auto"/>
          </w:divBdr>
        </w:div>
      </w:divsChild>
    </w:div>
    <w:div w:id="2095784086">
      <w:bodyDiv w:val="1"/>
      <w:marLeft w:val="0"/>
      <w:marRight w:val="0"/>
      <w:marTop w:val="0"/>
      <w:marBottom w:val="0"/>
      <w:divBdr>
        <w:top w:val="none" w:sz="0" w:space="0" w:color="auto"/>
        <w:left w:val="none" w:sz="0" w:space="0" w:color="auto"/>
        <w:bottom w:val="none" w:sz="0" w:space="0" w:color="auto"/>
        <w:right w:val="none" w:sz="0" w:space="0" w:color="auto"/>
      </w:divBdr>
      <w:divsChild>
        <w:div w:id="5760933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Users/alixjames1/Downloads/IntroducingtheASKmodel.pdf" TargetMode="External"/><Relationship Id="rId5" Type="http://schemas.openxmlformats.org/officeDocument/2006/relationships/hyperlink" Target="https://gov.wales/sites/default/files/publications/2018-02/foundation-phase-framework-revised-2015.pdf" TargetMode="External"/><Relationship Id="rId4" Type="http://schemas.openxmlformats.org/officeDocument/2006/relationships/hyperlink" Target="file:///Users/alixjames1/Downloads/ClarkMosaicApproa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247</TotalTime>
  <Pages>7</Pages>
  <Words>3160</Words>
  <Characters>18012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Alix James</dc:creator>
  <cp:keywords/>
  <dc:description/>
  <cp:lastModifiedBy>Alix James</cp:lastModifiedBy>
  <cp:revision>8</cp:revision>
  <dcterms:created xsi:type="dcterms:W3CDTF">2019-05-27T16:14:00Z</dcterms:created>
  <dcterms:modified xsi:type="dcterms:W3CDTF">2019-05-29T22:04:00Z</dcterms:modified>
</cp:coreProperties>
</file>