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47329" w14:textId="4219DCB8" w:rsidR="007F0D17" w:rsidRPr="00661078" w:rsidRDefault="00661078" w:rsidP="007F0D17">
      <w:pPr>
        <w:spacing w:line="360" w:lineRule="auto"/>
        <w:jc w:val="center"/>
        <w:rPr>
          <w:rFonts w:ascii="Arial" w:hAnsi="Arial" w:cs="Arial"/>
          <w:b/>
          <w:bCs/>
          <w:color w:val="EE0000"/>
          <w:sz w:val="36"/>
          <w:szCs w:val="36"/>
        </w:rPr>
      </w:pPr>
      <w:r w:rsidRPr="00661078">
        <w:rPr>
          <w:rFonts w:ascii="Arial" w:hAnsi="Arial" w:cs="Arial"/>
          <w:b/>
          <w:bCs/>
          <w:color w:val="EE0000"/>
          <w:sz w:val="36"/>
          <w:szCs w:val="36"/>
        </w:rPr>
        <w:t>TITLE PAGE</w:t>
      </w:r>
    </w:p>
    <w:p w14:paraId="21C5E6F4" w14:textId="31C93EB2" w:rsidR="00FD1F27" w:rsidRPr="00661078" w:rsidRDefault="00FD1F27" w:rsidP="00FD1F27">
      <w:pPr>
        <w:spacing w:line="360" w:lineRule="auto"/>
        <w:rPr>
          <w:rFonts w:ascii="Arial" w:hAnsi="Arial" w:cs="Arial"/>
          <w:b/>
          <w:bCs/>
          <w:sz w:val="28"/>
          <w:szCs w:val="28"/>
        </w:rPr>
      </w:pPr>
      <w:r w:rsidRPr="00661078">
        <w:rPr>
          <w:rFonts w:ascii="Arial" w:hAnsi="Arial" w:cs="Arial"/>
          <w:b/>
          <w:bCs/>
          <w:sz w:val="28"/>
          <w:szCs w:val="28"/>
        </w:rPr>
        <w:t xml:space="preserve">Student Name: Linda </w:t>
      </w:r>
      <w:proofErr w:type="spellStart"/>
      <w:r w:rsidRPr="00661078">
        <w:rPr>
          <w:rFonts w:ascii="Arial" w:hAnsi="Arial" w:cs="Arial"/>
          <w:b/>
          <w:bCs/>
          <w:sz w:val="28"/>
          <w:szCs w:val="28"/>
        </w:rPr>
        <w:t>Tekyi</w:t>
      </w:r>
      <w:proofErr w:type="spellEnd"/>
    </w:p>
    <w:p w14:paraId="5264CB82" w14:textId="38CA45DF" w:rsidR="00FD1F27" w:rsidRPr="00661078" w:rsidRDefault="00FD1F27" w:rsidP="00FD1F27">
      <w:pPr>
        <w:spacing w:line="360" w:lineRule="auto"/>
        <w:rPr>
          <w:rFonts w:ascii="Arial" w:hAnsi="Arial" w:cs="Arial"/>
          <w:b/>
          <w:bCs/>
          <w:sz w:val="28"/>
          <w:szCs w:val="28"/>
        </w:rPr>
      </w:pPr>
      <w:r w:rsidRPr="00661078">
        <w:rPr>
          <w:rFonts w:ascii="Arial" w:hAnsi="Arial" w:cs="Arial"/>
          <w:b/>
          <w:bCs/>
          <w:sz w:val="28"/>
          <w:szCs w:val="28"/>
        </w:rPr>
        <w:t>Student ID: 2330445</w:t>
      </w:r>
    </w:p>
    <w:p w14:paraId="6B8299B9" w14:textId="0985C4AE" w:rsidR="00FD1F27" w:rsidRPr="00661078" w:rsidRDefault="00FD1F27" w:rsidP="00FD1F27">
      <w:pPr>
        <w:spacing w:line="360" w:lineRule="auto"/>
        <w:rPr>
          <w:rFonts w:ascii="Arial" w:hAnsi="Arial" w:cs="Arial"/>
          <w:b/>
          <w:bCs/>
          <w:sz w:val="28"/>
          <w:szCs w:val="28"/>
        </w:rPr>
      </w:pPr>
      <w:r w:rsidRPr="00661078">
        <w:rPr>
          <w:rFonts w:ascii="Arial" w:hAnsi="Arial" w:cs="Arial"/>
          <w:b/>
          <w:bCs/>
          <w:sz w:val="28"/>
          <w:szCs w:val="28"/>
        </w:rPr>
        <w:t>Module: Introduction to Independent Research Skills</w:t>
      </w:r>
    </w:p>
    <w:p w14:paraId="64FFE274" w14:textId="419D88BE" w:rsidR="00FD1F27" w:rsidRPr="00661078" w:rsidRDefault="00FD1F27" w:rsidP="00FD1F27">
      <w:pPr>
        <w:spacing w:line="360" w:lineRule="auto"/>
        <w:rPr>
          <w:rFonts w:ascii="Arial" w:hAnsi="Arial" w:cs="Arial"/>
          <w:b/>
          <w:bCs/>
          <w:sz w:val="28"/>
          <w:szCs w:val="28"/>
        </w:rPr>
      </w:pPr>
      <w:r w:rsidRPr="00661078">
        <w:rPr>
          <w:rFonts w:ascii="Arial" w:hAnsi="Arial" w:cs="Arial"/>
          <w:b/>
          <w:bCs/>
          <w:sz w:val="28"/>
          <w:szCs w:val="28"/>
        </w:rPr>
        <w:t>Module Code: BMHP5019</w:t>
      </w:r>
    </w:p>
    <w:p w14:paraId="0FCDD9F0" w14:textId="2205094E" w:rsidR="00FD1F27" w:rsidRPr="00661078" w:rsidRDefault="00FD1F27" w:rsidP="00FD1F27">
      <w:pPr>
        <w:spacing w:line="360" w:lineRule="auto"/>
        <w:rPr>
          <w:rFonts w:ascii="Arial" w:hAnsi="Arial" w:cs="Arial"/>
          <w:b/>
          <w:bCs/>
          <w:sz w:val="28"/>
          <w:szCs w:val="28"/>
        </w:rPr>
      </w:pPr>
      <w:r w:rsidRPr="00661078">
        <w:rPr>
          <w:rFonts w:ascii="Arial" w:hAnsi="Arial" w:cs="Arial"/>
          <w:b/>
          <w:bCs/>
          <w:sz w:val="28"/>
          <w:szCs w:val="28"/>
        </w:rPr>
        <w:t xml:space="preserve">Assignment Title: Research </w:t>
      </w:r>
    </w:p>
    <w:p w14:paraId="349EFDA6" w14:textId="0CE9B96A" w:rsidR="00FD1F27" w:rsidRPr="00661078" w:rsidRDefault="00FD1F27" w:rsidP="00FD1F27">
      <w:pPr>
        <w:spacing w:line="360" w:lineRule="auto"/>
        <w:rPr>
          <w:rFonts w:ascii="Arial" w:hAnsi="Arial" w:cs="Arial"/>
          <w:b/>
          <w:bCs/>
          <w:sz w:val="28"/>
          <w:szCs w:val="28"/>
        </w:rPr>
      </w:pPr>
      <w:r w:rsidRPr="00661078">
        <w:rPr>
          <w:rFonts w:ascii="Arial" w:hAnsi="Arial" w:cs="Arial"/>
          <w:b/>
          <w:bCs/>
          <w:sz w:val="28"/>
          <w:szCs w:val="28"/>
        </w:rPr>
        <w:t>Lecturers Name:    Philip Jones</w:t>
      </w:r>
    </w:p>
    <w:p w14:paraId="592099BB" w14:textId="77777777" w:rsidR="007F0D17" w:rsidRPr="00661078" w:rsidRDefault="007F0D17" w:rsidP="00C3010F">
      <w:pPr>
        <w:spacing w:line="360" w:lineRule="auto"/>
        <w:jc w:val="both"/>
        <w:rPr>
          <w:rFonts w:ascii="Arial" w:hAnsi="Arial" w:cs="Arial"/>
          <w:b/>
          <w:bCs/>
          <w:sz w:val="28"/>
          <w:szCs w:val="28"/>
        </w:rPr>
      </w:pPr>
    </w:p>
    <w:p w14:paraId="3C62C4D6" w14:textId="77777777" w:rsidR="007F0D17" w:rsidRDefault="007F0D17" w:rsidP="00C3010F">
      <w:pPr>
        <w:spacing w:line="360" w:lineRule="auto"/>
        <w:jc w:val="both"/>
        <w:rPr>
          <w:rFonts w:ascii="Arial" w:hAnsi="Arial" w:cs="Arial"/>
          <w:b/>
          <w:bCs/>
          <w:sz w:val="22"/>
          <w:szCs w:val="22"/>
        </w:rPr>
      </w:pPr>
    </w:p>
    <w:p w14:paraId="33B65E66" w14:textId="77777777" w:rsidR="007F0D17" w:rsidRDefault="007F0D17" w:rsidP="00C3010F">
      <w:pPr>
        <w:spacing w:line="360" w:lineRule="auto"/>
        <w:jc w:val="both"/>
        <w:rPr>
          <w:rFonts w:ascii="Arial" w:hAnsi="Arial" w:cs="Arial"/>
          <w:b/>
          <w:bCs/>
          <w:sz w:val="22"/>
          <w:szCs w:val="22"/>
        </w:rPr>
      </w:pPr>
    </w:p>
    <w:p w14:paraId="009EEFA7" w14:textId="77777777" w:rsidR="007F0D17" w:rsidRDefault="007F0D17" w:rsidP="00C3010F">
      <w:pPr>
        <w:spacing w:line="360" w:lineRule="auto"/>
        <w:jc w:val="both"/>
        <w:rPr>
          <w:rFonts w:ascii="Arial" w:hAnsi="Arial" w:cs="Arial"/>
          <w:b/>
          <w:bCs/>
          <w:sz w:val="22"/>
          <w:szCs w:val="22"/>
        </w:rPr>
      </w:pPr>
    </w:p>
    <w:p w14:paraId="356BD871" w14:textId="77777777" w:rsidR="007F0D17" w:rsidRDefault="007F0D17" w:rsidP="00C3010F">
      <w:pPr>
        <w:spacing w:line="360" w:lineRule="auto"/>
        <w:jc w:val="both"/>
        <w:rPr>
          <w:rFonts w:ascii="Arial" w:hAnsi="Arial" w:cs="Arial"/>
          <w:b/>
          <w:bCs/>
          <w:sz w:val="22"/>
          <w:szCs w:val="22"/>
        </w:rPr>
      </w:pPr>
    </w:p>
    <w:p w14:paraId="1A1CEDC2" w14:textId="77777777" w:rsidR="007F0D17" w:rsidRDefault="007F0D17" w:rsidP="00C3010F">
      <w:pPr>
        <w:spacing w:line="360" w:lineRule="auto"/>
        <w:jc w:val="both"/>
        <w:rPr>
          <w:rFonts w:ascii="Arial" w:hAnsi="Arial" w:cs="Arial"/>
          <w:b/>
          <w:bCs/>
          <w:sz w:val="22"/>
          <w:szCs w:val="22"/>
        </w:rPr>
      </w:pPr>
    </w:p>
    <w:p w14:paraId="5F8F572B" w14:textId="77777777" w:rsidR="007F0D17" w:rsidRDefault="007F0D17" w:rsidP="00C3010F">
      <w:pPr>
        <w:spacing w:line="360" w:lineRule="auto"/>
        <w:jc w:val="both"/>
        <w:rPr>
          <w:rFonts w:ascii="Arial" w:hAnsi="Arial" w:cs="Arial"/>
          <w:b/>
          <w:bCs/>
          <w:sz w:val="22"/>
          <w:szCs w:val="22"/>
        </w:rPr>
      </w:pPr>
    </w:p>
    <w:p w14:paraId="1300436C" w14:textId="77777777" w:rsidR="007F0D17" w:rsidRDefault="007F0D17" w:rsidP="00C3010F">
      <w:pPr>
        <w:spacing w:line="360" w:lineRule="auto"/>
        <w:jc w:val="both"/>
        <w:rPr>
          <w:rFonts w:ascii="Arial" w:hAnsi="Arial" w:cs="Arial"/>
          <w:b/>
          <w:bCs/>
          <w:sz w:val="22"/>
          <w:szCs w:val="22"/>
        </w:rPr>
      </w:pPr>
    </w:p>
    <w:p w14:paraId="566DDD57" w14:textId="77777777" w:rsidR="007F0D17" w:rsidRDefault="007F0D17" w:rsidP="00C3010F">
      <w:pPr>
        <w:spacing w:line="360" w:lineRule="auto"/>
        <w:jc w:val="both"/>
        <w:rPr>
          <w:rFonts w:ascii="Arial" w:hAnsi="Arial" w:cs="Arial"/>
          <w:b/>
          <w:bCs/>
          <w:sz w:val="22"/>
          <w:szCs w:val="22"/>
        </w:rPr>
      </w:pPr>
    </w:p>
    <w:p w14:paraId="2AE17234" w14:textId="77777777" w:rsidR="007F0D17" w:rsidRDefault="007F0D17" w:rsidP="00C3010F">
      <w:pPr>
        <w:spacing w:line="360" w:lineRule="auto"/>
        <w:jc w:val="both"/>
        <w:rPr>
          <w:rFonts w:ascii="Arial" w:hAnsi="Arial" w:cs="Arial"/>
          <w:b/>
          <w:bCs/>
          <w:sz w:val="22"/>
          <w:szCs w:val="22"/>
        </w:rPr>
      </w:pPr>
    </w:p>
    <w:p w14:paraId="28A09679" w14:textId="77777777" w:rsidR="007F0D17" w:rsidRDefault="007F0D17" w:rsidP="00C3010F">
      <w:pPr>
        <w:spacing w:line="360" w:lineRule="auto"/>
        <w:jc w:val="both"/>
        <w:rPr>
          <w:rFonts w:ascii="Arial" w:hAnsi="Arial" w:cs="Arial"/>
          <w:b/>
          <w:bCs/>
          <w:sz w:val="22"/>
          <w:szCs w:val="22"/>
        </w:rPr>
      </w:pPr>
    </w:p>
    <w:p w14:paraId="6D209D2D" w14:textId="77777777" w:rsidR="007F0D17" w:rsidRDefault="007F0D17" w:rsidP="00C3010F">
      <w:pPr>
        <w:spacing w:line="360" w:lineRule="auto"/>
        <w:jc w:val="both"/>
        <w:rPr>
          <w:rFonts w:ascii="Arial" w:hAnsi="Arial" w:cs="Arial"/>
          <w:b/>
          <w:bCs/>
          <w:sz w:val="22"/>
          <w:szCs w:val="22"/>
        </w:rPr>
      </w:pPr>
    </w:p>
    <w:p w14:paraId="42F555C4" w14:textId="77777777" w:rsidR="007F0D17" w:rsidRDefault="007F0D17" w:rsidP="00C3010F">
      <w:pPr>
        <w:spacing w:line="360" w:lineRule="auto"/>
        <w:jc w:val="both"/>
        <w:rPr>
          <w:rFonts w:ascii="Arial" w:hAnsi="Arial" w:cs="Arial"/>
          <w:b/>
          <w:bCs/>
          <w:sz w:val="22"/>
          <w:szCs w:val="22"/>
        </w:rPr>
      </w:pPr>
    </w:p>
    <w:p w14:paraId="5ADD0DEF" w14:textId="77777777" w:rsidR="007F0D17" w:rsidRDefault="007F0D17" w:rsidP="00C3010F">
      <w:pPr>
        <w:spacing w:line="360" w:lineRule="auto"/>
        <w:jc w:val="both"/>
        <w:rPr>
          <w:rFonts w:ascii="Arial" w:hAnsi="Arial" w:cs="Arial"/>
          <w:b/>
          <w:bCs/>
          <w:sz w:val="22"/>
          <w:szCs w:val="22"/>
        </w:rPr>
      </w:pPr>
    </w:p>
    <w:p w14:paraId="7548FF1F" w14:textId="77777777" w:rsidR="007F0D17" w:rsidRDefault="007F0D17" w:rsidP="00C3010F">
      <w:pPr>
        <w:spacing w:line="360" w:lineRule="auto"/>
        <w:jc w:val="both"/>
        <w:rPr>
          <w:rFonts w:ascii="Arial" w:hAnsi="Arial" w:cs="Arial"/>
          <w:b/>
          <w:bCs/>
          <w:sz w:val="22"/>
          <w:szCs w:val="22"/>
        </w:rPr>
      </w:pPr>
    </w:p>
    <w:p w14:paraId="48AA6539" w14:textId="77777777" w:rsidR="007F0D17" w:rsidRDefault="007F0D17" w:rsidP="00C3010F">
      <w:pPr>
        <w:spacing w:line="360" w:lineRule="auto"/>
        <w:jc w:val="both"/>
        <w:rPr>
          <w:rFonts w:ascii="Arial" w:hAnsi="Arial" w:cs="Arial"/>
          <w:b/>
          <w:bCs/>
          <w:sz w:val="22"/>
          <w:szCs w:val="22"/>
        </w:rPr>
      </w:pPr>
    </w:p>
    <w:p w14:paraId="521124F0" w14:textId="77777777" w:rsidR="007F0D17" w:rsidRDefault="007F0D17" w:rsidP="00C3010F">
      <w:pPr>
        <w:spacing w:line="360" w:lineRule="auto"/>
        <w:jc w:val="both"/>
        <w:rPr>
          <w:rFonts w:ascii="Arial" w:hAnsi="Arial" w:cs="Arial"/>
          <w:b/>
          <w:bCs/>
          <w:sz w:val="22"/>
          <w:szCs w:val="22"/>
        </w:rPr>
      </w:pPr>
    </w:p>
    <w:p w14:paraId="305452A3" w14:textId="77777777" w:rsidR="007F0D17" w:rsidRDefault="007F0D17" w:rsidP="00C3010F">
      <w:pPr>
        <w:spacing w:line="360" w:lineRule="auto"/>
        <w:jc w:val="both"/>
        <w:rPr>
          <w:rFonts w:ascii="Arial" w:hAnsi="Arial" w:cs="Arial"/>
          <w:b/>
          <w:bCs/>
          <w:sz w:val="22"/>
          <w:szCs w:val="22"/>
        </w:rPr>
      </w:pPr>
    </w:p>
    <w:p w14:paraId="5C92496B" w14:textId="77777777" w:rsidR="007F0D17" w:rsidRDefault="007F0D17" w:rsidP="00C3010F">
      <w:pPr>
        <w:spacing w:line="360" w:lineRule="auto"/>
        <w:jc w:val="both"/>
        <w:rPr>
          <w:rFonts w:ascii="Arial" w:hAnsi="Arial" w:cs="Arial"/>
          <w:b/>
          <w:bCs/>
          <w:sz w:val="22"/>
          <w:szCs w:val="22"/>
        </w:rPr>
      </w:pPr>
    </w:p>
    <w:p w14:paraId="65513302" w14:textId="77777777" w:rsidR="007F0D17" w:rsidRDefault="007F0D17" w:rsidP="00C3010F">
      <w:pPr>
        <w:spacing w:line="360" w:lineRule="auto"/>
        <w:jc w:val="both"/>
        <w:rPr>
          <w:rFonts w:ascii="Arial" w:hAnsi="Arial" w:cs="Arial"/>
          <w:b/>
          <w:bCs/>
          <w:sz w:val="22"/>
          <w:szCs w:val="22"/>
        </w:rPr>
      </w:pPr>
    </w:p>
    <w:p w14:paraId="7408AAE4" w14:textId="77777777" w:rsidR="007F0D17" w:rsidRDefault="007F0D17" w:rsidP="00C3010F">
      <w:pPr>
        <w:spacing w:line="360" w:lineRule="auto"/>
        <w:jc w:val="both"/>
        <w:rPr>
          <w:rFonts w:ascii="Arial" w:hAnsi="Arial" w:cs="Arial"/>
          <w:b/>
          <w:bCs/>
          <w:sz w:val="22"/>
          <w:szCs w:val="22"/>
        </w:rPr>
      </w:pPr>
    </w:p>
    <w:p w14:paraId="4EA642E6" w14:textId="77777777" w:rsidR="007F0D17" w:rsidRDefault="007F0D17" w:rsidP="00C3010F">
      <w:pPr>
        <w:spacing w:line="360" w:lineRule="auto"/>
        <w:jc w:val="both"/>
        <w:rPr>
          <w:rFonts w:ascii="Arial" w:hAnsi="Arial" w:cs="Arial"/>
          <w:b/>
          <w:bCs/>
          <w:sz w:val="22"/>
          <w:szCs w:val="22"/>
        </w:rPr>
      </w:pPr>
    </w:p>
    <w:p w14:paraId="3F344C40" w14:textId="77777777" w:rsidR="007F0D17" w:rsidRDefault="007F0D17" w:rsidP="00C3010F">
      <w:pPr>
        <w:spacing w:line="360" w:lineRule="auto"/>
        <w:jc w:val="both"/>
        <w:rPr>
          <w:rFonts w:ascii="Arial" w:hAnsi="Arial" w:cs="Arial"/>
          <w:b/>
          <w:bCs/>
          <w:sz w:val="22"/>
          <w:szCs w:val="22"/>
        </w:rPr>
      </w:pPr>
    </w:p>
    <w:p w14:paraId="379ED7BA" w14:textId="77777777" w:rsidR="007F0D17" w:rsidRDefault="007F0D17" w:rsidP="00C3010F">
      <w:pPr>
        <w:spacing w:line="360" w:lineRule="auto"/>
        <w:jc w:val="both"/>
        <w:rPr>
          <w:rFonts w:ascii="Arial" w:hAnsi="Arial" w:cs="Arial"/>
          <w:b/>
          <w:bCs/>
          <w:sz w:val="22"/>
          <w:szCs w:val="22"/>
        </w:rPr>
      </w:pPr>
    </w:p>
    <w:p w14:paraId="42738DDC" w14:textId="10BBADEB" w:rsidR="00651CF7" w:rsidRPr="00CC2648" w:rsidRDefault="00651CF7" w:rsidP="00CC2648">
      <w:pPr>
        <w:pStyle w:val="ListParagraph"/>
        <w:numPr>
          <w:ilvl w:val="0"/>
          <w:numId w:val="10"/>
        </w:numPr>
        <w:spacing w:line="360" w:lineRule="auto"/>
        <w:jc w:val="center"/>
        <w:rPr>
          <w:rFonts w:ascii="Arial" w:hAnsi="Arial" w:cs="Arial"/>
          <w:b/>
          <w:bCs/>
          <w:sz w:val="22"/>
          <w:szCs w:val="22"/>
        </w:rPr>
      </w:pPr>
      <w:r w:rsidRPr="00CC2648">
        <w:rPr>
          <w:rFonts w:ascii="Arial" w:hAnsi="Arial" w:cs="Arial"/>
          <w:b/>
          <w:bCs/>
          <w:sz w:val="22"/>
          <w:szCs w:val="22"/>
        </w:rPr>
        <w:t>Introduction</w:t>
      </w:r>
    </w:p>
    <w:p w14:paraId="6615FF38" w14:textId="77777777" w:rsidR="00651CF7" w:rsidRPr="00651CF7" w:rsidRDefault="00651CF7" w:rsidP="00651CF7">
      <w:pPr>
        <w:spacing w:line="360" w:lineRule="auto"/>
        <w:jc w:val="both"/>
        <w:rPr>
          <w:rFonts w:ascii="Arial" w:hAnsi="Arial" w:cs="Arial"/>
          <w:sz w:val="22"/>
          <w:szCs w:val="22"/>
        </w:rPr>
      </w:pPr>
      <w:r w:rsidRPr="00651CF7">
        <w:rPr>
          <w:rFonts w:ascii="Arial" w:hAnsi="Arial" w:cs="Arial"/>
          <w:sz w:val="22"/>
          <w:szCs w:val="22"/>
        </w:rPr>
        <w:t>Access to timely primary care is a fundamental component of effective health service delivery in the United Kingdom. Same-day appointments are designed to allow patients to consult a general practitioner or other primary care professional on the day they seek care, particularly for urgent or acute health concerns. These appointments play an important role in improving patient satisfaction, addressing health issues promptly, and preventing conditions from deteriorating (Richter et al., 2017). However, despite their intended benefits, patients often report challenges in accessing same-day appointments, including difficulties with booking systems, long waiting times, and unclear appointment processes, which may negatively affect their overall experience and satisfaction with care (Parsons, Bryce and Atherton, 2021).</w:t>
      </w:r>
    </w:p>
    <w:p w14:paraId="74ED006D" w14:textId="77777777" w:rsidR="00651CF7" w:rsidRPr="00651CF7" w:rsidRDefault="00651CF7" w:rsidP="00651CF7">
      <w:pPr>
        <w:spacing w:line="360" w:lineRule="auto"/>
        <w:jc w:val="both"/>
        <w:rPr>
          <w:rFonts w:ascii="Arial" w:hAnsi="Arial" w:cs="Arial"/>
          <w:sz w:val="22"/>
          <w:szCs w:val="22"/>
        </w:rPr>
      </w:pPr>
      <w:r w:rsidRPr="00651CF7">
        <w:rPr>
          <w:rFonts w:ascii="Arial" w:hAnsi="Arial" w:cs="Arial"/>
          <w:sz w:val="22"/>
          <w:szCs w:val="22"/>
        </w:rPr>
        <w:t>Understanding patient experiences is essential for improving the organisation and delivery of same-day appointment services. Patient satisfaction is a key indicator of healthcare quality and is closely linked to access, communication, and perceived responsiveness of services. Qualitative research is particularly valuable in this context, as it allows for in-depth exploration of patients’ perspectives, feelings, and experiences when accessing care. Several qualitative studies have examined patient experiences of booking, waiting for, and attending same-day appointments in UK primary care settings (Atherton et al., 2024; Goulding et al., 2024; Parsons et al., 2025). However, the findings from these studies remain dispersed across the literature.</w:t>
      </w:r>
    </w:p>
    <w:p w14:paraId="433643D1" w14:textId="77777777" w:rsidR="00651CF7" w:rsidRPr="00651CF7" w:rsidRDefault="00651CF7" w:rsidP="00651CF7">
      <w:pPr>
        <w:spacing w:line="360" w:lineRule="auto"/>
        <w:jc w:val="both"/>
        <w:rPr>
          <w:rFonts w:ascii="Arial" w:hAnsi="Arial" w:cs="Arial"/>
          <w:sz w:val="22"/>
          <w:szCs w:val="22"/>
        </w:rPr>
      </w:pPr>
      <w:r w:rsidRPr="00651CF7">
        <w:rPr>
          <w:rFonts w:ascii="Arial" w:hAnsi="Arial" w:cs="Arial"/>
          <w:sz w:val="22"/>
          <w:szCs w:val="22"/>
        </w:rPr>
        <w:t>A scoping review is a method of evidence synthesis that aims to map existing research, identify key themes, and highlight gaps in knowledge. Conducting a scoping review on patient experiences of same-day appointments can provide a comprehensive overview of the qualitative evidence, helping to identify common challenges and areas for improvement in primary care services across the UK.</w:t>
      </w:r>
    </w:p>
    <w:p w14:paraId="13D48A43" w14:textId="697903D4" w:rsidR="00651CF7" w:rsidRPr="00651CF7" w:rsidRDefault="00CC2648" w:rsidP="00651CF7">
      <w:pPr>
        <w:spacing w:line="360" w:lineRule="auto"/>
        <w:jc w:val="both"/>
        <w:rPr>
          <w:rFonts w:ascii="Arial" w:hAnsi="Arial" w:cs="Arial"/>
          <w:b/>
          <w:bCs/>
          <w:sz w:val="22"/>
          <w:szCs w:val="22"/>
        </w:rPr>
      </w:pPr>
      <w:r>
        <w:rPr>
          <w:rFonts w:ascii="Arial" w:hAnsi="Arial" w:cs="Arial"/>
          <w:b/>
          <w:bCs/>
          <w:sz w:val="22"/>
          <w:szCs w:val="22"/>
        </w:rPr>
        <w:t xml:space="preserve">1.1 </w:t>
      </w:r>
      <w:r w:rsidR="00651CF7" w:rsidRPr="00651CF7">
        <w:rPr>
          <w:rFonts w:ascii="Arial" w:hAnsi="Arial" w:cs="Arial"/>
          <w:b/>
          <w:bCs/>
          <w:sz w:val="22"/>
          <w:szCs w:val="22"/>
        </w:rPr>
        <w:t>Review Question</w:t>
      </w:r>
    </w:p>
    <w:p w14:paraId="5BC8DDF1" w14:textId="77777777" w:rsidR="00651CF7" w:rsidRPr="00651CF7" w:rsidRDefault="00651CF7" w:rsidP="00651CF7">
      <w:pPr>
        <w:spacing w:line="360" w:lineRule="auto"/>
        <w:jc w:val="both"/>
        <w:rPr>
          <w:rFonts w:ascii="Arial" w:hAnsi="Arial" w:cs="Arial"/>
          <w:sz w:val="22"/>
          <w:szCs w:val="22"/>
        </w:rPr>
      </w:pPr>
      <w:r w:rsidRPr="00651CF7">
        <w:rPr>
          <w:rFonts w:ascii="Arial" w:hAnsi="Arial" w:cs="Arial"/>
          <w:sz w:val="22"/>
          <w:szCs w:val="22"/>
        </w:rPr>
        <w:lastRenderedPageBreak/>
        <w:t>What are the main themes in qualitative research on patient experiences and satisfaction with same-day appointments in UK primary care?</w:t>
      </w:r>
    </w:p>
    <w:p w14:paraId="43F749D5" w14:textId="3BF9A9E0" w:rsidR="00651CF7" w:rsidRPr="00651CF7" w:rsidRDefault="00CC2648" w:rsidP="00651CF7">
      <w:pPr>
        <w:spacing w:line="360" w:lineRule="auto"/>
        <w:jc w:val="both"/>
        <w:rPr>
          <w:rFonts w:ascii="Arial" w:hAnsi="Arial" w:cs="Arial"/>
          <w:b/>
          <w:bCs/>
          <w:sz w:val="22"/>
          <w:szCs w:val="22"/>
        </w:rPr>
      </w:pPr>
      <w:r>
        <w:rPr>
          <w:rFonts w:ascii="Arial" w:hAnsi="Arial" w:cs="Arial"/>
          <w:b/>
          <w:bCs/>
          <w:sz w:val="22"/>
          <w:szCs w:val="22"/>
        </w:rPr>
        <w:t xml:space="preserve">1.2 </w:t>
      </w:r>
      <w:r w:rsidR="00651CF7" w:rsidRPr="00651CF7">
        <w:rPr>
          <w:rFonts w:ascii="Arial" w:hAnsi="Arial" w:cs="Arial"/>
          <w:b/>
          <w:bCs/>
          <w:sz w:val="22"/>
          <w:szCs w:val="22"/>
        </w:rPr>
        <w:t>Aim and Objectives</w:t>
      </w:r>
    </w:p>
    <w:p w14:paraId="00D83DB6" w14:textId="77777777" w:rsidR="00651CF7" w:rsidRPr="00651CF7" w:rsidRDefault="00651CF7" w:rsidP="00651CF7">
      <w:pPr>
        <w:spacing w:line="360" w:lineRule="auto"/>
        <w:jc w:val="both"/>
        <w:rPr>
          <w:rFonts w:ascii="Arial" w:hAnsi="Arial" w:cs="Arial"/>
          <w:sz w:val="22"/>
          <w:szCs w:val="22"/>
        </w:rPr>
      </w:pPr>
      <w:r w:rsidRPr="00651CF7">
        <w:rPr>
          <w:rFonts w:ascii="Arial" w:hAnsi="Arial" w:cs="Arial"/>
          <w:sz w:val="22"/>
          <w:szCs w:val="22"/>
        </w:rPr>
        <w:t>The aim of this scoping review is to explore patient experiences and satisfaction with same-day appointments in UK primary care.</w:t>
      </w:r>
    </w:p>
    <w:p w14:paraId="02C40D9E" w14:textId="77777777" w:rsidR="00651CF7" w:rsidRPr="00651CF7" w:rsidRDefault="00651CF7" w:rsidP="00651CF7">
      <w:pPr>
        <w:spacing w:line="360" w:lineRule="auto"/>
        <w:jc w:val="both"/>
        <w:rPr>
          <w:rFonts w:ascii="Arial" w:hAnsi="Arial" w:cs="Arial"/>
          <w:sz w:val="22"/>
          <w:szCs w:val="22"/>
        </w:rPr>
      </w:pPr>
      <w:r w:rsidRPr="00651CF7">
        <w:rPr>
          <w:rFonts w:ascii="Arial" w:hAnsi="Arial" w:cs="Arial"/>
          <w:sz w:val="22"/>
          <w:szCs w:val="22"/>
        </w:rPr>
        <w:t>The objectives of the review are to:</w:t>
      </w:r>
    </w:p>
    <w:p w14:paraId="364B171B" w14:textId="77777777" w:rsidR="00651CF7" w:rsidRPr="00651CF7" w:rsidRDefault="00651CF7" w:rsidP="00651CF7">
      <w:pPr>
        <w:numPr>
          <w:ilvl w:val="0"/>
          <w:numId w:val="5"/>
        </w:numPr>
        <w:spacing w:line="360" w:lineRule="auto"/>
        <w:jc w:val="both"/>
        <w:rPr>
          <w:rFonts w:ascii="Arial" w:hAnsi="Arial" w:cs="Arial"/>
          <w:sz w:val="22"/>
          <w:szCs w:val="22"/>
        </w:rPr>
      </w:pPr>
      <w:r w:rsidRPr="00651CF7">
        <w:rPr>
          <w:rFonts w:ascii="Arial" w:hAnsi="Arial" w:cs="Arial"/>
          <w:sz w:val="22"/>
          <w:szCs w:val="22"/>
        </w:rPr>
        <w:t>Identify key themes from qualitative studies examining patient experiences of same-day appointments.</w:t>
      </w:r>
    </w:p>
    <w:p w14:paraId="79C22854" w14:textId="77777777" w:rsidR="00651CF7" w:rsidRPr="00651CF7" w:rsidRDefault="00651CF7" w:rsidP="00651CF7">
      <w:pPr>
        <w:numPr>
          <w:ilvl w:val="0"/>
          <w:numId w:val="5"/>
        </w:numPr>
        <w:spacing w:line="360" w:lineRule="auto"/>
        <w:jc w:val="both"/>
        <w:rPr>
          <w:rFonts w:ascii="Arial" w:hAnsi="Arial" w:cs="Arial"/>
          <w:sz w:val="22"/>
          <w:szCs w:val="22"/>
        </w:rPr>
      </w:pPr>
      <w:r w:rsidRPr="00651CF7">
        <w:rPr>
          <w:rFonts w:ascii="Arial" w:hAnsi="Arial" w:cs="Arial"/>
          <w:sz w:val="22"/>
          <w:szCs w:val="22"/>
        </w:rPr>
        <w:t>Explore challenges patients face when accessing same-day appointments in primary care.</w:t>
      </w:r>
    </w:p>
    <w:p w14:paraId="289214FB" w14:textId="77777777" w:rsidR="00651CF7" w:rsidRPr="00651CF7" w:rsidRDefault="00651CF7" w:rsidP="00651CF7">
      <w:pPr>
        <w:numPr>
          <w:ilvl w:val="0"/>
          <w:numId w:val="5"/>
        </w:numPr>
        <w:spacing w:line="360" w:lineRule="auto"/>
        <w:jc w:val="both"/>
        <w:rPr>
          <w:rFonts w:ascii="Arial" w:hAnsi="Arial" w:cs="Arial"/>
          <w:sz w:val="22"/>
          <w:szCs w:val="22"/>
        </w:rPr>
      </w:pPr>
      <w:r w:rsidRPr="00651CF7">
        <w:rPr>
          <w:rFonts w:ascii="Arial" w:hAnsi="Arial" w:cs="Arial"/>
          <w:sz w:val="22"/>
          <w:szCs w:val="22"/>
        </w:rPr>
        <w:t>Identify gaps in the existing evidence to inform future research and improvements in primary care service delivery.</w:t>
      </w:r>
    </w:p>
    <w:p w14:paraId="30297395" w14:textId="77777777" w:rsidR="00090F0C" w:rsidRDefault="00090F0C" w:rsidP="00090F0C">
      <w:pPr>
        <w:spacing w:line="360" w:lineRule="auto"/>
        <w:jc w:val="both"/>
        <w:rPr>
          <w:rFonts w:ascii="Arial" w:hAnsi="Arial" w:cs="Arial"/>
          <w:sz w:val="22"/>
          <w:szCs w:val="22"/>
        </w:rPr>
      </w:pPr>
    </w:p>
    <w:p w14:paraId="66088C0D" w14:textId="77777777" w:rsidR="00090F0C" w:rsidRDefault="00090F0C" w:rsidP="00090F0C">
      <w:pPr>
        <w:spacing w:line="360" w:lineRule="auto"/>
        <w:jc w:val="both"/>
        <w:rPr>
          <w:rFonts w:ascii="Arial" w:hAnsi="Arial" w:cs="Arial"/>
          <w:sz w:val="22"/>
          <w:szCs w:val="22"/>
        </w:rPr>
      </w:pPr>
    </w:p>
    <w:p w14:paraId="02F9012F" w14:textId="77777777" w:rsidR="00090F0C" w:rsidRDefault="00090F0C" w:rsidP="00090F0C">
      <w:pPr>
        <w:spacing w:line="360" w:lineRule="auto"/>
        <w:jc w:val="both"/>
        <w:rPr>
          <w:rFonts w:ascii="Arial" w:hAnsi="Arial" w:cs="Arial"/>
          <w:sz w:val="22"/>
          <w:szCs w:val="22"/>
        </w:rPr>
      </w:pPr>
    </w:p>
    <w:p w14:paraId="4BCBEA5C" w14:textId="77777777" w:rsidR="00090F0C" w:rsidRDefault="00090F0C" w:rsidP="00090F0C">
      <w:pPr>
        <w:spacing w:line="360" w:lineRule="auto"/>
        <w:jc w:val="both"/>
        <w:rPr>
          <w:rFonts w:ascii="Arial" w:hAnsi="Arial" w:cs="Arial"/>
          <w:sz w:val="22"/>
          <w:szCs w:val="22"/>
        </w:rPr>
      </w:pPr>
    </w:p>
    <w:p w14:paraId="0D096A8F" w14:textId="77777777" w:rsidR="00090F0C" w:rsidRDefault="00090F0C" w:rsidP="00090F0C">
      <w:pPr>
        <w:spacing w:line="360" w:lineRule="auto"/>
        <w:jc w:val="both"/>
        <w:rPr>
          <w:rFonts w:ascii="Arial" w:hAnsi="Arial" w:cs="Arial"/>
          <w:sz w:val="22"/>
          <w:szCs w:val="22"/>
        </w:rPr>
      </w:pPr>
    </w:p>
    <w:p w14:paraId="4CC1C1C3" w14:textId="77777777" w:rsidR="00090F0C" w:rsidRDefault="00090F0C" w:rsidP="00090F0C">
      <w:pPr>
        <w:spacing w:line="360" w:lineRule="auto"/>
        <w:jc w:val="both"/>
        <w:rPr>
          <w:rFonts w:ascii="Arial" w:hAnsi="Arial" w:cs="Arial"/>
          <w:sz w:val="22"/>
          <w:szCs w:val="22"/>
        </w:rPr>
      </w:pPr>
    </w:p>
    <w:p w14:paraId="06151F42" w14:textId="77777777" w:rsidR="00090F0C" w:rsidRDefault="00090F0C" w:rsidP="00090F0C">
      <w:pPr>
        <w:spacing w:line="360" w:lineRule="auto"/>
        <w:jc w:val="both"/>
        <w:rPr>
          <w:rFonts w:ascii="Arial" w:hAnsi="Arial" w:cs="Arial"/>
          <w:sz w:val="22"/>
          <w:szCs w:val="22"/>
        </w:rPr>
      </w:pPr>
    </w:p>
    <w:p w14:paraId="4CD93E71" w14:textId="77777777" w:rsidR="00090F0C" w:rsidRDefault="00090F0C" w:rsidP="00090F0C">
      <w:pPr>
        <w:spacing w:line="360" w:lineRule="auto"/>
        <w:jc w:val="both"/>
        <w:rPr>
          <w:rFonts w:ascii="Arial" w:hAnsi="Arial" w:cs="Arial"/>
          <w:sz w:val="22"/>
          <w:szCs w:val="22"/>
        </w:rPr>
      </w:pPr>
    </w:p>
    <w:p w14:paraId="5B44DB4B" w14:textId="77777777" w:rsidR="00090F0C" w:rsidRDefault="00090F0C" w:rsidP="00090F0C">
      <w:pPr>
        <w:spacing w:line="360" w:lineRule="auto"/>
        <w:jc w:val="both"/>
        <w:rPr>
          <w:rFonts w:ascii="Arial" w:hAnsi="Arial" w:cs="Arial"/>
          <w:sz w:val="22"/>
          <w:szCs w:val="22"/>
        </w:rPr>
      </w:pPr>
    </w:p>
    <w:p w14:paraId="6BA89843" w14:textId="77777777" w:rsidR="00090F0C" w:rsidRDefault="00090F0C" w:rsidP="00090F0C">
      <w:pPr>
        <w:spacing w:line="360" w:lineRule="auto"/>
        <w:jc w:val="both"/>
        <w:rPr>
          <w:rFonts w:ascii="Arial" w:hAnsi="Arial" w:cs="Arial"/>
          <w:sz w:val="22"/>
          <w:szCs w:val="22"/>
        </w:rPr>
      </w:pPr>
    </w:p>
    <w:p w14:paraId="44DBA885" w14:textId="77777777" w:rsidR="00090F0C" w:rsidRDefault="00090F0C" w:rsidP="00090F0C">
      <w:pPr>
        <w:spacing w:line="360" w:lineRule="auto"/>
        <w:jc w:val="both"/>
        <w:rPr>
          <w:rFonts w:ascii="Arial" w:hAnsi="Arial" w:cs="Arial"/>
          <w:sz w:val="22"/>
          <w:szCs w:val="22"/>
        </w:rPr>
      </w:pPr>
    </w:p>
    <w:p w14:paraId="676C7D3A" w14:textId="77777777" w:rsidR="00090F0C" w:rsidRDefault="00090F0C" w:rsidP="00090F0C">
      <w:pPr>
        <w:spacing w:line="360" w:lineRule="auto"/>
        <w:jc w:val="both"/>
        <w:rPr>
          <w:rFonts w:ascii="Arial" w:hAnsi="Arial" w:cs="Arial"/>
          <w:sz w:val="22"/>
          <w:szCs w:val="22"/>
        </w:rPr>
      </w:pPr>
    </w:p>
    <w:p w14:paraId="36EFC10C" w14:textId="77777777" w:rsidR="00090F0C" w:rsidRDefault="00090F0C" w:rsidP="00090F0C">
      <w:pPr>
        <w:spacing w:line="360" w:lineRule="auto"/>
        <w:jc w:val="both"/>
        <w:rPr>
          <w:rFonts w:ascii="Arial" w:hAnsi="Arial" w:cs="Arial"/>
          <w:sz w:val="22"/>
          <w:szCs w:val="22"/>
        </w:rPr>
      </w:pPr>
    </w:p>
    <w:p w14:paraId="3C060CE2" w14:textId="77777777" w:rsidR="00090F0C" w:rsidRDefault="00090F0C" w:rsidP="00090F0C">
      <w:pPr>
        <w:spacing w:line="360" w:lineRule="auto"/>
        <w:jc w:val="both"/>
        <w:rPr>
          <w:rFonts w:ascii="Arial" w:hAnsi="Arial" w:cs="Arial"/>
          <w:sz w:val="22"/>
          <w:szCs w:val="22"/>
        </w:rPr>
      </w:pPr>
    </w:p>
    <w:p w14:paraId="77B221EA" w14:textId="77777777" w:rsidR="00090F0C" w:rsidRDefault="00090F0C" w:rsidP="00090F0C">
      <w:pPr>
        <w:spacing w:line="360" w:lineRule="auto"/>
        <w:jc w:val="both"/>
        <w:rPr>
          <w:rFonts w:ascii="Arial" w:hAnsi="Arial" w:cs="Arial"/>
          <w:sz w:val="22"/>
          <w:szCs w:val="22"/>
        </w:rPr>
      </w:pPr>
    </w:p>
    <w:p w14:paraId="3AFF174B" w14:textId="77777777" w:rsidR="00090F0C" w:rsidRDefault="00090F0C" w:rsidP="00090F0C">
      <w:pPr>
        <w:spacing w:line="360" w:lineRule="auto"/>
        <w:jc w:val="both"/>
        <w:rPr>
          <w:rFonts w:ascii="Arial" w:hAnsi="Arial" w:cs="Arial"/>
          <w:sz w:val="22"/>
          <w:szCs w:val="22"/>
        </w:rPr>
      </w:pPr>
    </w:p>
    <w:p w14:paraId="531A4336" w14:textId="77777777" w:rsidR="00090F0C" w:rsidRDefault="00090F0C" w:rsidP="00090F0C">
      <w:pPr>
        <w:spacing w:line="360" w:lineRule="auto"/>
        <w:jc w:val="both"/>
        <w:rPr>
          <w:rFonts w:ascii="Arial" w:hAnsi="Arial" w:cs="Arial"/>
          <w:sz w:val="22"/>
          <w:szCs w:val="22"/>
        </w:rPr>
      </w:pPr>
    </w:p>
    <w:p w14:paraId="2CD4EAD8" w14:textId="77777777" w:rsidR="00090F0C" w:rsidRDefault="00090F0C" w:rsidP="00090F0C">
      <w:pPr>
        <w:spacing w:line="360" w:lineRule="auto"/>
        <w:jc w:val="both"/>
        <w:rPr>
          <w:rFonts w:ascii="Arial" w:hAnsi="Arial" w:cs="Arial"/>
          <w:sz w:val="22"/>
          <w:szCs w:val="22"/>
        </w:rPr>
      </w:pPr>
    </w:p>
    <w:p w14:paraId="2615104D" w14:textId="77777777" w:rsidR="00090F0C" w:rsidRDefault="00090F0C" w:rsidP="00090F0C">
      <w:pPr>
        <w:spacing w:line="360" w:lineRule="auto"/>
        <w:jc w:val="both"/>
        <w:rPr>
          <w:rFonts w:ascii="Arial" w:hAnsi="Arial" w:cs="Arial"/>
          <w:sz w:val="22"/>
          <w:szCs w:val="22"/>
        </w:rPr>
      </w:pPr>
    </w:p>
    <w:p w14:paraId="5FAFB35D" w14:textId="77777777" w:rsidR="00CC2648" w:rsidRDefault="00CC2648" w:rsidP="00090F0C">
      <w:pPr>
        <w:spacing w:line="360" w:lineRule="auto"/>
        <w:jc w:val="both"/>
        <w:rPr>
          <w:rFonts w:ascii="Arial" w:hAnsi="Arial" w:cs="Arial"/>
          <w:sz w:val="22"/>
          <w:szCs w:val="22"/>
        </w:rPr>
      </w:pPr>
    </w:p>
    <w:p w14:paraId="73D75275" w14:textId="77777777" w:rsidR="00090F0C" w:rsidRDefault="00090F0C" w:rsidP="00090F0C">
      <w:pPr>
        <w:spacing w:line="360" w:lineRule="auto"/>
        <w:jc w:val="both"/>
        <w:rPr>
          <w:rFonts w:ascii="Arial" w:hAnsi="Arial" w:cs="Arial"/>
          <w:sz w:val="22"/>
          <w:szCs w:val="22"/>
        </w:rPr>
      </w:pPr>
    </w:p>
    <w:p w14:paraId="15E94870" w14:textId="77777777" w:rsidR="00090F0C" w:rsidRDefault="00090F0C" w:rsidP="00090F0C">
      <w:pPr>
        <w:spacing w:line="360" w:lineRule="auto"/>
        <w:jc w:val="both"/>
        <w:rPr>
          <w:rFonts w:ascii="Arial" w:hAnsi="Arial" w:cs="Arial"/>
          <w:sz w:val="22"/>
          <w:szCs w:val="22"/>
        </w:rPr>
      </w:pPr>
    </w:p>
    <w:p w14:paraId="58D1528E" w14:textId="5764403C" w:rsidR="00090F0C" w:rsidRPr="00CC2648" w:rsidRDefault="00090F0C" w:rsidP="00CC2648">
      <w:pPr>
        <w:pStyle w:val="ListParagraph"/>
        <w:numPr>
          <w:ilvl w:val="0"/>
          <w:numId w:val="10"/>
        </w:numPr>
        <w:spacing w:line="360" w:lineRule="auto"/>
        <w:jc w:val="center"/>
        <w:rPr>
          <w:rFonts w:ascii="Arial" w:hAnsi="Arial" w:cs="Arial"/>
          <w:b/>
          <w:bCs/>
          <w:sz w:val="22"/>
          <w:szCs w:val="22"/>
        </w:rPr>
      </w:pPr>
      <w:r w:rsidRPr="00CC2648">
        <w:rPr>
          <w:rFonts w:ascii="Arial" w:hAnsi="Arial" w:cs="Arial"/>
          <w:b/>
          <w:bCs/>
          <w:sz w:val="22"/>
          <w:szCs w:val="22"/>
        </w:rPr>
        <w:t>Background</w:t>
      </w:r>
    </w:p>
    <w:p w14:paraId="7B2727F3" w14:textId="5F109093" w:rsidR="00090F0C" w:rsidRPr="00090F0C" w:rsidRDefault="00090F0C" w:rsidP="00090F0C">
      <w:pPr>
        <w:spacing w:line="360" w:lineRule="auto"/>
        <w:jc w:val="both"/>
        <w:rPr>
          <w:rFonts w:ascii="Arial" w:hAnsi="Arial" w:cs="Arial"/>
          <w:sz w:val="22"/>
          <w:szCs w:val="22"/>
        </w:rPr>
      </w:pPr>
      <w:r w:rsidRPr="00090F0C">
        <w:rPr>
          <w:rFonts w:ascii="Arial" w:hAnsi="Arial" w:cs="Arial"/>
          <w:sz w:val="22"/>
          <w:szCs w:val="22"/>
        </w:rPr>
        <w:t>Timely access to primary care has been a longstanding policy priority within the United Kingdom, particularly in response to rising demand, workforce pressures, and increasing patient complexity. Primary care in the UK is predominantly delivered through general practice, which acts as the gateway to the wider health system</w:t>
      </w:r>
      <w:r w:rsidR="002D3AA0">
        <w:rPr>
          <w:rFonts w:ascii="Arial" w:hAnsi="Arial" w:cs="Arial"/>
          <w:sz w:val="22"/>
          <w:szCs w:val="22"/>
        </w:rPr>
        <w:t xml:space="preserve"> (Razai and Majeed, 2022)</w:t>
      </w:r>
      <w:r w:rsidRPr="00090F0C">
        <w:rPr>
          <w:rFonts w:ascii="Arial" w:hAnsi="Arial" w:cs="Arial"/>
          <w:sz w:val="22"/>
          <w:szCs w:val="22"/>
        </w:rPr>
        <w:t>. Ensuring that patients can access care when they perceive a need, especially for urgent or acute concerns, is viewed as central to maintaining quality, safety, and public confidence in primary care services.</w:t>
      </w:r>
    </w:p>
    <w:p w14:paraId="00D0CA0B" w14:textId="6AB1A3F1" w:rsidR="00090F0C" w:rsidRPr="00090F0C" w:rsidRDefault="00090F0C" w:rsidP="00090F0C">
      <w:pPr>
        <w:spacing w:line="360" w:lineRule="auto"/>
        <w:jc w:val="both"/>
        <w:rPr>
          <w:rFonts w:ascii="Arial" w:hAnsi="Arial" w:cs="Arial"/>
          <w:sz w:val="22"/>
          <w:szCs w:val="22"/>
        </w:rPr>
      </w:pPr>
      <w:r w:rsidRPr="00090F0C">
        <w:rPr>
          <w:rFonts w:ascii="Arial" w:hAnsi="Arial" w:cs="Arial"/>
          <w:sz w:val="22"/>
          <w:szCs w:val="22"/>
        </w:rPr>
        <w:t>Improving access to general practice, including same-day appointments, has been repeatedly emphasised in national policy. The NHS England has identified timely access as a core component of high-quality primary care</w:t>
      </w:r>
      <w:r w:rsidR="001B6F96">
        <w:rPr>
          <w:rFonts w:ascii="Arial" w:hAnsi="Arial" w:cs="Arial"/>
          <w:sz w:val="22"/>
          <w:szCs w:val="22"/>
        </w:rPr>
        <w:t xml:space="preserve"> (</w:t>
      </w:r>
      <w:r w:rsidR="001B6F96" w:rsidRPr="001B6F96">
        <w:rPr>
          <w:rFonts w:ascii="Arial" w:hAnsi="Arial" w:cs="Arial"/>
          <w:sz w:val="22"/>
          <w:szCs w:val="22"/>
        </w:rPr>
        <w:t xml:space="preserve">Fisher and </w:t>
      </w:r>
      <w:proofErr w:type="spellStart"/>
      <w:r w:rsidR="001B6F96" w:rsidRPr="001B6F96">
        <w:rPr>
          <w:rFonts w:ascii="Arial" w:hAnsi="Arial" w:cs="Arial"/>
          <w:sz w:val="22"/>
          <w:szCs w:val="22"/>
        </w:rPr>
        <w:t>Alderwick</w:t>
      </w:r>
      <w:proofErr w:type="spellEnd"/>
      <w:r w:rsidR="001B6F96" w:rsidRPr="001B6F96">
        <w:rPr>
          <w:rFonts w:ascii="Arial" w:hAnsi="Arial" w:cs="Arial"/>
          <w:sz w:val="22"/>
          <w:szCs w:val="22"/>
        </w:rPr>
        <w:t>, 2024</w:t>
      </w:r>
      <w:r w:rsidR="001B6F96">
        <w:rPr>
          <w:rFonts w:ascii="Arial" w:hAnsi="Arial" w:cs="Arial"/>
          <w:sz w:val="22"/>
          <w:szCs w:val="22"/>
        </w:rPr>
        <w:t>)</w:t>
      </w:r>
      <w:r w:rsidRPr="00090F0C">
        <w:rPr>
          <w:rFonts w:ascii="Arial" w:hAnsi="Arial" w:cs="Arial"/>
          <w:sz w:val="22"/>
          <w:szCs w:val="22"/>
        </w:rPr>
        <w:t>, with national strategies highlighting the importance of responsive appointment systems and patient-centred service design. Policy initiatives such as the NHS Long Term Plan have promoted reforms aimed at expanding access, reducing waiting times, and offering more flexible appointment models, including same-day and urgent consultations (NHS England, 20</w:t>
      </w:r>
      <w:r w:rsidR="001B6F96">
        <w:rPr>
          <w:rFonts w:ascii="Arial" w:hAnsi="Arial" w:cs="Arial"/>
          <w:sz w:val="22"/>
          <w:szCs w:val="22"/>
        </w:rPr>
        <w:t>20</w:t>
      </w:r>
      <w:r w:rsidRPr="00090F0C">
        <w:rPr>
          <w:rFonts w:ascii="Arial" w:hAnsi="Arial" w:cs="Arial"/>
          <w:sz w:val="22"/>
          <w:szCs w:val="22"/>
        </w:rPr>
        <w:t>). These reforms were further accelerated following the COVID-19 pandemic, which prompted rapid changes in how primary care services were organised and accessed, including increased use of triage systems and remote consultations (Majeed et al., 2020).</w:t>
      </w:r>
    </w:p>
    <w:p w14:paraId="0F09493B" w14:textId="67475F96" w:rsidR="00090F0C" w:rsidRPr="00090F0C" w:rsidRDefault="00090F0C" w:rsidP="00090F0C">
      <w:pPr>
        <w:spacing w:line="360" w:lineRule="auto"/>
        <w:jc w:val="both"/>
        <w:rPr>
          <w:rFonts w:ascii="Arial" w:hAnsi="Arial" w:cs="Arial"/>
          <w:sz w:val="22"/>
          <w:szCs w:val="22"/>
        </w:rPr>
      </w:pPr>
      <w:r w:rsidRPr="00090F0C">
        <w:rPr>
          <w:rFonts w:ascii="Arial" w:hAnsi="Arial" w:cs="Arial"/>
          <w:sz w:val="22"/>
          <w:szCs w:val="22"/>
        </w:rPr>
        <w:t>In practice, same-day appointments are typically intended to address urgent health concerns that cannot safely wait for a routine consultation</w:t>
      </w:r>
      <w:r w:rsidR="001B6F96">
        <w:rPr>
          <w:rFonts w:ascii="Arial" w:hAnsi="Arial" w:cs="Arial"/>
          <w:sz w:val="22"/>
          <w:szCs w:val="22"/>
        </w:rPr>
        <w:t xml:space="preserve"> (</w:t>
      </w:r>
      <w:proofErr w:type="spellStart"/>
      <w:r w:rsidR="001B6F96" w:rsidRPr="001B6F96">
        <w:rPr>
          <w:rFonts w:ascii="Arial" w:hAnsi="Arial" w:cs="Arial"/>
          <w:sz w:val="22"/>
          <w:szCs w:val="22"/>
        </w:rPr>
        <w:t>O’Cathain</w:t>
      </w:r>
      <w:proofErr w:type="spellEnd"/>
      <w:r w:rsidR="001B6F96">
        <w:rPr>
          <w:rFonts w:ascii="Arial" w:hAnsi="Arial" w:cs="Arial"/>
          <w:sz w:val="22"/>
          <w:szCs w:val="22"/>
        </w:rPr>
        <w:t xml:space="preserve"> et al., 2020)</w:t>
      </w:r>
      <w:r w:rsidRPr="00090F0C">
        <w:rPr>
          <w:rFonts w:ascii="Arial" w:hAnsi="Arial" w:cs="Arial"/>
          <w:sz w:val="22"/>
          <w:szCs w:val="22"/>
        </w:rPr>
        <w:t xml:space="preserve">. Their organisation varies widely across general practices and may involve telephone triage, online request systems, or clinician-led prioritisation processes. While these models aim to allocate limited resources efficiently, evidence suggests that they can also introduce complexity for patients attempting to navigate appointment systems. Studies have shown that patients may experience difficulties understanding booking procedures, encounter long waits to secure </w:t>
      </w:r>
      <w:r w:rsidRPr="00090F0C">
        <w:rPr>
          <w:rFonts w:ascii="Arial" w:hAnsi="Arial" w:cs="Arial"/>
          <w:sz w:val="22"/>
          <w:szCs w:val="22"/>
        </w:rPr>
        <w:lastRenderedPageBreak/>
        <w:t>same-day consultations, or feel uncertain about whether their health concerns are considered sufficiently urgent (Parsons, Bryce and Atherton, 2021; Atherton et al., 2024).</w:t>
      </w:r>
    </w:p>
    <w:p w14:paraId="43553ED6" w14:textId="015E6F72" w:rsidR="00090F0C" w:rsidRPr="00090F0C" w:rsidRDefault="00090F0C" w:rsidP="00090F0C">
      <w:pPr>
        <w:spacing w:line="360" w:lineRule="auto"/>
        <w:jc w:val="both"/>
        <w:rPr>
          <w:rFonts w:ascii="Arial" w:hAnsi="Arial" w:cs="Arial"/>
          <w:sz w:val="22"/>
          <w:szCs w:val="22"/>
        </w:rPr>
      </w:pPr>
      <w:r w:rsidRPr="00090F0C">
        <w:rPr>
          <w:rFonts w:ascii="Arial" w:hAnsi="Arial" w:cs="Arial"/>
          <w:sz w:val="22"/>
          <w:szCs w:val="22"/>
        </w:rPr>
        <w:t>Existing research indicates that access initiatives do not affect all patient groups equally</w:t>
      </w:r>
      <w:r w:rsidR="001B6F96">
        <w:rPr>
          <w:rFonts w:ascii="Arial" w:hAnsi="Arial" w:cs="Arial"/>
          <w:sz w:val="22"/>
          <w:szCs w:val="22"/>
        </w:rPr>
        <w:t xml:space="preserve"> (</w:t>
      </w:r>
      <w:r w:rsidR="001B6F96" w:rsidRPr="001B6F96">
        <w:rPr>
          <w:rFonts w:ascii="Arial" w:hAnsi="Arial" w:cs="Arial"/>
          <w:sz w:val="22"/>
          <w:szCs w:val="22"/>
        </w:rPr>
        <w:t>Sanders and Scanlon,</w:t>
      </w:r>
      <w:r w:rsidR="001B6F96">
        <w:rPr>
          <w:rFonts w:ascii="Arial" w:hAnsi="Arial" w:cs="Arial"/>
          <w:sz w:val="22"/>
          <w:szCs w:val="22"/>
        </w:rPr>
        <w:t xml:space="preserve"> 2021; </w:t>
      </w:r>
      <w:r w:rsidR="001B6F96" w:rsidRPr="001B6F96">
        <w:rPr>
          <w:rFonts w:ascii="Arial" w:hAnsi="Arial" w:cs="Arial"/>
          <w:sz w:val="22"/>
          <w:szCs w:val="22"/>
        </w:rPr>
        <w:t>Goulding et al., 2024</w:t>
      </w:r>
      <w:r w:rsidR="001B6F96">
        <w:rPr>
          <w:rFonts w:ascii="Arial" w:hAnsi="Arial" w:cs="Arial"/>
          <w:sz w:val="22"/>
          <w:szCs w:val="22"/>
        </w:rPr>
        <w:t>)</w:t>
      </w:r>
      <w:r w:rsidRPr="00090F0C">
        <w:rPr>
          <w:rFonts w:ascii="Arial" w:hAnsi="Arial" w:cs="Arial"/>
          <w:sz w:val="22"/>
          <w:szCs w:val="22"/>
        </w:rPr>
        <w:t>. Older adults, individuals with lower digital literacy, and those with complex or multiple health needs may face additional barriers when engaging with same-day appointment systems, particularly where access relies on early-morning telephone queues or digital-first approaches (Goulding et al., 2024). These challenges raise concerns about equity and the extent to which current access models align with the principle of patient-centred care that underpins UK primary care policy.</w:t>
      </w:r>
    </w:p>
    <w:p w14:paraId="335DBA90" w14:textId="5C900F58" w:rsidR="00090F0C" w:rsidRPr="00090F0C" w:rsidRDefault="00090F0C" w:rsidP="00090F0C">
      <w:pPr>
        <w:spacing w:line="360" w:lineRule="auto"/>
        <w:jc w:val="both"/>
        <w:rPr>
          <w:rFonts w:ascii="Arial" w:hAnsi="Arial" w:cs="Arial"/>
          <w:sz w:val="22"/>
          <w:szCs w:val="22"/>
        </w:rPr>
      </w:pPr>
      <w:r w:rsidRPr="00090F0C">
        <w:rPr>
          <w:rFonts w:ascii="Arial" w:hAnsi="Arial" w:cs="Arial"/>
          <w:sz w:val="22"/>
          <w:szCs w:val="22"/>
        </w:rPr>
        <w:t>From a service quality perspective, patient satisfaction is closely linked to experiences of access, communication, and perceived responsiveness. Qualitative research has been particularly valuable in illuminating how patients interpret and respond to same-day appointment systems in real-world settings. Recent qualitative studies have explored patient experiences of booking processes, interactions with reception staff, waiting times, and perceptions of fairness in appointment allocation (Atherton et al., 2024; Parsons et al., 2025). However, this body of evidence remains fragmented, with studies differing in focus, methodology, and population, limiting the ability to draw overarching conclusions.</w:t>
      </w:r>
    </w:p>
    <w:p w14:paraId="04C587DE" w14:textId="6F008F8A" w:rsidR="00C3010F" w:rsidRPr="00C3010F" w:rsidRDefault="00090F0C" w:rsidP="00090F0C">
      <w:pPr>
        <w:spacing w:line="360" w:lineRule="auto"/>
        <w:jc w:val="both"/>
        <w:rPr>
          <w:rFonts w:ascii="Arial" w:hAnsi="Arial" w:cs="Arial"/>
          <w:sz w:val="22"/>
          <w:szCs w:val="22"/>
        </w:rPr>
      </w:pPr>
      <w:r w:rsidRPr="00090F0C">
        <w:rPr>
          <w:rFonts w:ascii="Arial" w:hAnsi="Arial" w:cs="Arial"/>
          <w:sz w:val="22"/>
          <w:szCs w:val="22"/>
        </w:rPr>
        <w:t>Despite continued policy emphasis on improving access, there remains limited synthesis of qualitative evidence specifically examining patient experiences and satisfaction with same-day appointments in UK primary care</w:t>
      </w:r>
      <w:r w:rsidR="001B6F96">
        <w:rPr>
          <w:rFonts w:ascii="Arial" w:hAnsi="Arial" w:cs="Arial"/>
          <w:sz w:val="22"/>
          <w:szCs w:val="22"/>
        </w:rPr>
        <w:t xml:space="preserve"> (Price et al., 2022)</w:t>
      </w:r>
      <w:r w:rsidRPr="00090F0C">
        <w:rPr>
          <w:rFonts w:ascii="Arial" w:hAnsi="Arial" w:cs="Arial"/>
          <w:sz w:val="22"/>
          <w:szCs w:val="22"/>
        </w:rPr>
        <w:t>. This represents an important gap, as policy and service redesign efforts risk overlooking patient perspectives if existing qualitative insights are not systematically mapped and interpreted. A scoping review is therefore warranted to bring together this dispersed literature, identify recurring themes, and highlight areas where further research or service improvement is needed to ensure that same-day appointment systems are both effective and responsive to patient needs.</w:t>
      </w:r>
    </w:p>
    <w:p w14:paraId="6575C6EC" w14:textId="77777777" w:rsidR="00090F0C" w:rsidRDefault="00090F0C" w:rsidP="00C3010F">
      <w:pPr>
        <w:spacing w:line="360" w:lineRule="auto"/>
        <w:jc w:val="both"/>
        <w:rPr>
          <w:rFonts w:ascii="Arial" w:hAnsi="Arial" w:cs="Arial"/>
          <w:b/>
          <w:bCs/>
          <w:sz w:val="22"/>
          <w:szCs w:val="22"/>
        </w:rPr>
      </w:pPr>
    </w:p>
    <w:p w14:paraId="7E9EDA38" w14:textId="77777777" w:rsidR="00090F0C" w:rsidRDefault="00090F0C" w:rsidP="00C3010F">
      <w:pPr>
        <w:spacing w:line="360" w:lineRule="auto"/>
        <w:jc w:val="both"/>
        <w:rPr>
          <w:rFonts w:ascii="Arial" w:hAnsi="Arial" w:cs="Arial"/>
          <w:b/>
          <w:bCs/>
          <w:sz w:val="22"/>
          <w:szCs w:val="22"/>
        </w:rPr>
      </w:pPr>
    </w:p>
    <w:p w14:paraId="77CEBA91" w14:textId="77777777" w:rsidR="00090F0C" w:rsidRDefault="00090F0C" w:rsidP="00C3010F">
      <w:pPr>
        <w:spacing w:line="360" w:lineRule="auto"/>
        <w:jc w:val="both"/>
        <w:rPr>
          <w:rFonts w:ascii="Arial" w:hAnsi="Arial" w:cs="Arial"/>
          <w:b/>
          <w:bCs/>
          <w:sz w:val="22"/>
          <w:szCs w:val="22"/>
        </w:rPr>
      </w:pPr>
    </w:p>
    <w:p w14:paraId="142CCF85" w14:textId="77777777" w:rsidR="00090F0C" w:rsidRDefault="00090F0C" w:rsidP="00C3010F">
      <w:pPr>
        <w:spacing w:line="360" w:lineRule="auto"/>
        <w:jc w:val="both"/>
        <w:rPr>
          <w:rFonts w:ascii="Arial" w:hAnsi="Arial" w:cs="Arial"/>
          <w:b/>
          <w:bCs/>
          <w:sz w:val="22"/>
          <w:szCs w:val="22"/>
        </w:rPr>
      </w:pPr>
    </w:p>
    <w:p w14:paraId="2E82382A" w14:textId="77777777" w:rsidR="00090F0C" w:rsidRDefault="00090F0C" w:rsidP="00C3010F">
      <w:pPr>
        <w:spacing w:line="360" w:lineRule="auto"/>
        <w:jc w:val="both"/>
        <w:rPr>
          <w:rFonts w:ascii="Arial" w:hAnsi="Arial" w:cs="Arial"/>
          <w:b/>
          <w:bCs/>
          <w:sz w:val="22"/>
          <w:szCs w:val="22"/>
        </w:rPr>
      </w:pPr>
    </w:p>
    <w:p w14:paraId="367DEC40" w14:textId="77777777" w:rsidR="00090F0C" w:rsidRDefault="00090F0C" w:rsidP="00C3010F">
      <w:pPr>
        <w:spacing w:line="360" w:lineRule="auto"/>
        <w:jc w:val="both"/>
        <w:rPr>
          <w:rFonts w:ascii="Arial" w:hAnsi="Arial" w:cs="Arial"/>
          <w:b/>
          <w:bCs/>
          <w:sz w:val="22"/>
          <w:szCs w:val="22"/>
        </w:rPr>
      </w:pPr>
    </w:p>
    <w:p w14:paraId="175A6818" w14:textId="77777777" w:rsidR="00090F0C" w:rsidRDefault="00090F0C" w:rsidP="00C3010F">
      <w:pPr>
        <w:spacing w:line="360" w:lineRule="auto"/>
        <w:jc w:val="both"/>
        <w:rPr>
          <w:rFonts w:ascii="Arial" w:hAnsi="Arial" w:cs="Arial"/>
          <w:b/>
          <w:bCs/>
          <w:sz w:val="22"/>
          <w:szCs w:val="22"/>
        </w:rPr>
      </w:pPr>
    </w:p>
    <w:p w14:paraId="0C69C188" w14:textId="77777777" w:rsidR="00090F0C" w:rsidRDefault="00090F0C" w:rsidP="00C3010F">
      <w:pPr>
        <w:spacing w:line="360" w:lineRule="auto"/>
        <w:jc w:val="both"/>
        <w:rPr>
          <w:rFonts w:ascii="Arial" w:hAnsi="Arial" w:cs="Arial"/>
          <w:b/>
          <w:bCs/>
          <w:sz w:val="22"/>
          <w:szCs w:val="22"/>
        </w:rPr>
      </w:pPr>
    </w:p>
    <w:p w14:paraId="31D8A673" w14:textId="77777777" w:rsidR="00090F0C" w:rsidRDefault="00090F0C" w:rsidP="00C3010F">
      <w:pPr>
        <w:spacing w:line="360" w:lineRule="auto"/>
        <w:jc w:val="both"/>
        <w:rPr>
          <w:rFonts w:ascii="Arial" w:hAnsi="Arial" w:cs="Arial"/>
          <w:b/>
          <w:bCs/>
          <w:sz w:val="22"/>
          <w:szCs w:val="22"/>
        </w:rPr>
      </w:pPr>
    </w:p>
    <w:p w14:paraId="57C22525" w14:textId="77777777" w:rsidR="00090F0C" w:rsidRDefault="00090F0C" w:rsidP="00C3010F">
      <w:pPr>
        <w:spacing w:line="360" w:lineRule="auto"/>
        <w:jc w:val="both"/>
        <w:rPr>
          <w:rFonts w:ascii="Arial" w:hAnsi="Arial" w:cs="Arial"/>
          <w:b/>
          <w:bCs/>
          <w:sz w:val="22"/>
          <w:szCs w:val="22"/>
        </w:rPr>
      </w:pPr>
    </w:p>
    <w:p w14:paraId="040893E2" w14:textId="77777777" w:rsidR="00090F0C" w:rsidRDefault="00090F0C" w:rsidP="00C3010F">
      <w:pPr>
        <w:spacing w:line="360" w:lineRule="auto"/>
        <w:jc w:val="both"/>
        <w:rPr>
          <w:rFonts w:ascii="Arial" w:hAnsi="Arial" w:cs="Arial"/>
          <w:b/>
          <w:bCs/>
          <w:sz w:val="22"/>
          <w:szCs w:val="22"/>
        </w:rPr>
      </w:pPr>
    </w:p>
    <w:p w14:paraId="111B1456" w14:textId="77777777" w:rsidR="00090F0C" w:rsidRDefault="00090F0C" w:rsidP="00C3010F">
      <w:pPr>
        <w:spacing w:line="360" w:lineRule="auto"/>
        <w:jc w:val="both"/>
        <w:rPr>
          <w:rFonts w:ascii="Arial" w:hAnsi="Arial" w:cs="Arial"/>
          <w:b/>
          <w:bCs/>
          <w:sz w:val="22"/>
          <w:szCs w:val="22"/>
        </w:rPr>
      </w:pPr>
    </w:p>
    <w:p w14:paraId="1A1A3B5C" w14:textId="77777777" w:rsidR="00090F0C" w:rsidRDefault="00090F0C" w:rsidP="00C3010F">
      <w:pPr>
        <w:spacing w:line="360" w:lineRule="auto"/>
        <w:jc w:val="both"/>
        <w:rPr>
          <w:rFonts w:ascii="Arial" w:hAnsi="Arial" w:cs="Arial"/>
          <w:b/>
          <w:bCs/>
          <w:sz w:val="22"/>
          <w:szCs w:val="22"/>
        </w:rPr>
      </w:pPr>
    </w:p>
    <w:p w14:paraId="45D60BC6" w14:textId="77777777" w:rsidR="00090F0C" w:rsidRDefault="00090F0C" w:rsidP="00C3010F">
      <w:pPr>
        <w:spacing w:line="360" w:lineRule="auto"/>
        <w:jc w:val="both"/>
        <w:rPr>
          <w:rFonts w:ascii="Arial" w:hAnsi="Arial" w:cs="Arial"/>
          <w:b/>
          <w:bCs/>
          <w:sz w:val="22"/>
          <w:szCs w:val="22"/>
        </w:rPr>
      </w:pPr>
    </w:p>
    <w:p w14:paraId="5B993371" w14:textId="77777777" w:rsidR="00090F0C" w:rsidRDefault="00090F0C" w:rsidP="00C3010F">
      <w:pPr>
        <w:spacing w:line="360" w:lineRule="auto"/>
        <w:jc w:val="both"/>
        <w:rPr>
          <w:rFonts w:ascii="Arial" w:hAnsi="Arial" w:cs="Arial"/>
          <w:b/>
          <w:bCs/>
          <w:sz w:val="22"/>
          <w:szCs w:val="22"/>
        </w:rPr>
      </w:pPr>
    </w:p>
    <w:p w14:paraId="62EE5FCA" w14:textId="35B96E5B" w:rsidR="00C3010F" w:rsidRPr="00AF61D3" w:rsidRDefault="00C3010F" w:rsidP="00AF61D3">
      <w:pPr>
        <w:pStyle w:val="ListParagraph"/>
        <w:numPr>
          <w:ilvl w:val="0"/>
          <w:numId w:val="10"/>
        </w:numPr>
        <w:spacing w:line="360" w:lineRule="auto"/>
        <w:jc w:val="center"/>
        <w:rPr>
          <w:rFonts w:ascii="Arial" w:hAnsi="Arial" w:cs="Arial"/>
          <w:b/>
          <w:bCs/>
          <w:sz w:val="22"/>
          <w:szCs w:val="22"/>
        </w:rPr>
      </w:pPr>
      <w:r w:rsidRPr="00AF61D3">
        <w:rPr>
          <w:rFonts w:ascii="Arial" w:hAnsi="Arial" w:cs="Arial"/>
          <w:b/>
          <w:bCs/>
          <w:sz w:val="22"/>
          <w:szCs w:val="22"/>
        </w:rPr>
        <w:t>Methodology</w:t>
      </w:r>
    </w:p>
    <w:p w14:paraId="6DDDC24A" w14:textId="77777777" w:rsidR="00C3010F" w:rsidRDefault="00C3010F" w:rsidP="00C3010F">
      <w:pPr>
        <w:spacing w:line="360" w:lineRule="auto"/>
        <w:jc w:val="both"/>
        <w:rPr>
          <w:rFonts w:ascii="Arial" w:hAnsi="Arial" w:cs="Arial"/>
          <w:sz w:val="22"/>
          <w:szCs w:val="22"/>
        </w:rPr>
      </w:pPr>
      <w:r w:rsidRPr="00C3010F">
        <w:rPr>
          <w:rFonts w:ascii="Arial" w:hAnsi="Arial" w:cs="Arial"/>
          <w:sz w:val="22"/>
          <w:szCs w:val="22"/>
        </w:rPr>
        <w:t>This study will use a scoping review approach to examine the range and focus of qualitative research on patient experiences with same-day appointments. This method is suitable for summarising diverse qualitative findings and identifying patterns across studies (Munn et al., 2018).</w:t>
      </w:r>
    </w:p>
    <w:p w14:paraId="256D2763" w14:textId="4B5000E2" w:rsidR="0012795F" w:rsidRPr="0012795F" w:rsidRDefault="00AF61D3" w:rsidP="00C3010F">
      <w:pPr>
        <w:spacing w:line="360" w:lineRule="auto"/>
        <w:jc w:val="both"/>
        <w:rPr>
          <w:rFonts w:ascii="Arial" w:hAnsi="Arial" w:cs="Arial"/>
          <w:b/>
          <w:bCs/>
          <w:sz w:val="22"/>
          <w:szCs w:val="22"/>
        </w:rPr>
      </w:pPr>
      <w:r>
        <w:rPr>
          <w:rFonts w:ascii="Arial" w:hAnsi="Arial" w:cs="Arial"/>
          <w:b/>
          <w:bCs/>
          <w:sz w:val="22"/>
          <w:szCs w:val="22"/>
        </w:rPr>
        <w:t xml:space="preserve">3.1 </w:t>
      </w:r>
      <w:r w:rsidR="0012795F" w:rsidRPr="0012795F">
        <w:rPr>
          <w:rFonts w:ascii="Arial" w:hAnsi="Arial" w:cs="Arial"/>
          <w:b/>
          <w:bCs/>
          <w:sz w:val="22"/>
          <w:szCs w:val="22"/>
        </w:rPr>
        <w:t>Data Collection Approach</w:t>
      </w:r>
    </w:p>
    <w:p w14:paraId="03E7F1B9" w14:textId="5FBDB866" w:rsidR="0012795F" w:rsidRPr="0012795F" w:rsidRDefault="0012795F" w:rsidP="0012795F">
      <w:pPr>
        <w:spacing w:line="360" w:lineRule="auto"/>
        <w:jc w:val="both"/>
        <w:rPr>
          <w:rFonts w:ascii="Arial" w:hAnsi="Arial" w:cs="Arial"/>
          <w:sz w:val="22"/>
          <w:szCs w:val="22"/>
        </w:rPr>
      </w:pPr>
      <w:r w:rsidRPr="0012795F">
        <w:rPr>
          <w:rFonts w:ascii="Arial" w:hAnsi="Arial" w:cs="Arial"/>
          <w:sz w:val="22"/>
          <w:szCs w:val="22"/>
        </w:rPr>
        <w:t>This scoping review followed a structured and transparent approach to identify qualitative studies exploring patient experiences of same-day appointments in UK primary care. Academic databases were systematically searched to ensure comprehensive coverage of the relevant literature. The databases included PubMed, CINAHL, Scopus, PsycINFO, and the UWTSD Library. These databases were selected for their extensive coverage of health, social care, and qualitative research, which are central to the review topic (Ar</w:t>
      </w:r>
      <w:r w:rsidR="00FE19E8">
        <w:rPr>
          <w:rFonts w:ascii="Arial" w:hAnsi="Arial" w:cs="Arial"/>
          <w:sz w:val="22"/>
          <w:szCs w:val="22"/>
        </w:rPr>
        <w:t>osio et al.</w:t>
      </w:r>
      <w:r w:rsidRPr="0012795F">
        <w:rPr>
          <w:rFonts w:ascii="Arial" w:hAnsi="Arial" w:cs="Arial"/>
          <w:sz w:val="22"/>
          <w:szCs w:val="22"/>
        </w:rPr>
        <w:t>, 20</w:t>
      </w:r>
      <w:r w:rsidR="00FE19E8">
        <w:rPr>
          <w:rFonts w:ascii="Arial" w:hAnsi="Arial" w:cs="Arial"/>
          <w:sz w:val="22"/>
          <w:szCs w:val="22"/>
        </w:rPr>
        <w:t>22</w:t>
      </w:r>
      <w:r w:rsidRPr="0012795F">
        <w:rPr>
          <w:rFonts w:ascii="Arial" w:hAnsi="Arial" w:cs="Arial"/>
          <w:sz w:val="22"/>
          <w:szCs w:val="22"/>
        </w:rPr>
        <w:t xml:space="preserve">; </w:t>
      </w:r>
      <w:proofErr w:type="spellStart"/>
      <w:r w:rsidR="00FE19E8" w:rsidRPr="00FE19E8">
        <w:rPr>
          <w:rFonts w:ascii="Arial" w:hAnsi="Arial" w:cs="Arial"/>
          <w:sz w:val="22"/>
          <w:szCs w:val="22"/>
        </w:rPr>
        <w:t>Dhippayom</w:t>
      </w:r>
      <w:proofErr w:type="spellEnd"/>
      <w:r w:rsidRPr="0012795F">
        <w:rPr>
          <w:rFonts w:ascii="Arial" w:hAnsi="Arial" w:cs="Arial"/>
          <w:sz w:val="22"/>
          <w:szCs w:val="22"/>
        </w:rPr>
        <w:t xml:space="preserve"> et al., 202</w:t>
      </w:r>
      <w:r w:rsidR="00FE19E8">
        <w:rPr>
          <w:rFonts w:ascii="Arial" w:hAnsi="Arial" w:cs="Arial"/>
          <w:sz w:val="22"/>
          <w:szCs w:val="22"/>
        </w:rPr>
        <w:t>3</w:t>
      </w:r>
      <w:r w:rsidRPr="0012795F">
        <w:rPr>
          <w:rFonts w:ascii="Arial" w:hAnsi="Arial" w:cs="Arial"/>
          <w:sz w:val="22"/>
          <w:szCs w:val="22"/>
        </w:rPr>
        <w:t>).</w:t>
      </w:r>
    </w:p>
    <w:p w14:paraId="7430F2B6" w14:textId="4A7905C7" w:rsidR="0012795F" w:rsidRPr="0012795F" w:rsidRDefault="0012795F" w:rsidP="0012795F">
      <w:pPr>
        <w:spacing w:line="360" w:lineRule="auto"/>
        <w:jc w:val="both"/>
        <w:rPr>
          <w:rFonts w:ascii="Arial" w:hAnsi="Arial" w:cs="Arial"/>
          <w:sz w:val="22"/>
          <w:szCs w:val="22"/>
        </w:rPr>
      </w:pPr>
      <w:r w:rsidRPr="0012795F">
        <w:rPr>
          <w:rFonts w:ascii="Arial" w:hAnsi="Arial" w:cs="Arial"/>
          <w:sz w:val="22"/>
          <w:szCs w:val="22"/>
        </w:rPr>
        <w:t>The search strategy combined key terms and Boolean operators to capture all relevant studies. Keywords included: “same-day appointments” AND “patient experience” AND “UK primary care” OR “general practice” OR “access to care”. Synonyms and alternative terms were used to enhance search sensitivity, for example, “urgent appointments” and “same-day consultations”. The use of Boolean operators allowed precise combination of concepts while minimising irrelevant results (</w:t>
      </w:r>
      <w:r w:rsidR="00FE19E8" w:rsidRPr="00E30CAB">
        <w:t>Khurshid</w:t>
      </w:r>
      <w:r w:rsidRPr="0012795F">
        <w:rPr>
          <w:rFonts w:ascii="Arial" w:hAnsi="Arial" w:cs="Arial"/>
          <w:sz w:val="22"/>
          <w:szCs w:val="22"/>
        </w:rPr>
        <w:t xml:space="preserve"> et al., 20</w:t>
      </w:r>
      <w:r w:rsidR="00FE19E8">
        <w:rPr>
          <w:rFonts w:ascii="Arial" w:hAnsi="Arial" w:cs="Arial"/>
          <w:sz w:val="22"/>
          <w:szCs w:val="22"/>
        </w:rPr>
        <w:t>21</w:t>
      </w:r>
      <w:r w:rsidRPr="0012795F">
        <w:rPr>
          <w:rFonts w:ascii="Arial" w:hAnsi="Arial" w:cs="Arial"/>
          <w:sz w:val="22"/>
          <w:szCs w:val="22"/>
        </w:rPr>
        <w:t>).</w:t>
      </w:r>
    </w:p>
    <w:p w14:paraId="14DC2C47" w14:textId="77777777" w:rsidR="0012795F" w:rsidRPr="0012795F" w:rsidRDefault="0012795F" w:rsidP="0012795F">
      <w:pPr>
        <w:spacing w:line="360" w:lineRule="auto"/>
        <w:jc w:val="both"/>
        <w:rPr>
          <w:rFonts w:ascii="Arial" w:hAnsi="Arial" w:cs="Arial"/>
          <w:sz w:val="22"/>
          <w:szCs w:val="22"/>
        </w:rPr>
      </w:pPr>
      <w:r w:rsidRPr="0012795F">
        <w:rPr>
          <w:rFonts w:ascii="Arial" w:hAnsi="Arial" w:cs="Arial"/>
          <w:sz w:val="22"/>
          <w:szCs w:val="22"/>
        </w:rPr>
        <w:t>Inclusion criteria were defined to ensure that only studies directly relevant to the review question were selected. Studies were included if they:</w:t>
      </w:r>
    </w:p>
    <w:p w14:paraId="5D9B5285" w14:textId="77777777" w:rsidR="0012795F" w:rsidRPr="0012795F" w:rsidRDefault="0012795F" w:rsidP="0012795F">
      <w:pPr>
        <w:numPr>
          <w:ilvl w:val="0"/>
          <w:numId w:val="6"/>
        </w:numPr>
        <w:spacing w:line="360" w:lineRule="auto"/>
        <w:jc w:val="both"/>
        <w:rPr>
          <w:rFonts w:ascii="Arial" w:hAnsi="Arial" w:cs="Arial"/>
          <w:sz w:val="22"/>
          <w:szCs w:val="22"/>
        </w:rPr>
      </w:pPr>
      <w:r w:rsidRPr="0012795F">
        <w:rPr>
          <w:rFonts w:ascii="Arial" w:hAnsi="Arial" w:cs="Arial"/>
          <w:sz w:val="22"/>
          <w:szCs w:val="22"/>
        </w:rPr>
        <w:t>Focused on patients’ experiences or satisfaction with same-day appointments in primary care.</w:t>
      </w:r>
    </w:p>
    <w:p w14:paraId="2AB99108" w14:textId="77777777" w:rsidR="0012795F" w:rsidRPr="0012795F" w:rsidRDefault="0012795F" w:rsidP="0012795F">
      <w:pPr>
        <w:numPr>
          <w:ilvl w:val="0"/>
          <w:numId w:val="6"/>
        </w:numPr>
        <w:spacing w:line="360" w:lineRule="auto"/>
        <w:jc w:val="both"/>
        <w:rPr>
          <w:rFonts w:ascii="Arial" w:hAnsi="Arial" w:cs="Arial"/>
          <w:sz w:val="22"/>
          <w:szCs w:val="22"/>
        </w:rPr>
      </w:pPr>
      <w:r w:rsidRPr="0012795F">
        <w:rPr>
          <w:rFonts w:ascii="Arial" w:hAnsi="Arial" w:cs="Arial"/>
          <w:sz w:val="22"/>
          <w:szCs w:val="22"/>
        </w:rPr>
        <w:lastRenderedPageBreak/>
        <w:t>Were qualitative or mixed-methods studies with a clear qualitative component.</w:t>
      </w:r>
    </w:p>
    <w:p w14:paraId="2BFDBC25" w14:textId="77777777" w:rsidR="0012795F" w:rsidRPr="0012795F" w:rsidRDefault="0012795F" w:rsidP="0012795F">
      <w:pPr>
        <w:numPr>
          <w:ilvl w:val="0"/>
          <w:numId w:val="6"/>
        </w:numPr>
        <w:spacing w:line="360" w:lineRule="auto"/>
        <w:jc w:val="both"/>
        <w:rPr>
          <w:rFonts w:ascii="Arial" w:hAnsi="Arial" w:cs="Arial"/>
          <w:sz w:val="22"/>
          <w:szCs w:val="22"/>
        </w:rPr>
      </w:pPr>
      <w:r w:rsidRPr="0012795F">
        <w:rPr>
          <w:rFonts w:ascii="Arial" w:hAnsi="Arial" w:cs="Arial"/>
          <w:sz w:val="22"/>
          <w:szCs w:val="22"/>
        </w:rPr>
        <w:t>Were published in peer-reviewed journals between 2013 and 2025 to reflect contemporary practice.</w:t>
      </w:r>
    </w:p>
    <w:p w14:paraId="4027A1EC" w14:textId="77777777" w:rsidR="0012795F" w:rsidRPr="0012795F" w:rsidRDefault="0012795F" w:rsidP="0012795F">
      <w:pPr>
        <w:numPr>
          <w:ilvl w:val="0"/>
          <w:numId w:val="6"/>
        </w:numPr>
        <w:spacing w:line="360" w:lineRule="auto"/>
        <w:jc w:val="both"/>
        <w:rPr>
          <w:rFonts w:ascii="Arial" w:hAnsi="Arial" w:cs="Arial"/>
          <w:sz w:val="22"/>
          <w:szCs w:val="22"/>
        </w:rPr>
      </w:pPr>
      <w:r w:rsidRPr="0012795F">
        <w:rPr>
          <w:rFonts w:ascii="Arial" w:hAnsi="Arial" w:cs="Arial"/>
          <w:sz w:val="22"/>
          <w:szCs w:val="22"/>
        </w:rPr>
        <w:t>Were conducted in the UK, reflecting the specific healthcare context.</w:t>
      </w:r>
    </w:p>
    <w:p w14:paraId="4B7BA357" w14:textId="77777777" w:rsidR="0012795F" w:rsidRPr="0012795F" w:rsidRDefault="0012795F" w:rsidP="0012795F">
      <w:pPr>
        <w:spacing w:line="360" w:lineRule="auto"/>
        <w:jc w:val="both"/>
        <w:rPr>
          <w:rFonts w:ascii="Arial" w:hAnsi="Arial" w:cs="Arial"/>
          <w:sz w:val="22"/>
          <w:szCs w:val="22"/>
        </w:rPr>
      </w:pPr>
      <w:r w:rsidRPr="0012795F">
        <w:rPr>
          <w:rFonts w:ascii="Arial" w:hAnsi="Arial" w:cs="Arial"/>
          <w:sz w:val="22"/>
          <w:szCs w:val="22"/>
        </w:rPr>
        <w:t>Exclusion criteria were applied to remove studies that did not meet the scope of the review. Studies were excluded if they:</w:t>
      </w:r>
    </w:p>
    <w:p w14:paraId="61361AD1" w14:textId="77777777" w:rsidR="0012795F" w:rsidRPr="0012795F" w:rsidRDefault="0012795F" w:rsidP="0012795F">
      <w:pPr>
        <w:numPr>
          <w:ilvl w:val="0"/>
          <w:numId w:val="7"/>
        </w:numPr>
        <w:spacing w:line="360" w:lineRule="auto"/>
        <w:jc w:val="both"/>
        <w:rPr>
          <w:rFonts w:ascii="Arial" w:hAnsi="Arial" w:cs="Arial"/>
          <w:sz w:val="22"/>
          <w:szCs w:val="22"/>
        </w:rPr>
      </w:pPr>
      <w:r w:rsidRPr="0012795F">
        <w:rPr>
          <w:rFonts w:ascii="Arial" w:hAnsi="Arial" w:cs="Arial"/>
          <w:sz w:val="22"/>
          <w:szCs w:val="22"/>
        </w:rPr>
        <w:t>Focused exclusively on clinical outcomes rather than patient experiences.</w:t>
      </w:r>
    </w:p>
    <w:p w14:paraId="73AFB870" w14:textId="77777777" w:rsidR="0012795F" w:rsidRPr="0012795F" w:rsidRDefault="0012795F" w:rsidP="0012795F">
      <w:pPr>
        <w:numPr>
          <w:ilvl w:val="0"/>
          <w:numId w:val="7"/>
        </w:numPr>
        <w:spacing w:line="360" w:lineRule="auto"/>
        <w:jc w:val="both"/>
        <w:rPr>
          <w:rFonts w:ascii="Arial" w:hAnsi="Arial" w:cs="Arial"/>
          <w:sz w:val="22"/>
          <w:szCs w:val="22"/>
        </w:rPr>
      </w:pPr>
      <w:r w:rsidRPr="0012795F">
        <w:rPr>
          <w:rFonts w:ascii="Arial" w:hAnsi="Arial" w:cs="Arial"/>
          <w:sz w:val="22"/>
          <w:szCs w:val="22"/>
        </w:rPr>
        <w:t>Were opinion pieces, editorials, conference abstracts, or policy papers.</w:t>
      </w:r>
    </w:p>
    <w:p w14:paraId="37438BD6" w14:textId="77777777" w:rsidR="0012795F" w:rsidRPr="0012795F" w:rsidRDefault="0012795F" w:rsidP="0012795F">
      <w:pPr>
        <w:numPr>
          <w:ilvl w:val="0"/>
          <w:numId w:val="7"/>
        </w:numPr>
        <w:spacing w:line="360" w:lineRule="auto"/>
        <w:jc w:val="both"/>
        <w:rPr>
          <w:rFonts w:ascii="Arial" w:hAnsi="Arial" w:cs="Arial"/>
          <w:sz w:val="22"/>
          <w:szCs w:val="22"/>
        </w:rPr>
      </w:pPr>
      <w:proofErr w:type="spellStart"/>
      <w:r w:rsidRPr="0012795F">
        <w:rPr>
          <w:rFonts w:ascii="Arial" w:hAnsi="Arial" w:cs="Arial"/>
          <w:sz w:val="22"/>
          <w:szCs w:val="22"/>
        </w:rPr>
        <w:t>Were</w:t>
      </w:r>
      <w:proofErr w:type="spellEnd"/>
      <w:r w:rsidRPr="0012795F">
        <w:rPr>
          <w:rFonts w:ascii="Arial" w:hAnsi="Arial" w:cs="Arial"/>
          <w:sz w:val="22"/>
          <w:szCs w:val="22"/>
        </w:rPr>
        <w:t xml:space="preserve"> not available in English.</w:t>
      </w:r>
    </w:p>
    <w:p w14:paraId="355860FE" w14:textId="77777777" w:rsidR="0012795F" w:rsidRPr="0012795F" w:rsidRDefault="0012795F" w:rsidP="0012795F">
      <w:pPr>
        <w:spacing w:line="360" w:lineRule="auto"/>
        <w:jc w:val="both"/>
        <w:rPr>
          <w:rFonts w:ascii="Arial" w:hAnsi="Arial" w:cs="Arial"/>
          <w:sz w:val="22"/>
          <w:szCs w:val="22"/>
        </w:rPr>
      </w:pPr>
      <w:r w:rsidRPr="0012795F">
        <w:rPr>
          <w:rFonts w:ascii="Arial" w:hAnsi="Arial" w:cs="Arial"/>
          <w:sz w:val="22"/>
          <w:szCs w:val="22"/>
        </w:rPr>
        <w:t>All identified studies were exported into a reference management software to remove duplicates and facilitate screening. Titles and abstracts were first screened for relevance, followed by full-text review to confirm eligibility.</w:t>
      </w:r>
    </w:p>
    <w:p w14:paraId="1A8DB85B" w14:textId="3FA5305C" w:rsidR="0012795F" w:rsidRPr="0012795F" w:rsidRDefault="00AF61D3" w:rsidP="0012795F">
      <w:pPr>
        <w:spacing w:line="360" w:lineRule="auto"/>
        <w:jc w:val="both"/>
        <w:rPr>
          <w:rFonts w:ascii="Arial" w:hAnsi="Arial" w:cs="Arial"/>
          <w:b/>
          <w:bCs/>
          <w:sz w:val="22"/>
          <w:szCs w:val="22"/>
        </w:rPr>
      </w:pPr>
      <w:r>
        <w:rPr>
          <w:rFonts w:ascii="Arial" w:hAnsi="Arial" w:cs="Arial"/>
          <w:b/>
          <w:bCs/>
          <w:sz w:val="22"/>
          <w:szCs w:val="22"/>
        </w:rPr>
        <w:t xml:space="preserve">3.2 </w:t>
      </w:r>
      <w:r w:rsidR="0012795F" w:rsidRPr="0012795F">
        <w:rPr>
          <w:rFonts w:ascii="Arial" w:hAnsi="Arial" w:cs="Arial"/>
          <w:b/>
          <w:bCs/>
          <w:sz w:val="22"/>
          <w:szCs w:val="22"/>
        </w:rPr>
        <w:t>Data Analysis Approach</w:t>
      </w:r>
    </w:p>
    <w:p w14:paraId="49E64ADB" w14:textId="07EF5E7D" w:rsidR="0012795F" w:rsidRPr="0012795F" w:rsidRDefault="0012795F" w:rsidP="0012795F">
      <w:pPr>
        <w:spacing w:line="360" w:lineRule="auto"/>
        <w:jc w:val="both"/>
        <w:rPr>
          <w:rFonts w:ascii="Arial" w:hAnsi="Arial" w:cs="Arial"/>
          <w:sz w:val="22"/>
          <w:szCs w:val="22"/>
        </w:rPr>
      </w:pPr>
      <w:r w:rsidRPr="0012795F">
        <w:rPr>
          <w:rFonts w:ascii="Arial" w:hAnsi="Arial" w:cs="Arial"/>
          <w:sz w:val="22"/>
          <w:szCs w:val="22"/>
        </w:rPr>
        <w:t>Following data collection, the selected studies were systematically categorised and analysed. Key study characteristics, including author, year, setting, population, and main findings, were extracted using a standardised data charting form. This allowed the research</w:t>
      </w:r>
      <w:r w:rsidR="00FE19E8">
        <w:rPr>
          <w:rFonts w:ascii="Arial" w:hAnsi="Arial" w:cs="Arial"/>
          <w:sz w:val="22"/>
          <w:szCs w:val="22"/>
        </w:rPr>
        <w:t>er</w:t>
      </w:r>
      <w:r w:rsidRPr="0012795F">
        <w:rPr>
          <w:rFonts w:ascii="Arial" w:hAnsi="Arial" w:cs="Arial"/>
          <w:sz w:val="22"/>
          <w:szCs w:val="22"/>
        </w:rPr>
        <w:t xml:space="preserve"> to organise the studies consistently and identify recurring patterns across the literature (</w:t>
      </w:r>
      <w:r w:rsidR="00FE19E8" w:rsidRPr="00E30CAB">
        <w:t xml:space="preserve">Borges </w:t>
      </w:r>
      <w:proofErr w:type="spellStart"/>
      <w:r w:rsidR="00FE19E8" w:rsidRPr="00E30CAB">
        <w:t>Migliavaca</w:t>
      </w:r>
      <w:proofErr w:type="spellEnd"/>
      <w:r w:rsidR="00FE19E8">
        <w:t xml:space="preserve"> et al.</w:t>
      </w:r>
      <w:r w:rsidRPr="0012795F">
        <w:rPr>
          <w:rFonts w:ascii="Arial" w:hAnsi="Arial" w:cs="Arial"/>
          <w:sz w:val="22"/>
          <w:szCs w:val="22"/>
        </w:rPr>
        <w:t>, 20</w:t>
      </w:r>
      <w:r w:rsidR="00FE19E8">
        <w:rPr>
          <w:rFonts w:ascii="Arial" w:hAnsi="Arial" w:cs="Arial"/>
          <w:sz w:val="22"/>
          <w:szCs w:val="22"/>
        </w:rPr>
        <w:t>20</w:t>
      </w:r>
      <w:r w:rsidRPr="0012795F">
        <w:rPr>
          <w:rFonts w:ascii="Arial" w:hAnsi="Arial" w:cs="Arial"/>
          <w:sz w:val="22"/>
          <w:szCs w:val="22"/>
        </w:rPr>
        <w:t>).</w:t>
      </w:r>
    </w:p>
    <w:p w14:paraId="22D29E8F" w14:textId="4F507037" w:rsidR="0012795F" w:rsidRPr="0012795F" w:rsidRDefault="0012795F" w:rsidP="0012795F">
      <w:pPr>
        <w:spacing w:line="360" w:lineRule="auto"/>
        <w:jc w:val="both"/>
        <w:rPr>
          <w:rFonts w:ascii="Arial" w:hAnsi="Arial" w:cs="Arial"/>
          <w:sz w:val="22"/>
          <w:szCs w:val="22"/>
        </w:rPr>
      </w:pPr>
      <w:r w:rsidRPr="0012795F">
        <w:rPr>
          <w:rFonts w:ascii="Arial" w:hAnsi="Arial" w:cs="Arial"/>
          <w:sz w:val="22"/>
          <w:szCs w:val="22"/>
        </w:rPr>
        <w:t>Thematic analysis was employed to synthesise the findings from the included studies. Thematic analysis is a widely recognised method for identifying, analysing, and reporting patterns (themes) within qualitative data (</w:t>
      </w:r>
      <w:r w:rsidR="00FE19E8" w:rsidRPr="00E30CAB">
        <w:t>Byrne</w:t>
      </w:r>
      <w:r w:rsidRPr="0012795F">
        <w:rPr>
          <w:rFonts w:ascii="Arial" w:hAnsi="Arial" w:cs="Arial"/>
          <w:sz w:val="22"/>
          <w:szCs w:val="22"/>
        </w:rPr>
        <w:t>, 20</w:t>
      </w:r>
      <w:r w:rsidR="00FE19E8">
        <w:rPr>
          <w:rFonts w:ascii="Arial" w:hAnsi="Arial" w:cs="Arial"/>
          <w:sz w:val="22"/>
          <w:szCs w:val="22"/>
        </w:rPr>
        <w:t>22</w:t>
      </w:r>
      <w:r w:rsidRPr="0012795F">
        <w:rPr>
          <w:rFonts w:ascii="Arial" w:hAnsi="Arial" w:cs="Arial"/>
          <w:sz w:val="22"/>
          <w:szCs w:val="22"/>
        </w:rPr>
        <w:t xml:space="preserve">). It is particularly appropriate for scoping reviews because it allows researchers to explore similarities and differences in participants’ experiences across multiple studies and to highlight overarching themes related to patient satisfaction, access, and perceived barriers in same-day appointment systems. The process involved familiarisation with the data, generation of initial codes, searching for themes, reviewing themes, and defining and naming the final themes (Braun </w:t>
      </w:r>
      <w:r w:rsidR="00FE19E8">
        <w:rPr>
          <w:rFonts w:ascii="Arial" w:hAnsi="Arial" w:cs="Arial"/>
          <w:sz w:val="22"/>
          <w:szCs w:val="22"/>
        </w:rPr>
        <w:t>and</w:t>
      </w:r>
      <w:r w:rsidRPr="0012795F">
        <w:rPr>
          <w:rFonts w:ascii="Arial" w:hAnsi="Arial" w:cs="Arial"/>
          <w:sz w:val="22"/>
          <w:szCs w:val="22"/>
        </w:rPr>
        <w:t xml:space="preserve"> Clarke, 20</w:t>
      </w:r>
      <w:r w:rsidR="00FE19E8">
        <w:rPr>
          <w:rFonts w:ascii="Arial" w:hAnsi="Arial" w:cs="Arial"/>
          <w:sz w:val="22"/>
          <w:szCs w:val="22"/>
        </w:rPr>
        <w:t>22</w:t>
      </w:r>
      <w:r w:rsidRPr="0012795F">
        <w:rPr>
          <w:rFonts w:ascii="Arial" w:hAnsi="Arial" w:cs="Arial"/>
          <w:sz w:val="22"/>
          <w:szCs w:val="22"/>
        </w:rPr>
        <w:t xml:space="preserve">; </w:t>
      </w:r>
      <w:r w:rsidR="00FE19E8" w:rsidRPr="0012795F">
        <w:rPr>
          <w:rFonts w:ascii="Arial" w:hAnsi="Arial" w:cs="Arial"/>
          <w:sz w:val="22"/>
          <w:szCs w:val="22"/>
        </w:rPr>
        <w:t xml:space="preserve">Braun </w:t>
      </w:r>
      <w:r w:rsidR="00FE19E8">
        <w:rPr>
          <w:rFonts w:ascii="Arial" w:hAnsi="Arial" w:cs="Arial"/>
          <w:sz w:val="22"/>
          <w:szCs w:val="22"/>
        </w:rPr>
        <w:t>and</w:t>
      </w:r>
      <w:r w:rsidR="00FE19E8" w:rsidRPr="0012795F">
        <w:rPr>
          <w:rFonts w:ascii="Arial" w:hAnsi="Arial" w:cs="Arial"/>
          <w:sz w:val="22"/>
          <w:szCs w:val="22"/>
        </w:rPr>
        <w:t xml:space="preserve"> Clarke</w:t>
      </w:r>
      <w:r w:rsidRPr="0012795F">
        <w:rPr>
          <w:rFonts w:ascii="Arial" w:hAnsi="Arial" w:cs="Arial"/>
          <w:sz w:val="22"/>
          <w:szCs w:val="22"/>
        </w:rPr>
        <w:t>, 202</w:t>
      </w:r>
      <w:r w:rsidR="00FE19E8">
        <w:rPr>
          <w:rFonts w:ascii="Arial" w:hAnsi="Arial" w:cs="Arial"/>
          <w:sz w:val="22"/>
          <w:szCs w:val="22"/>
        </w:rPr>
        <w:t>4</w:t>
      </w:r>
      <w:r w:rsidRPr="0012795F">
        <w:rPr>
          <w:rFonts w:ascii="Arial" w:hAnsi="Arial" w:cs="Arial"/>
          <w:sz w:val="22"/>
          <w:szCs w:val="22"/>
        </w:rPr>
        <w:t>). Themes were then synthesised narratively to provide a comprehensive overview of the existing qualitative evidence.</w:t>
      </w:r>
    </w:p>
    <w:p w14:paraId="0519961D" w14:textId="190A2955" w:rsidR="0012795F" w:rsidRPr="0012795F" w:rsidRDefault="00AF61D3" w:rsidP="0012795F">
      <w:pPr>
        <w:spacing w:line="360" w:lineRule="auto"/>
        <w:jc w:val="both"/>
        <w:rPr>
          <w:rFonts w:ascii="Arial" w:hAnsi="Arial" w:cs="Arial"/>
          <w:b/>
          <w:bCs/>
          <w:sz w:val="22"/>
          <w:szCs w:val="22"/>
        </w:rPr>
      </w:pPr>
      <w:r>
        <w:rPr>
          <w:rFonts w:ascii="Arial" w:hAnsi="Arial" w:cs="Arial"/>
          <w:b/>
          <w:bCs/>
          <w:sz w:val="22"/>
          <w:szCs w:val="22"/>
        </w:rPr>
        <w:t xml:space="preserve">3.3 </w:t>
      </w:r>
      <w:r w:rsidR="0012795F" w:rsidRPr="0012795F">
        <w:rPr>
          <w:rFonts w:ascii="Arial" w:hAnsi="Arial" w:cs="Arial"/>
          <w:b/>
          <w:bCs/>
          <w:sz w:val="22"/>
          <w:szCs w:val="22"/>
        </w:rPr>
        <w:t>Ethical Considerations</w:t>
      </w:r>
    </w:p>
    <w:p w14:paraId="41A098EC" w14:textId="1834FE7D" w:rsidR="0012795F" w:rsidRPr="0012795F" w:rsidRDefault="0012795F" w:rsidP="0012795F">
      <w:pPr>
        <w:spacing w:line="360" w:lineRule="auto"/>
        <w:jc w:val="both"/>
        <w:rPr>
          <w:rFonts w:ascii="Arial" w:hAnsi="Arial" w:cs="Arial"/>
          <w:sz w:val="22"/>
          <w:szCs w:val="22"/>
        </w:rPr>
      </w:pPr>
      <w:r w:rsidRPr="0012795F">
        <w:rPr>
          <w:rFonts w:ascii="Arial" w:hAnsi="Arial" w:cs="Arial"/>
          <w:sz w:val="22"/>
          <w:szCs w:val="22"/>
        </w:rPr>
        <w:t xml:space="preserve">As this review involved secondary analysis of published studies, there was no direct involvement of human participants. However, ethical considerations remain important in terms </w:t>
      </w:r>
      <w:r w:rsidRPr="0012795F">
        <w:rPr>
          <w:rFonts w:ascii="Arial" w:hAnsi="Arial" w:cs="Arial"/>
          <w:sz w:val="22"/>
          <w:szCs w:val="22"/>
        </w:rPr>
        <w:lastRenderedPageBreak/>
        <w:t>of ensuring transparency, avoiding bias, and responsibly using existing data. Efforts were made to minimise selection bias by applying consistent inclusion and exclusion criteria and by using multiple databases for the search (Ha</w:t>
      </w:r>
      <w:r w:rsidR="00D9647C">
        <w:rPr>
          <w:rFonts w:ascii="Arial" w:hAnsi="Arial" w:cs="Arial"/>
          <w:sz w:val="22"/>
          <w:szCs w:val="22"/>
        </w:rPr>
        <w:t>san</w:t>
      </w:r>
      <w:r w:rsidRPr="0012795F">
        <w:rPr>
          <w:rFonts w:ascii="Arial" w:hAnsi="Arial" w:cs="Arial"/>
          <w:sz w:val="22"/>
          <w:szCs w:val="22"/>
        </w:rPr>
        <w:t xml:space="preserve"> et al., 20</w:t>
      </w:r>
      <w:r w:rsidR="00D9647C">
        <w:rPr>
          <w:rFonts w:ascii="Arial" w:hAnsi="Arial" w:cs="Arial"/>
          <w:sz w:val="22"/>
          <w:szCs w:val="22"/>
        </w:rPr>
        <w:t>21</w:t>
      </w:r>
      <w:r w:rsidRPr="0012795F">
        <w:rPr>
          <w:rFonts w:ascii="Arial" w:hAnsi="Arial" w:cs="Arial"/>
          <w:sz w:val="22"/>
          <w:szCs w:val="22"/>
        </w:rPr>
        <w:t>). The review followed best practice guidelines for conducting scoping reviews, including transparent reporting of methods and accurate representation of the findings from included studies (</w:t>
      </w:r>
      <w:r w:rsidR="00D9647C" w:rsidRPr="00C764AF">
        <w:t>Pietilä</w:t>
      </w:r>
      <w:r w:rsidRPr="0012795F">
        <w:rPr>
          <w:rFonts w:ascii="Arial" w:hAnsi="Arial" w:cs="Arial"/>
          <w:sz w:val="22"/>
          <w:szCs w:val="22"/>
        </w:rPr>
        <w:t xml:space="preserve"> et al., 20</w:t>
      </w:r>
      <w:r w:rsidR="00D9647C">
        <w:rPr>
          <w:rFonts w:ascii="Arial" w:hAnsi="Arial" w:cs="Arial"/>
          <w:sz w:val="22"/>
          <w:szCs w:val="22"/>
        </w:rPr>
        <w:t>19</w:t>
      </w:r>
      <w:r w:rsidRPr="0012795F">
        <w:rPr>
          <w:rFonts w:ascii="Arial" w:hAnsi="Arial" w:cs="Arial"/>
          <w:sz w:val="22"/>
          <w:szCs w:val="22"/>
        </w:rPr>
        <w:t>). All sources were appropriately cited to avoid plagiarism, and care was taken to present the data objectively, reflecting the original authors’ conclusions without misinterpretation.</w:t>
      </w:r>
    </w:p>
    <w:p w14:paraId="47E823B0" w14:textId="77777777" w:rsidR="0012795F" w:rsidRDefault="0012795F" w:rsidP="00C3010F">
      <w:pPr>
        <w:spacing w:line="360" w:lineRule="auto"/>
        <w:jc w:val="both"/>
        <w:rPr>
          <w:rFonts w:ascii="Arial" w:hAnsi="Arial" w:cs="Arial"/>
          <w:sz w:val="22"/>
          <w:szCs w:val="22"/>
        </w:rPr>
      </w:pPr>
    </w:p>
    <w:p w14:paraId="530F6A77" w14:textId="77777777" w:rsidR="00816CEF" w:rsidRDefault="00816CEF" w:rsidP="00C3010F">
      <w:pPr>
        <w:spacing w:line="360" w:lineRule="auto"/>
        <w:jc w:val="both"/>
        <w:rPr>
          <w:rFonts w:ascii="Arial" w:hAnsi="Arial" w:cs="Arial"/>
          <w:sz w:val="22"/>
          <w:szCs w:val="22"/>
        </w:rPr>
      </w:pPr>
    </w:p>
    <w:p w14:paraId="325D27C5" w14:textId="77777777" w:rsidR="00816CEF" w:rsidRDefault="00816CEF" w:rsidP="00C3010F">
      <w:pPr>
        <w:spacing w:line="360" w:lineRule="auto"/>
        <w:jc w:val="both"/>
        <w:rPr>
          <w:rFonts w:ascii="Arial" w:hAnsi="Arial" w:cs="Arial"/>
          <w:sz w:val="22"/>
          <w:szCs w:val="22"/>
        </w:rPr>
      </w:pPr>
    </w:p>
    <w:p w14:paraId="6E0E51C9" w14:textId="38EFF387" w:rsidR="00EA10AE" w:rsidRPr="008C2C6F" w:rsidRDefault="00816CEF" w:rsidP="008C2C6F">
      <w:pPr>
        <w:pStyle w:val="ListParagraph"/>
        <w:numPr>
          <w:ilvl w:val="0"/>
          <w:numId w:val="10"/>
        </w:numPr>
        <w:spacing w:line="360" w:lineRule="auto"/>
        <w:jc w:val="center"/>
        <w:rPr>
          <w:rFonts w:ascii="Arial" w:hAnsi="Arial" w:cs="Arial"/>
          <w:b/>
          <w:bCs/>
          <w:sz w:val="22"/>
          <w:szCs w:val="22"/>
        </w:rPr>
      </w:pPr>
      <w:r w:rsidRPr="00AF61D3">
        <w:rPr>
          <w:rFonts w:ascii="Arial" w:hAnsi="Arial" w:cs="Arial"/>
          <w:b/>
          <w:bCs/>
          <w:sz w:val="22"/>
          <w:szCs w:val="22"/>
        </w:rPr>
        <w:t>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6"/>
        <w:gridCol w:w="1811"/>
        <w:gridCol w:w="1774"/>
        <w:gridCol w:w="2364"/>
        <w:gridCol w:w="1891"/>
      </w:tblGrid>
      <w:tr w:rsidR="008C2C6F" w:rsidRPr="008C2C6F" w14:paraId="1C5B124D" w14:textId="77777777">
        <w:trPr>
          <w:tblHeader/>
          <w:tblCellSpacing w:w="15" w:type="dxa"/>
        </w:trPr>
        <w:tc>
          <w:tcPr>
            <w:tcW w:w="0" w:type="auto"/>
            <w:vAlign w:val="center"/>
            <w:hideMark/>
          </w:tcPr>
          <w:p w14:paraId="2EA0AB67" w14:textId="77777777" w:rsidR="008C2C6F" w:rsidRPr="008C2C6F" w:rsidRDefault="008C2C6F" w:rsidP="008C2C6F">
            <w:pPr>
              <w:spacing w:line="360" w:lineRule="auto"/>
              <w:jc w:val="both"/>
              <w:rPr>
                <w:rFonts w:ascii="Arial" w:hAnsi="Arial" w:cs="Arial"/>
                <w:b/>
                <w:bCs/>
                <w:sz w:val="22"/>
                <w:szCs w:val="22"/>
              </w:rPr>
            </w:pPr>
            <w:r w:rsidRPr="008C2C6F">
              <w:rPr>
                <w:rFonts w:ascii="Arial" w:hAnsi="Arial" w:cs="Arial"/>
                <w:b/>
                <w:bCs/>
                <w:sz w:val="22"/>
                <w:szCs w:val="22"/>
              </w:rPr>
              <w:t>Author(s), Year</w:t>
            </w:r>
          </w:p>
        </w:tc>
        <w:tc>
          <w:tcPr>
            <w:tcW w:w="0" w:type="auto"/>
            <w:vAlign w:val="center"/>
            <w:hideMark/>
          </w:tcPr>
          <w:p w14:paraId="64DC5453" w14:textId="77777777" w:rsidR="008C2C6F" w:rsidRPr="008C2C6F" w:rsidRDefault="008C2C6F" w:rsidP="008C2C6F">
            <w:pPr>
              <w:spacing w:line="360" w:lineRule="auto"/>
              <w:jc w:val="both"/>
              <w:rPr>
                <w:rFonts w:ascii="Arial" w:hAnsi="Arial" w:cs="Arial"/>
                <w:b/>
                <w:bCs/>
                <w:sz w:val="22"/>
                <w:szCs w:val="22"/>
              </w:rPr>
            </w:pPr>
            <w:r w:rsidRPr="008C2C6F">
              <w:rPr>
                <w:rFonts w:ascii="Arial" w:hAnsi="Arial" w:cs="Arial"/>
                <w:b/>
                <w:bCs/>
                <w:sz w:val="22"/>
                <w:szCs w:val="22"/>
              </w:rPr>
              <w:t>Research Objectives</w:t>
            </w:r>
          </w:p>
        </w:tc>
        <w:tc>
          <w:tcPr>
            <w:tcW w:w="0" w:type="auto"/>
            <w:vAlign w:val="center"/>
            <w:hideMark/>
          </w:tcPr>
          <w:p w14:paraId="739BE00C" w14:textId="77777777" w:rsidR="008C2C6F" w:rsidRPr="008C2C6F" w:rsidRDefault="008C2C6F" w:rsidP="008C2C6F">
            <w:pPr>
              <w:spacing w:line="360" w:lineRule="auto"/>
              <w:jc w:val="both"/>
              <w:rPr>
                <w:rFonts w:ascii="Arial" w:hAnsi="Arial" w:cs="Arial"/>
                <w:b/>
                <w:bCs/>
                <w:sz w:val="22"/>
                <w:szCs w:val="22"/>
              </w:rPr>
            </w:pPr>
            <w:r w:rsidRPr="008C2C6F">
              <w:rPr>
                <w:rFonts w:ascii="Arial" w:hAnsi="Arial" w:cs="Arial"/>
                <w:b/>
                <w:bCs/>
                <w:sz w:val="22"/>
                <w:szCs w:val="22"/>
              </w:rPr>
              <w:t>Methods</w:t>
            </w:r>
          </w:p>
        </w:tc>
        <w:tc>
          <w:tcPr>
            <w:tcW w:w="0" w:type="auto"/>
            <w:vAlign w:val="center"/>
            <w:hideMark/>
          </w:tcPr>
          <w:p w14:paraId="3DEF1BC7" w14:textId="77777777" w:rsidR="008C2C6F" w:rsidRPr="008C2C6F" w:rsidRDefault="008C2C6F" w:rsidP="008C2C6F">
            <w:pPr>
              <w:spacing w:line="360" w:lineRule="auto"/>
              <w:jc w:val="both"/>
              <w:rPr>
                <w:rFonts w:ascii="Arial" w:hAnsi="Arial" w:cs="Arial"/>
                <w:b/>
                <w:bCs/>
                <w:sz w:val="22"/>
                <w:szCs w:val="22"/>
              </w:rPr>
            </w:pPr>
            <w:r w:rsidRPr="008C2C6F">
              <w:rPr>
                <w:rFonts w:ascii="Arial" w:hAnsi="Arial" w:cs="Arial"/>
                <w:b/>
                <w:bCs/>
                <w:sz w:val="22"/>
                <w:szCs w:val="22"/>
              </w:rPr>
              <w:t>Key Findings</w:t>
            </w:r>
          </w:p>
        </w:tc>
        <w:tc>
          <w:tcPr>
            <w:tcW w:w="0" w:type="auto"/>
            <w:vAlign w:val="center"/>
            <w:hideMark/>
          </w:tcPr>
          <w:p w14:paraId="19097F08" w14:textId="77777777" w:rsidR="008C2C6F" w:rsidRPr="008C2C6F" w:rsidRDefault="008C2C6F" w:rsidP="008C2C6F">
            <w:pPr>
              <w:spacing w:line="360" w:lineRule="auto"/>
              <w:jc w:val="both"/>
              <w:rPr>
                <w:rFonts w:ascii="Arial" w:hAnsi="Arial" w:cs="Arial"/>
                <w:b/>
                <w:bCs/>
                <w:sz w:val="22"/>
                <w:szCs w:val="22"/>
              </w:rPr>
            </w:pPr>
            <w:r w:rsidRPr="008C2C6F">
              <w:rPr>
                <w:rFonts w:ascii="Arial" w:hAnsi="Arial" w:cs="Arial"/>
                <w:b/>
                <w:bCs/>
                <w:sz w:val="22"/>
                <w:szCs w:val="22"/>
              </w:rPr>
              <w:t>Relevance to Review Question</w:t>
            </w:r>
          </w:p>
        </w:tc>
      </w:tr>
      <w:tr w:rsidR="008C2C6F" w:rsidRPr="008C2C6F" w14:paraId="052C4F17" w14:textId="77777777">
        <w:trPr>
          <w:tblCellSpacing w:w="15" w:type="dxa"/>
        </w:trPr>
        <w:tc>
          <w:tcPr>
            <w:tcW w:w="0" w:type="auto"/>
            <w:vAlign w:val="center"/>
            <w:hideMark/>
          </w:tcPr>
          <w:p w14:paraId="6CD9D6E2"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Atherton et al., 2024</w:t>
            </w:r>
          </w:p>
        </w:tc>
        <w:tc>
          <w:tcPr>
            <w:tcW w:w="0" w:type="auto"/>
            <w:vAlign w:val="center"/>
            <w:hideMark/>
          </w:tcPr>
          <w:p w14:paraId="7C157DCE"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Explore patient experiences of booking same-day appointments in UK primary care</w:t>
            </w:r>
          </w:p>
        </w:tc>
        <w:tc>
          <w:tcPr>
            <w:tcW w:w="0" w:type="auto"/>
            <w:vAlign w:val="center"/>
            <w:hideMark/>
          </w:tcPr>
          <w:p w14:paraId="5F8842A4"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Qualitative interviews with 45 patients across multiple GP practices</w:t>
            </w:r>
          </w:p>
        </w:tc>
        <w:tc>
          <w:tcPr>
            <w:tcW w:w="0" w:type="auto"/>
            <w:vAlign w:val="center"/>
            <w:hideMark/>
          </w:tcPr>
          <w:p w14:paraId="097182B2"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Patients reported difficulties navigating telephone booking systems; some waited hours before appointments became available</w:t>
            </w:r>
          </w:p>
        </w:tc>
        <w:tc>
          <w:tcPr>
            <w:tcW w:w="0" w:type="auto"/>
            <w:vAlign w:val="center"/>
            <w:hideMark/>
          </w:tcPr>
          <w:p w14:paraId="62AF9677"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Highlights barriers affecting patient satisfaction and access</w:t>
            </w:r>
          </w:p>
        </w:tc>
      </w:tr>
      <w:tr w:rsidR="008C2C6F" w:rsidRPr="008C2C6F" w14:paraId="1AE8D521" w14:textId="77777777">
        <w:trPr>
          <w:tblCellSpacing w:w="15" w:type="dxa"/>
        </w:trPr>
        <w:tc>
          <w:tcPr>
            <w:tcW w:w="0" w:type="auto"/>
            <w:vAlign w:val="center"/>
            <w:hideMark/>
          </w:tcPr>
          <w:p w14:paraId="0FE2E280"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Goulding et al., 2024</w:t>
            </w:r>
          </w:p>
        </w:tc>
        <w:tc>
          <w:tcPr>
            <w:tcW w:w="0" w:type="auto"/>
            <w:vAlign w:val="center"/>
            <w:hideMark/>
          </w:tcPr>
          <w:p w14:paraId="0E18045F"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Examine perceptions of same-day appointment accessibility in urban and rural settings</w:t>
            </w:r>
          </w:p>
        </w:tc>
        <w:tc>
          <w:tcPr>
            <w:tcW w:w="0" w:type="auto"/>
            <w:vAlign w:val="center"/>
            <w:hideMark/>
          </w:tcPr>
          <w:p w14:paraId="4A6C6902"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Focus groups with 36 patients</w:t>
            </w:r>
          </w:p>
        </w:tc>
        <w:tc>
          <w:tcPr>
            <w:tcW w:w="0" w:type="auto"/>
            <w:vAlign w:val="center"/>
            <w:hideMark/>
          </w:tcPr>
          <w:p w14:paraId="3C0549EB"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Rural patients experienced longer waits; digital booking tools were underutilised among older adults</w:t>
            </w:r>
          </w:p>
        </w:tc>
        <w:tc>
          <w:tcPr>
            <w:tcW w:w="0" w:type="auto"/>
            <w:vAlign w:val="center"/>
            <w:hideMark/>
          </w:tcPr>
          <w:p w14:paraId="31F18E32"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Shows inequities in access and challenges in digital adoption</w:t>
            </w:r>
          </w:p>
        </w:tc>
      </w:tr>
      <w:tr w:rsidR="008C2C6F" w:rsidRPr="008C2C6F" w14:paraId="684DAB90" w14:textId="77777777">
        <w:trPr>
          <w:tblCellSpacing w:w="15" w:type="dxa"/>
        </w:trPr>
        <w:tc>
          <w:tcPr>
            <w:tcW w:w="0" w:type="auto"/>
            <w:vAlign w:val="center"/>
            <w:hideMark/>
          </w:tcPr>
          <w:p w14:paraId="714518F8"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Parsons et al., 2025</w:t>
            </w:r>
          </w:p>
        </w:tc>
        <w:tc>
          <w:tcPr>
            <w:tcW w:w="0" w:type="auto"/>
            <w:vAlign w:val="center"/>
            <w:hideMark/>
          </w:tcPr>
          <w:p w14:paraId="02DBD4F6"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Investigate patient satisfaction with same-day consultations</w:t>
            </w:r>
          </w:p>
        </w:tc>
        <w:tc>
          <w:tcPr>
            <w:tcW w:w="0" w:type="auto"/>
            <w:vAlign w:val="center"/>
            <w:hideMark/>
          </w:tcPr>
          <w:p w14:paraId="4685A660"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Semi-structured interviews with 50 patients</w:t>
            </w:r>
          </w:p>
        </w:tc>
        <w:tc>
          <w:tcPr>
            <w:tcW w:w="0" w:type="auto"/>
            <w:vAlign w:val="center"/>
            <w:hideMark/>
          </w:tcPr>
          <w:p w14:paraId="104C95E2"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Satisfaction was influenced by clarity of communication and perceived responsiveness of staff</w:t>
            </w:r>
          </w:p>
        </w:tc>
        <w:tc>
          <w:tcPr>
            <w:tcW w:w="0" w:type="auto"/>
            <w:vAlign w:val="center"/>
            <w:hideMark/>
          </w:tcPr>
          <w:p w14:paraId="651EC3E2"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Provides insight into factors shaping patient satisfaction and experience</w:t>
            </w:r>
          </w:p>
        </w:tc>
      </w:tr>
      <w:tr w:rsidR="008C2C6F" w:rsidRPr="008C2C6F" w14:paraId="57B868A7" w14:textId="77777777">
        <w:trPr>
          <w:tblCellSpacing w:w="15" w:type="dxa"/>
        </w:trPr>
        <w:tc>
          <w:tcPr>
            <w:tcW w:w="0" w:type="auto"/>
            <w:vAlign w:val="center"/>
            <w:hideMark/>
          </w:tcPr>
          <w:p w14:paraId="06BB93D3" w14:textId="0C4317D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Salisbury et al., 20</w:t>
            </w:r>
            <w:r w:rsidR="00D9647C">
              <w:rPr>
                <w:rFonts w:ascii="Arial" w:hAnsi="Arial" w:cs="Arial"/>
                <w:sz w:val="22"/>
                <w:szCs w:val="22"/>
              </w:rPr>
              <w:t>20</w:t>
            </w:r>
          </w:p>
        </w:tc>
        <w:tc>
          <w:tcPr>
            <w:tcW w:w="0" w:type="auto"/>
            <w:vAlign w:val="center"/>
            <w:hideMark/>
          </w:tcPr>
          <w:p w14:paraId="6522B754"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Explore patient views of telephone-first consultation systems in UK general practice</w:t>
            </w:r>
          </w:p>
        </w:tc>
        <w:tc>
          <w:tcPr>
            <w:tcW w:w="0" w:type="auto"/>
            <w:vAlign w:val="center"/>
            <w:hideMark/>
          </w:tcPr>
          <w:p w14:paraId="7FDFFBC3"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Qualitative interviews with patients using telephone triage systems</w:t>
            </w:r>
          </w:p>
        </w:tc>
        <w:tc>
          <w:tcPr>
            <w:tcW w:w="0" w:type="auto"/>
            <w:vAlign w:val="center"/>
            <w:hideMark/>
          </w:tcPr>
          <w:p w14:paraId="4ECA5768"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Some patients valued rapid contact with a GP, but others reported confusion about the process and concerns about reduced face-to-face interaction</w:t>
            </w:r>
          </w:p>
        </w:tc>
        <w:tc>
          <w:tcPr>
            <w:tcW w:w="0" w:type="auto"/>
            <w:vAlign w:val="center"/>
            <w:hideMark/>
          </w:tcPr>
          <w:p w14:paraId="43881C74"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Demonstrates how triage systems influence patient perceptions of access and satisfaction</w:t>
            </w:r>
          </w:p>
        </w:tc>
      </w:tr>
      <w:tr w:rsidR="008C2C6F" w:rsidRPr="008C2C6F" w14:paraId="6E72E125" w14:textId="77777777">
        <w:trPr>
          <w:tblCellSpacing w:w="15" w:type="dxa"/>
        </w:trPr>
        <w:tc>
          <w:tcPr>
            <w:tcW w:w="0" w:type="auto"/>
            <w:vAlign w:val="center"/>
            <w:hideMark/>
          </w:tcPr>
          <w:p w14:paraId="5893B8B1" w14:textId="2222D1D8"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lastRenderedPageBreak/>
              <w:t xml:space="preserve">Baird </w:t>
            </w:r>
            <w:r w:rsidR="006B1836">
              <w:rPr>
                <w:rFonts w:ascii="Arial" w:hAnsi="Arial" w:cs="Arial"/>
                <w:sz w:val="22"/>
                <w:szCs w:val="22"/>
              </w:rPr>
              <w:t>et al.</w:t>
            </w:r>
            <w:r w:rsidRPr="008C2C6F">
              <w:rPr>
                <w:rFonts w:ascii="Arial" w:hAnsi="Arial" w:cs="Arial"/>
                <w:sz w:val="22"/>
                <w:szCs w:val="22"/>
              </w:rPr>
              <w:t>, 2021</w:t>
            </w:r>
          </w:p>
        </w:tc>
        <w:tc>
          <w:tcPr>
            <w:tcW w:w="0" w:type="auto"/>
            <w:vAlign w:val="center"/>
            <w:hideMark/>
          </w:tcPr>
          <w:p w14:paraId="362138F7"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Investigate patient experiences of digital and remote access to primary care services</w:t>
            </w:r>
          </w:p>
        </w:tc>
        <w:tc>
          <w:tcPr>
            <w:tcW w:w="0" w:type="auto"/>
            <w:vAlign w:val="center"/>
            <w:hideMark/>
          </w:tcPr>
          <w:p w14:paraId="33932D54"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Mixed methods study including patient interviews and survey data</w:t>
            </w:r>
          </w:p>
        </w:tc>
        <w:tc>
          <w:tcPr>
            <w:tcW w:w="0" w:type="auto"/>
            <w:vAlign w:val="center"/>
            <w:hideMark/>
          </w:tcPr>
          <w:p w14:paraId="303EC1F0"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Digital consultation systems improved convenience for some patients but created barriers for those with limited digital literacy or internet access</w:t>
            </w:r>
          </w:p>
        </w:tc>
        <w:tc>
          <w:tcPr>
            <w:tcW w:w="0" w:type="auto"/>
            <w:vAlign w:val="center"/>
            <w:hideMark/>
          </w:tcPr>
          <w:p w14:paraId="72A2E688"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Highlights digital inequalities affecting access to same-day and urgent appointments</w:t>
            </w:r>
          </w:p>
        </w:tc>
      </w:tr>
      <w:tr w:rsidR="006B1836" w:rsidRPr="008C2C6F" w14:paraId="70928DB8" w14:textId="77777777">
        <w:trPr>
          <w:tblCellSpacing w:w="15" w:type="dxa"/>
        </w:trPr>
        <w:tc>
          <w:tcPr>
            <w:tcW w:w="0" w:type="auto"/>
            <w:vAlign w:val="center"/>
            <w:hideMark/>
          </w:tcPr>
          <w:p w14:paraId="48343E74"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Slater et al., 2021</w:t>
            </w:r>
          </w:p>
        </w:tc>
        <w:tc>
          <w:tcPr>
            <w:tcW w:w="0" w:type="auto"/>
            <w:vAlign w:val="center"/>
            <w:hideMark/>
          </w:tcPr>
          <w:p w14:paraId="174CC548"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Evaluate the impact of revised appointment scheduling systems in UK primary care</w:t>
            </w:r>
          </w:p>
        </w:tc>
        <w:tc>
          <w:tcPr>
            <w:tcW w:w="0" w:type="auto"/>
            <w:vAlign w:val="center"/>
            <w:hideMark/>
          </w:tcPr>
          <w:p w14:paraId="77390629"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Mixed methods study including ethnographic observation and semi-structured interviews</w:t>
            </w:r>
          </w:p>
        </w:tc>
        <w:tc>
          <w:tcPr>
            <w:tcW w:w="0" w:type="auto"/>
            <w:vAlign w:val="center"/>
            <w:hideMark/>
          </w:tcPr>
          <w:p w14:paraId="61AE5D23"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Increasing appointment flexibility improved practice capacity, but patients still reported challenges understanding booking systems</w:t>
            </w:r>
          </w:p>
        </w:tc>
        <w:tc>
          <w:tcPr>
            <w:tcW w:w="0" w:type="auto"/>
            <w:vAlign w:val="center"/>
            <w:hideMark/>
          </w:tcPr>
          <w:p w14:paraId="7937E67F" w14:textId="77777777" w:rsidR="008C2C6F" w:rsidRPr="008C2C6F" w:rsidRDefault="008C2C6F" w:rsidP="008C2C6F">
            <w:pPr>
              <w:spacing w:line="240" w:lineRule="auto"/>
              <w:jc w:val="both"/>
              <w:rPr>
                <w:rFonts w:ascii="Arial" w:hAnsi="Arial" w:cs="Arial"/>
                <w:sz w:val="22"/>
                <w:szCs w:val="22"/>
              </w:rPr>
            </w:pPr>
            <w:r w:rsidRPr="008C2C6F">
              <w:rPr>
                <w:rFonts w:ascii="Arial" w:hAnsi="Arial" w:cs="Arial"/>
                <w:sz w:val="22"/>
                <w:szCs w:val="22"/>
              </w:rPr>
              <w:t>Provides insight into organisational factors shaping patient access to appointments</w:t>
            </w:r>
          </w:p>
        </w:tc>
      </w:tr>
    </w:tbl>
    <w:p w14:paraId="4B5ECC2F" w14:textId="548D6566" w:rsidR="008C2C6F" w:rsidRPr="006B1836" w:rsidRDefault="00816CEF" w:rsidP="00816CEF">
      <w:pPr>
        <w:spacing w:line="360" w:lineRule="auto"/>
        <w:jc w:val="both"/>
        <w:rPr>
          <w:rFonts w:ascii="Arial" w:hAnsi="Arial" w:cs="Arial"/>
          <w:sz w:val="22"/>
          <w:szCs w:val="22"/>
        </w:rPr>
      </w:pPr>
      <w:r>
        <w:rPr>
          <w:rFonts w:ascii="Arial" w:hAnsi="Arial" w:cs="Arial"/>
          <w:sz w:val="22"/>
          <w:szCs w:val="22"/>
        </w:rPr>
        <w:t>Author’s construct (2026)</w:t>
      </w:r>
    </w:p>
    <w:p w14:paraId="23E91F67" w14:textId="7A0921B3" w:rsidR="00816CEF" w:rsidRPr="00816CEF" w:rsidRDefault="00AF61D3" w:rsidP="00816CEF">
      <w:pPr>
        <w:spacing w:line="360" w:lineRule="auto"/>
        <w:jc w:val="both"/>
        <w:rPr>
          <w:rFonts w:ascii="Arial" w:hAnsi="Arial" w:cs="Arial"/>
          <w:b/>
          <w:bCs/>
          <w:sz w:val="22"/>
          <w:szCs w:val="22"/>
        </w:rPr>
      </w:pPr>
      <w:r>
        <w:rPr>
          <w:rFonts w:ascii="Arial" w:hAnsi="Arial" w:cs="Arial"/>
          <w:b/>
          <w:bCs/>
          <w:sz w:val="22"/>
          <w:szCs w:val="22"/>
        </w:rPr>
        <w:t xml:space="preserve">4.1 </w:t>
      </w:r>
      <w:r w:rsidR="00816CEF" w:rsidRPr="00816CEF">
        <w:rPr>
          <w:rFonts w:ascii="Arial" w:hAnsi="Arial" w:cs="Arial"/>
          <w:b/>
          <w:bCs/>
          <w:sz w:val="22"/>
          <w:szCs w:val="22"/>
        </w:rPr>
        <w:t>Thematic Analysis</w:t>
      </w:r>
    </w:p>
    <w:p w14:paraId="4166782D" w14:textId="77777777" w:rsidR="00816CEF" w:rsidRPr="00816CEF" w:rsidRDefault="00816CEF" w:rsidP="00816CEF">
      <w:pPr>
        <w:spacing w:line="360" w:lineRule="auto"/>
        <w:jc w:val="both"/>
        <w:rPr>
          <w:rFonts w:ascii="Arial" w:hAnsi="Arial" w:cs="Arial"/>
          <w:b/>
          <w:bCs/>
          <w:sz w:val="22"/>
          <w:szCs w:val="22"/>
        </w:rPr>
      </w:pPr>
      <w:r w:rsidRPr="00816CEF">
        <w:rPr>
          <w:rFonts w:ascii="Arial" w:hAnsi="Arial" w:cs="Arial"/>
          <w:b/>
          <w:bCs/>
          <w:sz w:val="22"/>
          <w:szCs w:val="22"/>
        </w:rPr>
        <w:t>Theme 1: Accessibility and Barriers to Same-Day Appointments</w:t>
      </w:r>
    </w:p>
    <w:p w14:paraId="131D3450" w14:textId="77777777" w:rsidR="00816CEF" w:rsidRPr="00816CEF" w:rsidRDefault="00816CEF" w:rsidP="00816CEF">
      <w:pPr>
        <w:spacing w:line="360" w:lineRule="auto"/>
        <w:jc w:val="both"/>
        <w:rPr>
          <w:rFonts w:ascii="Arial" w:hAnsi="Arial" w:cs="Arial"/>
          <w:sz w:val="22"/>
          <w:szCs w:val="22"/>
        </w:rPr>
      </w:pPr>
      <w:r w:rsidRPr="00816CEF">
        <w:rPr>
          <w:rFonts w:ascii="Arial" w:hAnsi="Arial" w:cs="Arial"/>
          <w:sz w:val="22"/>
          <w:szCs w:val="22"/>
        </w:rPr>
        <w:t>Patients consistently reported difficulties in accessing same-day appointments due to limitations in booking systems and appointment availability. Atherton et al. (2024) found that telephone-based booking often required patients to call at specific times, creating a “first-come, first-served” barrier that disadvantaged those with work or caring responsibilities. Similarly, Goulding et al. (2024) highlighted geographic disparities, with rural patients facing longer waits for urgent consultations and fewer same-day slots compared to urban patients. These findings reveal a recurring pattern where administrative and systemic factors hinder timely access to care, despite policy intentions to improve responsiveness (Parsons et al., 2025).</w:t>
      </w:r>
    </w:p>
    <w:p w14:paraId="626C8BFF" w14:textId="77777777" w:rsidR="00816CEF" w:rsidRPr="00816CEF" w:rsidRDefault="00816CEF" w:rsidP="00816CEF">
      <w:pPr>
        <w:spacing w:line="360" w:lineRule="auto"/>
        <w:jc w:val="both"/>
        <w:rPr>
          <w:rFonts w:ascii="Arial" w:hAnsi="Arial" w:cs="Arial"/>
          <w:b/>
          <w:bCs/>
          <w:sz w:val="22"/>
          <w:szCs w:val="22"/>
        </w:rPr>
      </w:pPr>
      <w:r w:rsidRPr="00816CEF">
        <w:rPr>
          <w:rFonts w:ascii="Arial" w:hAnsi="Arial" w:cs="Arial"/>
          <w:b/>
          <w:bCs/>
          <w:sz w:val="22"/>
          <w:szCs w:val="22"/>
        </w:rPr>
        <w:t>Theme 2: Patient Satisfaction and Communication Experiences</w:t>
      </w:r>
    </w:p>
    <w:p w14:paraId="7943928B" w14:textId="77777777" w:rsidR="00816CEF" w:rsidRPr="00816CEF" w:rsidRDefault="00816CEF" w:rsidP="00816CEF">
      <w:pPr>
        <w:spacing w:line="360" w:lineRule="auto"/>
        <w:jc w:val="both"/>
        <w:rPr>
          <w:rFonts w:ascii="Arial" w:hAnsi="Arial" w:cs="Arial"/>
          <w:sz w:val="22"/>
          <w:szCs w:val="22"/>
        </w:rPr>
      </w:pPr>
      <w:r w:rsidRPr="00816CEF">
        <w:rPr>
          <w:rFonts w:ascii="Arial" w:hAnsi="Arial" w:cs="Arial"/>
          <w:sz w:val="22"/>
          <w:szCs w:val="22"/>
        </w:rPr>
        <w:t xml:space="preserve">Patient satisfaction was closely linked to perceptions of staff responsiveness and quality of communication. Parsons et al. (2025) reported that patients who felt well-informed about appointment procedures and had supportive interactions with reception staff reported higher satisfaction levels. Conversely, miscommunication or lack of guidance exacerbated frustration, particularly among patients experiencing acute health concerns. Atherton et al. (2024) also observed that delays in receiving same-day appointments negatively influenced patient confidence in primary care services. Together, these studies indicate that communication and </w:t>
      </w:r>
      <w:r w:rsidRPr="00816CEF">
        <w:rPr>
          <w:rFonts w:ascii="Arial" w:hAnsi="Arial" w:cs="Arial"/>
          <w:sz w:val="22"/>
          <w:szCs w:val="22"/>
        </w:rPr>
        <w:lastRenderedPageBreak/>
        <w:t>perceived attentiveness are critical determinants of patient satisfaction in same-day appointment systems.</w:t>
      </w:r>
    </w:p>
    <w:p w14:paraId="3059E7B1" w14:textId="77777777" w:rsidR="00816CEF" w:rsidRPr="00816CEF" w:rsidRDefault="00816CEF" w:rsidP="00816CEF">
      <w:pPr>
        <w:spacing w:line="360" w:lineRule="auto"/>
        <w:jc w:val="both"/>
        <w:rPr>
          <w:rFonts w:ascii="Arial" w:hAnsi="Arial" w:cs="Arial"/>
          <w:b/>
          <w:bCs/>
          <w:sz w:val="22"/>
          <w:szCs w:val="22"/>
        </w:rPr>
      </w:pPr>
      <w:r w:rsidRPr="00816CEF">
        <w:rPr>
          <w:rFonts w:ascii="Arial" w:hAnsi="Arial" w:cs="Arial"/>
          <w:b/>
          <w:bCs/>
          <w:sz w:val="22"/>
          <w:szCs w:val="22"/>
        </w:rPr>
        <w:t>Theme 3: Equity and Digital/Administrative Challenges</w:t>
      </w:r>
    </w:p>
    <w:p w14:paraId="7D60112A" w14:textId="455B2CCD" w:rsidR="00816CEF" w:rsidRPr="00816CEF" w:rsidRDefault="00816CEF" w:rsidP="00816CEF">
      <w:pPr>
        <w:spacing w:line="360" w:lineRule="auto"/>
        <w:jc w:val="both"/>
        <w:rPr>
          <w:rFonts w:ascii="Arial" w:hAnsi="Arial" w:cs="Arial"/>
          <w:sz w:val="22"/>
          <w:szCs w:val="22"/>
        </w:rPr>
      </w:pPr>
      <w:r w:rsidRPr="00816CEF">
        <w:rPr>
          <w:rFonts w:ascii="Arial" w:hAnsi="Arial" w:cs="Arial"/>
          <w:sz w:val="22"/>
          <w:szCs w:val="22"/>
        </w:rPr>
        <w:t>Differences in patient experience were apparent based on age, digital literacy, and socio-economic factors. Goulding et al. (2024) found that older adults were less likely to use online booking systems, resulting in reliance on telephone lines that were frequently busy. Patients with lower digital literacy or limited access to technology faced additional barriers, reflecting inequities in service delivery. Moreover, Atherton et al. (2024) highlighted administrative inconsistencies across practices, with some patients experiencing more efficient triage than others. These findings underline the need to consider equity and digital accessibility when designing same-day appointment systems.</w:t>
      </w:r>
    </w:p>
    <w:p w14:paraId="58DE6864" w14:textId="77777777" w:rsidR="00816CEF" w:rsidRPr="00816CEF" w:rsidRDefault="00816CEF" w:rsidP="00816CEF">
      <w:pPr>
        <w:spacing w:line="360" w:lineRule="auto"/>
        <w:jc w:val="both"/>
        <w:rPr>
          <w:rFonts w:ascii="Arial" w:hAnsi="Arial" w:cs="Arial"/>
          <w:sz w:val="22"/>
          <w:szCs w:val="22"/>
        </w:rPr>
      </w:pPr>
      <w:r w:rsidRPr="00816CEF">
        <w:rPr>
          <w:rFonts w:ascii="Arial" w:hAnsi="Arial" w:cs="Arial"/>
          <w:sz w:val="22"/>
          <w:szCs w:val="22"/>
        </w:rPr>
        <w:t>The thematic analysis reveals three key patterns: first, accessibility barriers remain a significant challenge, influenced by booking systems, geography, and appointment availability. Second, patient satisfaction is strongly shaped by communication and perceived responsiveness of staff. Third, inequities in access and digital capability exacerbate disparities in patient experiences. Collectively, these findings demonstrate that, while same-day appointments are intended to enhance responsiveness, there are persistent structural and operational issues that affect patient satisfaction and highlight gaps in service delivery.</w:t>
      </w:r>
    </w:p>
    <w:p w14:paraId="6F93359E" w14:textId="77777777" w:rsidR="00816CEF" w:rsidRDefault="00816CEF" w:rsidP="00C3010F">
      <w:pPr>
        <w:spacing w:line="360" w:lineRule="auto"/>
        <w:jc w:val="both"/>
        <w:rPr>
          <w:rFonts w:ascii="Arial" w:hAnsi="Arial" w:cs="Arial"/>
          <w:sz w:val="22"/>
          <w:szCs w:val="22"/>
        </w:rPr>
      </w:pPr>
    </w:p>
    <w:p w14:paraId="7878AFA3" w14:textId="77777777" w:rsidR="00667896" w:rsidRDefault="00667896" w:rsidP="00C3010F">
      <w:pPr>
        <w:spacing w:line="360" w:lineRule="auto"/>
        <w:jc w:val="both"/>
        <w:rPr>
          <w:rFonts w:ascii="Arial" w:hAnsi="Arial" w:cs="Arial"/>
          <w:sz w:val="22"/>
          <w:szCs w:val="22"/>
        </w:rPr>
      </w:pPr>
    </w:p>
    <w:p w14:paraId="481CABEE" w14:textId="77777777" w:rsidR="00667896" w:rsidRDefault="00667896" w:rsidP="00C3010F">
      <w:pPr>
        <w:spacing w:line="360" w:lineRule="auto"/>
        <w:jc w:val="both"/>
        <w:rPr>
          <w:rFonts w:ascii="Arial" w:hAnsi="Arial" w:cs="Arial"/>
          <w:sz w:val="22"/>
          <w:szCs w:val="22"/>
        </w:rPr>
      </w:pPr>
    </w:p>
    <w:p w14:paraId="0C343C9B" w14:textId="77777777" w:rsidR="00667896" w:rsidRDefault="00667896" w:rsidP="00C3010F">
      <w:pPr>
        <w:spacing w:line="360" w:lineRule="auto"/>
        <w:jc w:val="both"/>
        <w:rPr>
          <w:rFonts w:ascii="Arial" w:hAnsi="Arial" w:cs="Arial"/>
          <w:sz w:val="22"/>
          <w:szCs w:val="22"/>
        </w:rPr>
      </w:pPr>
    </w:p>
    <w:p w14:paraId="3733747E" w14:textId="77777777" w:rsidR="00667896" w:rsidRDefault="00667896" w:rsidP="00C3010F">
      <w:pPr>
        <w:spacing w:line="360" w:lineRule="auto"/>
        <w:jc w:val="both"/>
        <w:rPr>
          <w:rFonts w:ascii="Arial" w:hAnsi="Arial" w:cs="Arial"/>
          <w:sz w:val="22"/>
          <w:szCs w:val="22"/>
        </w:rPr>
      </w:pPr>
    </w:p>
    <w:p w14:paraId="09BF8F7F" w14:textId="77777777" w:rsidR="00667896" w:rsidRDefault="00667896" w:rsidP="00C3010F">
      <w:pPr>
        <w:spacing w:line="360" w:lineRule="auto"/>
        <w:jc w:val="both"/>
        <w:rPr>
          <w:rFonts w:ascii="Arial" w:hAnsi="Arial" w:cs="Arial"/>
          <w:sz w:val="22"/>
          <w:szCs w:val="22"/>
        </w:rPr>
      </w:pPr>
    </w:p>
    <w:p w14:paraId="72D752A4" w14:textId="77777777" w:rsidR="00667896" w:rsidRDefault="00667896" w:rsidP="00C3010F">
      <w:pPr>
        <w:spacing w:line="360" w:lineRule="auto"/>
        <w:jc w:val="both"/>
        <w:rPr>
          <w:rFonts w:ascii="Arial" w:hAnsi="Arial" w:cs="Arial"/>
          <w:sz w:val="22"/>
          <w:szCs w:val="22"/>
        </w:rPr>
      </w:pPr>
    </w:p>
    <w:p w14:paraId="5A6248D1" w14:textId="77777777" w:rsidR="00667896" w:rsidRDefault="00667896" w:rsidP="00C3010F">
      <w:pPr>
        <w:spacing w:line="360" w:lineRule="auto"/>
        <w:jc w:val="both"/>
        <w:rPr>
          <w:rFonts w:ascii="Arial" w:hAnsi="Arial" w:cs="Arial"/>
          <w:sz w:val="22"/>
          <w:szCs w:val="22"/>
        </w:rPr>
      </w:pPr>
    </w:p>
    <w:p w14:paraId="475A72D5" w14:textId="77777777" w:rsidR="00667896" w:rsidRDefault="00667896" w:rsidP="00C3010F">
      <w:pPr>
        <w:spacing w:line="360" w:lineRule="auto"/>
        <w:jc w:val="both"/>
        <w:rPr>
          <w:rFonts w:ascii="Arial" w:hAnsi="Arial" w:cs="Arial"/>
          <w:sz w:val="22"/>
          <w:szCs w:val="22"/>
        </w:rPr>
      </w:pPr>
    </w:p>
    <w:p w14:paraId="432F23F9" w14:textId="77777777" w:rsidR="008C2C6F" w:rsidRDefault="008C2C6F" w:rsidP="00C3010F">
      <w:pPr>
        <w:spacing w:line="360" w:lineRule="auto"/>
        <w:jc w:val="both"/>
        <w:rPr>
          <w:rFonts w:ascii="Arial" w:hAnsi="Arial" w:cs="Arial"/>
          <w:sz w:val="22"/>
          <w:szCs w:val="22"/>
        </w:rPr>
      </w:pPr>
    </w:p>
    <w:p w14:paraId="18C2EE25" w14:textId="77777777" w:rsidR="008C2C6F" w:rsidRDefault="008C2C6F" w:rsidP="00C3010F">
      <w:pPr>
        <w:spacing w:line="360" w:lineRule="auto"/>
        <w:jc w:val="both"/>
        <w:rPr>
          <w:rFonts w:ascii="Arial" w:hAnsi="Arial" w:cs="Arial"/>
          <w:sz w:val="22"/>
          <w:szCs w:val="22"/>
        </w:rPr>
      </w:pPr>
    </w:p>
    <w:p w14:paraId="15F21F94" w14:textId="77777777" w:rsidR="008C2C6F" w:rsidRDefault="008C2C6F" w:rsidP="00C3010F">
      <w:pPr>
        <w:spacing w:line="360" w:lineRule="auto"/>
        <w:jc w:val="both"/>
        <w:rPr>
          <w:rFonts w:ascii="Arial" w:hAnsi="Arial" w:cs="Arial"/>
          <w:sz w:val="22"/>
          <w:szCs w:val="22"/>
        </w:rPr>
      </w:pPr>
    </w:p>
    <w:p w14:paraId="43C8B1CE" w14:textId="77777777" w:rsidR="008C2C6F" w:rsidRDefault="008C2C6F" w:rsidP="00C3010F">
      <w:pPr>
        <w:spacing w:line="360" w:lineRule="auto"/>
        <w:jc w:val="both"/>
        <w:rPr>
          <w:rFonts w:ascii="Arial" w:hAnsi="Arial" w:cs="Arial"/>
          <w:sz w:val="22"/>
          <w:szCs w:val="22"/>
        </w:rPr>
      </w:pPr>
    </w:p>
    <w:p w14:paraId="68200076" w14:textId="77777777" w:rsidR="008C2C6F" w:rsidRDefault="008C2C6F" w:rsidP="00C3010F">
      <w:pPr>
        <w:spacing w:line="360" w:lineRule="auto"/>
        <w:jc w:val="both"/>
        <w:rPr>
          <w:rFonts w:ascii="Arial" w:hAnsi="Arial" w:cs="Arial"/>
          <w:sz w:val="22"/>
          <w:szCs w:val="22"/>
        </w:rPr>
      </w:pPr>
    </w:p>
    <w:p w14:paraId="5EE8756A" w14:textId="77777777" w:rsidR="008C2C6F" w:rsidRDefault="008C2C6F" w:rsidP="00C3010F">
      <w:pPr>
        <w:spacing w:line="360" w:lineRule="auto"/>
        <w:jc w:val="both"/>
        <w:rPr>
          <w:rFonts w:ascii="Arial" w:hAnsi="Arial" w:cs="Arial"/>
          <w:sz w:val="22"/>
          <w:szCs w:val="22"/>
        </w:rPr>
      </w:pPr>
    </w:p>
    <w:p w14:paraId="2A20056C" w14:textId="77777777" w:rsidR="008C2C6F" w:rsidRDefault="008C2C6F" w:rsidP="00C3010F">
      <w:pPr>
        <w:spacing w:line="360" w:lineRule="auto"/>
        <w:jc w:val="both"/>
        <w:rPr>
          <w:rFonts w:ascii="Arial" w:hAnsi="Arial" w:cs="Arial"/>
          <w:sz w:val="22"/>
          <w:szCs w:val="22"/>
        </w:rPr>
      </w:pPr>
    </w:p>
    <w:p w14:paraId="348D8AAC" w14:textId="77777777" w:rsidR="008C2C6F" w:rsidRDefault="008C2C6F" w:rsidP="00C3010F">
      <w:pPr>
        <w:spacing w:line="360" w:lineRule="auto"/>
        <w:jc w:val="both"/>
        <w:rPr>
          <w:rFonts w:ascii="Arial" w:hAnsi="Arial" w:cs="Arial"/>
          <w:sz w:val="22"/>
          <w:szCs w:val="22"/>
        </w:rPr>
      </w:pPr>
    </w:p>
    <w:p w14:paraId="41ACF983" w14:textId="77777777" w:rsidR="006B1836" w:rsidRDefault="006B1836" w:rsidP="00C3010F">
      <w:pPr>
        <w:spacing w:line="360" w:lineRule="auto"/>
        <w:jc w:val="both"/>
        <w:rPr>
          <w:rFonts w:ascii="Arial" w:hAnsi="Arial" w:cs="Arial"/>
          <w:sz w:val="22"/>
          <w:szCs w:val="22"/>
        </w:rPr>
      </w:pPr>
    </w:p>
    <w:p w14:paraId="02A3FCFD" w14:textId="77777777" w:rsidR="008C2C6F" w:rsidRDefault="008C2C6F" w:rsidP="00C3010F">
      <w:pPr>
        <w:spacing w:line="360" w:lineRule="auto"/>
        <w:jc w:val="both"/>
        <w:rPr>
          <w:rFonts w:ascii="Arial" w:hAnsi="Arial" w:cs="Arial"/>
          <w:sz w:val="22"/>
          <w:szCs w:val="22"/>
        </w:rPr>
      </w:pPr>
    </w:p>
    <w:p w14:paraId="06302EBE" w14:textId="0A0C697F" w:rsidR="00667896" w:rsidRPr="00AF61D3" w:rsidRDefault="00667896" w:rsidP="00AF61D3">
      <w:pPr>
        <w:pStyle w:val="ListParagraph"/>
        <w:numPr>
          <w:ilvl w:val="0"/>
          <w:numId w:val="10"/>
        </w:numPr>
        <w:spacing w:line="360" w:lineRule="auto"/>
        <w:jc w:val="center"/>
        <w:rPr>
          <w:rFonts w:ascii="Arial" w:hAnsi="Arial" w:cs="Arial"/>
          <w:b/>
          <w:bCs/>
          <w:sz w:val="22"/>
          <w:szCs w:val="22"/>
        </w:rPr>
      </w:pPr>
      <w:r w:rsidRPr="00AF61D3">
        <w:rPr>
          <w:rFonts w:ascii="Arial" w:hAnsi="Arial" w:cs="Arial"/>
          <w:b/>
          <w:bCs/>
          <w:sz w:val="22"/>
          <w:szCs w:val="22"/>
        </w:rPr>
        <w:t>Discussion</w:t>
      </w:r>
    </w:p>
    <w:p w14:paraId="017DE6ED" w14:textId="77777777"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This scoping review aimed to explore patient experiences and satisfaction with same-day appointments in UK primary care. The thematic analysis identified three key themes: accessibility and barriers, patient satisfaction and communication, and equity and digital/administrative challenges. Each theme provides insight into how service delivery aligns with policy goals, patient expectations, and practical realities.</w:t>
      </w:r>
    </w:p>
    <w:p w14:paraId="5610B28A" w14:textId="69800810" w:rsidR="00667896" w:rsidRPr="00667896" w:rsidRDefault="00AF61D3" w:rsidP="00667896">
      <w:pPr>
        <w:spacing w:line="360" w:lineRule="auto"/>
        <w:jc w:val="both"/>
        <w:rPr>
          <w:rFonts w:ascii="Arial" w:hAnsi="Arial" w:cs="Arial"/>
          <w:b/>
          <w:bCs/>
          <w:sz w:val="22"/>
          <w:szCs w:val="22"/>
        </w:rPr>
      </w:pPr>
      <w:r>
        <w:rPr>
          <w:rFonts w:ascii="Arial" w:hAnsi="Arial" w:cs="Arial"/>
          <w:b/>
          <w:bCs/>
          <w:sz w:val="22"/>
          <w:szCs w:val="22"/>
        </w:rPr>
        <w:t xml:space="preserve">5.1 </w:t>
      </w:r>
      <w:r w:rsidR="00667896" w:rsidRPr="00667896">
        <w:rPr>
          <w:rFonts w:ascii="Arial" w:hAnsi="Arial" w:cs="Arial"/>
          <w:b/>
          <w:bCs/>
          <w:sz w:val="22"/>
          <w:szCs w:val="22"/>
        </w:rPr>
        <w:t>Accessibility and Barriers to Same-Day Appointments</w:t>
      </w:r>
    </w:p>
    <w:p w14:paraId="599E4AEC" w14:textId="47FED27B"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The findings demonstrate persistent structural barriers in accessing same-day appointments. Atherton et al. (2024) highlighted that early-morning telephone booking systems created inequities, as patients with employment or caring responsibilities struggled to secure appointments. Similarly, Goulding et al. (2024) identified geographic disparities, with rural patients facing longer waits due to limited same-day slots. These findings align with previous research showing that appointment accessibility is influenced by both operational factors and socio-demographic context (Salisbury et al., 20</w:t>
      </w:r>
      <w:r w:rsidR="00D9647C">
        <w:rPr>
          <w:rFonts w:ascii="Arial" w:hAnsi="Arial" w:cs="Arial"/>
          <w:sz w:val="22"/>
          <w:szCs w:val="22"/>
        </w:rPr>
        <w:t>20</w:t>
      </w:r>
      <w:r w:rsidRPr="00667896">
        <w:rPr>
          <w:rFonts w:ascii="Arial" w:hAnsi="Arial" w:cs="Arial"/>
          <w:sz w:val="22"/>
          <w:szCs w:val="22"/>
        </w:rPr>
        <w:t xml:space="preserve">; </w:t>
      </w:r>
      <w:proofErr w:type="spellStart"/>
      <w:r w:rsidR="00D9647C">
        <w:rPr>
          <w:rFonts w:ascii="Arial" w:hAnsi="Arial" w:cs="Arial"/>
          <w:sz w:val="22"/>
          <w:szCs w:val="22"/>
        </w:rPr>
        <w:t>Sinnot</w:t>
      </w:r>
      <w:proofErr w:type="spellEnd"/>
      <w:r w:rsidRPr="00667896">
        <w:rPr>
          <w:rFonts w:ascii="Arial" w:hAnsi="Arial" w:cs="Arial"/>
          <w:sz w:val="22"/>
          <w:szCs w:val="22"/>
        </w:rPr>
        <w:t xml:space="preserve"> et al., 202</w:t>
      </w:r>
      <w:r w:rsidR="00D9647C">
        <w:rPr>
          <w:rFonts w:ascii="Arial" w:hAnsi="Arial" w:cs="Arial"/>
          <w:sz w:val="22"/>
          <w:szCs w:val="22"/>
        </w:rPr>
        <w:t>4</w:t>
      </w:r>
      <w:r w:rsidRPr="00667896">
        <w:rPr>
          <w:rFonts w:ascii="Arial" w:hAnsi="Arial" w:cs="Arial"/>
          <w:sz w:val="22"/>
          <w:szCs w:val="22"/>
        </w:rPr>
        <w:t>).</w:t>
      </w:r>
    </w:p>
    <w:p w14:paraId="28AD2F87" w14:textId="33EBEC42"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 xml:space="preserve">While some studies suggested that digital booking systems could improve access, evidence indicates that their benefits are unevenly distributed. Parsons et al. (2025) reported that online appointment systems reduced waiting times for digitally literate patients but disadvantaged older adults or those with limited internet access. This reflects broader concerns in UK primary care regarding digital inequalities and the risk of reinforcing existing disparities (Baird </w:t>
      </w:r>
      <w:r w:rsidR="006B1836">
        <w:rPr>
          <w:rFonts w:ascii="Arial" w:hAnsi="Arial" w:cs="Arial"/>
          <w:sz w:val="22"/>
          <w:szCs w:val="22"/>
        </w:rPr>
        <w:t>et al.</w:t>
      </w:r>
      <w:r w:rsidRPr="00667896">
        <w:rPr>
          <w:rFonts w:ascii="Arial" w:hAnsi="Arial" w:cs="Arial"/>
          <w:sz w:val="22"/>
          <w:szCs w:val="22"/>
        </w:rPr>
        <w:t>, 2021). Thus, while same-day appointments theoretically enhance responsiveness, in practice, structural and operational factors limit equitable access.</w:t>
      </w:r>
    </w:p>
    <w:p w14:paraId="1705282F" w14:textId="4D8FBA40" w:rsidR="00667896" w:rsidRPr="00667896" w:rsidRDefault="00AF61D3" w:rsidP="00667896">
      <w:pPr>
        <w:spacing w:line="360" w:lineRule="auto"/>
        <w:jc w:val="both"/>
        <w:rPr>
          <w:rFonts w:ascii="Arial" w:hAnsi="Arial" w:cs="Arial"/>
          <w:b/>
          <w:bCs/>
          <w:sz w:val="22"/>
          <w:szCs w:val="22"/>
        </w:rPr>
      </w:pPr>
      <w:r>
        <w:rPr>
          <w:rFonts w:ascii="Arial" w:hAnsi="Arial" w:cs="Arial"/>
          <w:b/>
          <w:bCs/>
          <w:sz w:val="22"/>
          <w:szCs w:val="22"/>
        </w:rPr>
        <w:t xml:space="preserve">5.2 </w:t>
      </w:r>
      <w:r w:rsidR="00667896" w:rsidRPr="00667896">
        <w:rPr>
          <w:rFonts w:ascii="Arial" w:hAnsi="Arial" w:cs="Arial"/>
          <w:b/>
          <w:bCs/>
          <w:sz w:val="22"/>
          <w:szCs w:val="22"/>
        </w:rPr>
        <w:t>Patient Satisfaction and Communication Experiences</w:t>
      </w:r>
    </w:p>
    <w:p w14:paraId="3BE35A42" w14:textId="771CD451"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 xml:space="preserve">Patient satisfaction emerged as closely tied to communication and staff responsiveness. Parsons et al. (2025) found that patients who received clear guidance about the appointment </w:t>
      </w:r>
      <w:r w:rsidRPr="00667896">
        <w:rPr>
          <w:rFonts w:ascii="Arial" w:hAnsi="Arial" w:cs="Arial"/>
          <w:sz w:val="22"/>
          <w:szCs w:val="22"/>
        </w:rPr>
        <w:lastRenderedPageBreak/>
        <w:t>process reported higher satisfaction, while miscommunication amplified frustration and anxiety. Atherton et al. (2024) similarly noted that delays in appointment allocation negatively affected patient confidence in primary care. These findings support prior evidence that patient satisfaction is multidimensional, incorporating both outcome and process measures, including interpersonal interactions and perceived responsiveness (Bikker et al., 20</w:t>
      </w:r>
      <w:r w:rsidR="006B1836">
        <w:rPr>
          <w:rFonts w:ascii="Arial" w:hAnsi="Arial" w:cs="Arial"/>
          <w:sz w:val="22"/>
          <w:szCs w:val="22"/>
        </w:rPr>
        <w:t>05</w:t>
      </w:r>
      <w:r w:rsidRPr="00667896">
        <w:rPr>
          <w:rFonts w:ascii="Arial" w:hAnsi="Arial" w:cs="Arial"/>
          <w:sz w:val="22"/>
          <w:szCs w:val="22"/>
        </w:rPr>
        <w:t>).</w:t>
      </w:r>
    </w:p>
    <w:p w14:paraId="1C0A5EE2" w14:textId="77777777"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Notably, satisfaction levels varied even among patients who obtained same-day appointments, highlighting the importance of perceived fairness and transparency in appointment systems. For example, patients reported frustration when telephone or digital triage systems lacked clarity regarding priority criteria. This suggests that improving satisfaction requires more than simply increasing appointment availability; it necessitates systemic improvements in communication, triage transparency, and patient-centred service design (Roberts et al., 2019).</w:t>
      </w:r>
    </w:p>
    <w:p w14:paraId="54E6D3D3" w14:textId="5E7CEED8" w:rsidR="00667896" w:rsidRPr="00667896" w:rsidRDefault="00AF61D3" w:rsidP="00667896">
      <w:pPr>
        <w:spacing w:line="360" w:lineRule="auto"/>
        <w:jc w:val="both"/>
        <w:rPr>
          <w:rFonts w:ascii="Arial" w:hAnsi="Arial" w:cs="Arial"/>
          <w:b/>
          <w:bCs/>
          <w:sz w:val="22"/>
          <w:szCs w:val="22"/>
        </w:rPr>
      </w:pPr>
      <w:r>
        <w:rPr>
          <w:rFonts w:ascii="Arial" w:hAnsi="Arial" w:cs="Arial"/>
          <w:b/>
          <w:bCs/>
          <w:sz w:val="22"/>
          <w:szCs w:val="22"/>
        </w:rPr>
        <w:t xml:space="preserve">5.3 </w:t>
      </w:r>
      <w:r w:rsidR="00667896" w:rsidRPr="00667896">
        <w:rPr>
          <w:rFonts w:ascii="Arial" w:hAnsi="Arial" w:cs="Arial"/>
          <w:b/>
          <w:bCs/>
          <w:sz w:val="22"/>
          <w:szCs w:val="22"/>
        </w:rPr>
        <w:t>Equity and Digital/Administrative Challenges</w:t>
      </w:r>
    </w:p>
    <w:p w14:paraId="365929AF" w14:textId="77777777"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The review revealed that equity in access remains a significant concern. Goulding et al. (2024) demonstrated that older adults and patients with lower digital literacy were less likely to use online booking tools, relying instead on busy telephone lines. Atherton et al. (2024) further reported that administrative inconsistencies between practices affected patient experiences, with some receiving more efficient triage than others. These findings underscore the intersection of digital exclusion, administrative practices, and socio-demographic factors in shaping patient experiences.</w:t>
      </w:r>
    </w:p>
    <w:p w14:paraId="15A0E4DC" w14:textId="71970FE2"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This aligns with broader critiques of UK primary care reform, which caution that digital-first access models may inadvertently exacerbate health inequalities if not implemented alongside inclusive support measures (Greenhalgh et al., 201</w:t>
      </w:r>
      <w:r w:rsidR="00993788">
        <w:rPr>
          <w:rFonts w:ascii="Arial" w:hAnsi="Arial" w:cs="Arial"/>
          <w:sz w:val="22"/>
          <w:szCs w:val="22"/>
        </w:rPr>
        <w:t>7</w:t>
      </w:r>
      <w:r w:rsidRPr="00667896">
        <w:rPr>
          <w:rFonts w:ascii="Arial" w:hAnsi="Arial" w:cs="Arial"/>
          <w:sz w:val="22"/>
          <w:szCs w:val="22"/>
        </w:rPr>
        <w:t>; Murray et al., 2020). Despite policy initiatives promoting responsiveness and accessibility, these studies indicate that operational and structural barriers continue to undermine equitable service delivery.</w:t>
      </w:r>
    </w:p>
    <w:p w14:paraId="58788DEF" w14:textId="45C12E6D" w:rsidR="00667896" w:rsidRPr="00667896" w:rsidRDefault="00AF61D3" w:rsidP="00667896">
      <w:pPr>
        <w:spacing w:line="360" w:lineRule="auto"/>
        <w:jc w:val="both"/>
        <w:rPr>
          <w:rFonts w:ascii="Arial" w:hAnsi="Arial" w:cs="Arial"/>
          <w:b/>
          <w:bCs/>
          <w:sz w:val="22"/>
          <w:szCs w:val="22"/>
        </w:rPr>
      </w:pPr>
      <w:r>
        <w:rPr>
          <w:rFonts w:ascii="Arial" w:hAnsi="Arial" w:cs="Arial"/>
          <w:b/>
          <w:bCs/>
          <w:sz w:val="22"/>
          <w:szCs w:val="22"/>
        </w:rPr>
        <w:t xml:space="preserve">5.4 </w:t>
      </w:r>
      <w:r w:rsidR="00667896" w:rsidRPr="00667896">
        <w:rPr>
          <w:rFonts w:ascii="Arial" w:hAnsi="Arial" w:cs="Arial"/>
          <w:b/>
          <w:bCs/>
          <w:sz w:val="22"/>
          <w:szCs w:val="22"/>
        </w:rPr>
        <w:t>Gaps in Research</w:t>
      </w:r>
    </w:p>
    <w:p w14:paraId="23E9E4A4" w14:textId="77777777"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Although the included studies provide valuable insights, several gaps remain. First, there is limited research on longitudinal patient experiences, with most studies relying on single-point interviews or focus groups. Second, rural populations and socio-economically disadvantaged groups are underrepresented, leaving gaps in understanding how systemic barriers affect these patients. Third, few studies examine the impact of COVID-19–related service changes, including remote consultations and digital triage, on patient satisfaction and equity. Addressing these gaps could provide more nuanced guidance for policy and practice.</w:t>
      </w:r>
    </w:p>
    <w:p w14:paraId="5EF520BF" w14:textId="77777777"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lastRenderedPageBreak/>
        <w:t>Methodologically, many studies used small sample sizes and single-site designs, limiting generalisability. Moreover, inconsistencies in data collection methods and reporting frameworks make cross-study comparison challenging, highlighting the value of this scoping review in synthesising dispersed qualitative evidence.</w:t>
      </w:r>
    </w:p>
    <w:p w14:paraId="7CF62FED" w14:textId="48EEAD18" w:rsidR="00667896" w:rsidRPr="00667896" w:rsidRDefault="00AF61D3" w:rsidP="00667896">
      <w:pPr>
        <w:spacing w:line="360" w:lineRule="auto"/>
        <w:jc w:val="both"/>
        <w:rPr>
          <w:rFonts w:ascii="Arial" w:hAnsi="Arial" w:cs="Arial"/>
          <w:b/>
          <w:bCs/>
          <w:sz w:val="22"/>
          <w:szCs w:val="22"/>
        </w:rPr>
      </w:pPr>
      <w:r>
        <w:rPr>
          <w:rFonts w:ascii="Arial" w:hAnsi="Arial" w:cs="Arial"/>
          <w:b/>
          <w:bCs/>
          <w:sz w:val="22"/>
          <w:szCs w:val="22"/>
        </w:rPr>
        <w:t xml:space="preserve">5.5 </w:t>
      </w:r>
      <w:r w:rsidR="00667896" w:rsidRPr="00667896">
        <w:rPr>
          <w:rFonts w:ascii="Arial" w:hAnsi="Arial" w:cs="Arial"/>
          <w:b/>
          <w:bCs/>
          <w:sz w:val="22"/>
          <w:szCs w:val="22"/>
        </w:rPr>
        <w:t>Theoretical and Practical Implications</w:t>
      </w:r>
    </w:p>
    <w:p w14:paraId="0B99908F" w14:textId="77777777"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The findings have both theoretical and practical significance. Theoretically, they reinforce frameworks that view patient satisfaction as a product of access, communication, and perceived equity, rather than merely clinical outcomes (Donabedian, 1988; Bikker et al., 2017). Practically, they suggest that policymakers and primary care providers must address both structural and process factors. For example, improving appointment availability alone is insufficient; transparent triage criteria, inclusive digital solutions, and enhanced communication with patients are equally essential.</w:t>
      </w:r>
    </w:p>
    <w:p w14:paraId="1D4B825C" w14:textId="77777777" w:rsidR="00667896" w:rsidRPr="00667896" w:rsidRDefault="00667896" w:rsidP="00667896">
      <w:pPr>
        <w:spacing w:line="360" w:lineRule="auto"/>
        <w:jc w:val="both"/>
        <w:rPr>
          <w:rFonts w:ascii="Arial" w:hAnsi="Arial" w:cs="Arial"/>
          <w:sz w:val="22"/>
          <w:szCs w:val="22"/>
        </w:rPr>
      </w:pPr>
      <w:r w:rsidRPr="00667896">
        <w:rPr>
          <w:rFonts w:ascii="Arial" w:hAnsi="Arial" w:cs="Arial"/>
          <w:sz w:val="22"/>
          <w:szCs w:val="22"/>
        </w:rPr>
        <w:t>For future research, longitudinal studies examining changes in patient experience over time and studies including underrepresented populations are needed. Additionally, evaluation of interventions aimed at reducing digital inequities or improving triage transparency could provide evidence to inform service redesign.</w:t>
      </w:r>
    </w:p>
    <w:p w14:paraId="789C3655" w14:textId="77777777" w:rsidR="00667896" w:rsidRDefault="00667896" w:rsidP="00C3010F">
      <w:pPr>
        <w:spacing w:line="360" w:lineRule="auto"/>
        <w:jc w:val="both"/>
        <w:rPr>
          <w:rFonts w:ascii="Arial" w:hAnsi="Arial" w:cs="Arial"/>
          <w:sz w:val="22"/>
          <w:szCs w:val="22"/>
        </w:rPr>
      </w:pPr>
    </w:p>
    <w:p w14:paraId="35AECA74" w14:textId="77777777" w:rsidR="00CC2648" w:rsidRDefault="00CC2648" w:rsidP="00C3010F">
      <w:pPr>
        <w:spacing w:line="360" w:lineRule="auto"/>
        <w:jc w:val="both"/>
        <w:rPr>
          <w:rFonts w:ascii="Arial" w:hAnsi="Arial" w:cs="Arial"/>
          <w:sz w:val="22"/>
          <w:szCs w:val="22"/>
        </w:rPr>
      </w:pPr>
    </w:p>
    <w:p w14:paraId="56043DBF" w14:textId="77777777" w:rsidR="00CC2648" w:rsidRDefault="00CC2648" w:rsidP="00C3010F">
      <w:pPr>
        <w:spacing w:line="360" w:lineRule="auto"/>
        <w:jc w:val="both"/>
        <w:rPr>
          <w:rFonts w:ascii="Arial" w:hAnsi="Arial" w:cs="Arial"/>
          <w:sz w:val="22"/>
          <w:szCs w:val="22"/>
        </w:rPr>
      </w:pPr>
    </w:p>
    <w:p w14:paraId="51229E17" w14:textId="77777777" w:rsidR="00CC2648" w:rsidRDefault="00CC2648" w:rsidP="00C3010F">
      <w:pPr>
        <w:spacing w:line="360" w:lineRule="auto"/>
        <w:jc w:val="both"/>
        <w:rPr>
          <w:rFonts w:ascii="Arial" w:hAnsi="Arial" w:cs="Arial"/>
          <w:sz w:val="22"/>
          <w:szCs w:val="22"/>
        </w:rPr>
      </w:pPr>
    </w:p>
    <w:p w14:paraId="0329D6AA" w14:textId="77777777" w:rsidR="00CC2648" w:rsidRDefault="00CC2648" w:rsidP="00C3010F">
      <w:pPr>
        <w:spacing w:line="360" w:lineRule="auto"/>
        <w:jc w:val="both"/>
        <w:rPr>
          <w:rFonts w:ascii="Arial" w:hAnsi="Arial" w:cs="Arial"/>
          <w:sz w:val="22"/>
          <w:szCs w:val="22"/>
        </w:rPr>
      </w:pPr>
    </w:p>
    <w:p w14:paraId="2A25FDBC" w14:textId="77777777" w:rsidR="00CC2648" w:rsidRDefault="00CC2648" w:rsidP="00C3010F">
      <w:pPr>
        <w:spacing w:line="360" w:lineRule="auto"/>
        <w:jc w:val="both"/>
        <w:rPr>
          <w:rFonts w:ascii="Arial" w:hAnsi="Arial" w:cs="Arial"/>
          <w:sz w:val="22"/>
          <w:szCs w:val="22"/>
        </w:rPr>
      </w:pPr>
    </w:p>
    <w:p w14:paraId="72411403" w14:textId="77777777" w:rsidR="00CC2648" w:rsidRDefault="00CC2648" w:rsidP="00C3010F">
      <w:pPr>
        <w:spacing w:line="360" w:lineRule="auto"/>
        <w:jc w:val="both"/>
        <w:rPr>
          <w:rFonts w:ascii="Arial" w:hAnsi="Arial" w:cs="Arial"/>
          <w:sz w:val="22"/>
          <w:szCs w:val="22"/>
        </w:rPr>
      </w:pPr>
    </w:p>
    <w:p w14:paraId="1757731F" w14:textId="77777777" w:rsidR="00CC2648" w:rsidRDefault="00CC2648" w:rsidP="00C3010F">
      <w:pPr>
        <w:spacing w:line="360" w:lineRule="auto"/>
        <w:jc w:val="both"/>
        <w:rPr>
          <w:rFonts w:ascii="Arial" w:hAnsi="Arial" w:cs="Arial"/>
          <w:sz w:val="22"/>
          <w:szCs w:val="22"/>
        </w:rPr>
      </w:pPr>
    </w:p>
    <w:p w14:paraId="35FC317A" w14:textId="77777777" w:rsidR="00CC2648" w:rsidRDefault="00CC2648" w:rsidP="00C3010F">
      <w:pPr>
        <w:spacing w:line="360" w:lineRule="auto"/>
        <w:jc w:val="both"/>
        <w:rPr>
          <w:rFonts w:ascii="Arial" w:hAnsi="Arial" w:cs="Arial"/>
          <w:sz w:val="22"/>
          <w:szCs w:val="22"/>
        </w:rPr>
      </w:pPr>
    </w:p>
    <w:p w14:paraId="35A9748F" w14:textId="77777777" w:rsidR="00CC2648" w:rsidRDefault="00CC2648" w:rsidP="00C3010F">
      <w:pPr>
        <w:spacing w:line="360" w:lineRule="auto"/>
        <w:jc w:val="both"/>
        <w:rPr>
          <w:rFonts w:ascii="Arial" w:hAnsi="Arial" w:cs="Arial"/>
          <w:sz w:val="22"/>
          <w:szCs w:val="22"/>
        </w:rPr>
      </w:pPr>
    </w:p>
    <w:p w14:paraId="56884E2A" w14:textId="77777777" w:rsidR="00CC2648" w:rsidRDefault="00CC2648" w:rsidP="00C3010F">
      <w:pPr>
        <w:spacing w:line="360" w:lineRule="auto"/>
        <w:jc w:val="both"/>
        <w:rPr>
          <w:rFonts w:ascii="Arial" w:hAnsi="Arial" w:cs="Arial"/>
          <w:sz w:val="22"/>
          <w:szCs w:val="22"/>
        </w:rPr>
      </w:pPr>
    </w:p>
    <w:p w14:paraId="0F9F42EB" w14:textId="77777777" w:rsidR="00CC2648" w:rsidRDefault="00CC2648" w:rsidP="00C3010F">
      <w:pPr>
        <w:spacing w:line="360" w:lineRule="auto"/>
        <w:jc w:val="both"/>
        <w:rPr>
          <w:rFonts w:ascii="Arial" w:hAnsi="Arial" w:cs="Arial"/>
          <w:sz w:val="22"/>
          <w:szCs w:val="22"/>
        </w:rPr>
      </w:pPr>
    </w:p>
    <w:p w14:paraId="2E47084F" w14:textId="77777777" w:rsidR="00CC2648" w:rsidRDefault="00CC2648" w:rsidP="00C3010F">
      <w:pPr>
        <w:spacing w:line="360" w:lineRule="auto"/>
        <w:jc w:val="both"/>
        <w:rPr>
          <w:rFonts w:ascii="Arial" w:hAnsi="Arial" w:cs="Arial"/>
          <w:sz w:val="22"/>
          <w:szCs w:val="22"/>
        </w:rPr>
      </w:pPr>
    </w:p>
    <w:p w14:paraId="57186F28" w14:textId="77777777" w:rsidR="00CC2648" w:rsidRDefault="00CC2648" w:rsidP="00C3010F">
      <w:pPr>
        <w:spacing w:line="360" w:lineRule="auto"/>
        <w:jc w:val="both"/>
        <w:rPr>
          <w:rFonts w:ascii="Arial" w:hAnsi="Arial" w:cs="Arial"/>
          <w:sz w:val="22"/>
          <w:szCs w:val="22"/>
        </w:rPr>
      </w:pPr>
    </w:p>
    <w:p w14:paraId="79F7AF40" w14:textId="77777777" w:rsidR="00CC2648" w:rsidRDefault="00CC2648" w:rsidP="00C3010F">
      <w:pPr>
        <w:spacing w:line="360" w:lineRule="auto"/>
        <w:jc w:val="both"/>
        <w:rPr>
          <w:rFonts w:ascii="Arial" w:hAnsi="Arial" w:cs="Arial"/>
          <w:sz w:val="22"/>
          <w:szCs w:val="22"/>
        </w:rPr>
      </w:pPr>
    </w:p>
    <w:p w14:paraId="7BB94948" w14:textId="77777777" w:rsidR="00CC2648" w:rsidRDefault="00CC2648" w:rsidP="00C3010F">
      <w:pPr>
        <w:spacing w:line="360" w:lineRule="auto"/>
        <w:jc w:val="both"/>
        <w:rPr>
          <w:rFonts w:ascii="Arial" w:hAnsi="Arial" w:cs="Arial"/>
          <w:sz w:val="22"/>
          <w:szCs w:val="22"/>
        </w:rPr>
      </w:pPr>
    </w:p>
    <w:p w14:paraId="62BB1B57" w14:textId="77777777" w:rsidR="00CC2648" w:rsidRDefault="00CC2648" w:rsidP="00C3010F">
      <w:pPr>
        <w:spacing w:line="360" w:lineRule="auto"/>
        <w:jc w:val="both"/>
        <w:rPr>
          <w:rFonts w:ascii="Arial" w:hAnsi="Arial" w:cs="Arial"/>
          <w:sz w:val="22"/>
          <w:szCs w:val="22"/>
        </w:rPr>
      </w:pPr>
    </w:p>
    <w:p w14:paraId="1A6D15CD" w14:textId="77777777" w:rsidR="00CC2648" w:rsidRDefault="00CC2648" w:rsidP="00C3010F">
      <w:pPr>
        <w:spacing w:line="360" w:lineRule="auto"/>
        <w:jc w:val="both"/>
        <w:rPr>
          <w:rFonts w:ascii="Arial" w:hAnsi="Arial" w:cs="Arial"/>
          <w:sz w:val="22"/>
          <w:szCs w:val="22"/>
        </w:rPr>
      </w:pPr>
    </w:p>
    <w:p w14:paraId="60D9E29C" w14:textId="77777777" w:rsidR="00CC2648" w:rsidRDefault="00CC2648" w:rsidP="00C3010F">
      <w:pPr>
        <w:spacing w:line="360" w:lineRule="auto"/>
        <w:jc w:val="both"/>
        <w:rPr>
          <w:rFonts w:ascii="Arial" w:hAnsi="Arial" w:cs="Arial"/>
          <w:sz w:val="22"/>
          <w:szCs w:val="22"/>
        </w:rPr>
      </w:pPr>
    </w:p>
    <w:p w14:paraId="5E5605CD" w14:textId="77777777" w:rsidR="00CC2648" w:rsidRDefault="00CC2648" w:rsidP="00C3010F">
      <w:pPr>
        <w:spacing w:line="360" w:lineRule="auto"/>
        <w:jc w:val="both"/>
        <w:rPr>
          <w:rFonts w:ascii="Arial" w:hAnsi="Arial" w:cs="Arial"/>
          <w:sz w:val="22"/>
          <w:szCs w:val="22"/>
        </w:rPr>
      </w:pPr>
    </w:p>
    <w:p w14:paraId="35BCAEA7" w14:textId="77777777" w:rsidR="00CC2648" w:rsidRDefault="00CC2648" w:rsidP="00C3010F">
      <w:pPr>
        <w:spacing w:line="360" w:lineRule="auto"/>
        <w:jc w:val="both"/>
        <w:rPr>
          <w:rFonts w:ascii="Arial" w:hAnsi="Arial" w:cs="Arial"/>
          <w:sz w:val="22"/>
          <w:szCs w:val="22"/>
        </w:rPr>
      </w:pPr>
    </w:p>
    <w:p w14:paraId="3E63DE37" w14:textId="384A40CE" w:rsidR="00CC2648" w:rsidRPr="00AF61D3" w:rsidRDefault="00CC2648" w:rsidP="00AF61D3">
      <w:pPr>
        <w:pStyle w:val="ListParagraph"/>
        <w:numPr>
          <w:ilvl w:val="0"/>
          <w:numId w:val="10"/>
        </w:numPr>
        <w:spacing w:line="360" w:lineRule="auto"/>
        <w:jc w:val="center"/>
        <w:rPr>
          <w:rFonts w:ascii="Arial" w:hAnsi="Arial" w:cs="Arial"/>
          <w:b/>
          <w:bCs/>
          <w:sz w:val="22"/>
          <w:szCs w:val="22"/>
        </w:rPr>
      </w:pPr>
      <w:r w:rsidRPr="00AF61D3">
        <w:rPr>
          <w:rFonts w:ascii="Arial" w:hAnsi="Arial" w:cs="Arial"/>
          <w:b/>
          <w:bCs/>
          <w:sz w:val="22"/>
          <w:szCs w:val="22"/>
        </w:rPr>
        <w:t>Conclusion and Recommendations</w:t>
      </w:r>
    </w:p>
    <w:p w14:paraId="1850C1DE" w14:textId="08223F4C" w:rsidR="00CC2648" w:rsidRPr="00CC2648" w:rsidRDefault="00AF61D3" w:rsidP="00CC2648">
      <w:pPr>
        <w:spacing w:line="360" w:lineRule="auto"/>
        <w:jc w:val="both"/>
        <w:rPr>
          <w:rFonts w:ascii="Arial" w:hAnsi="Arial" w:cs="Arial"/>
          <w:b/>
          <w:bCs/>
          <w:sz w:val="22"/>
          <w:szCs w:val="22"/>
        </w:rPr>
      </w:pPr>
      <w:r>
        <w:rPr>
          <w:rFonts w:ascii="Arial" w:hAnsi="Arial" w:cs="Arial"/>
          <w:b/>
          <w:bCs/>
          <w:sz w:val="22"/>
          <w:szCs w:val="22"/>
        </w:rPr>
        <w:t xml:space="preserve">6.1 </w:t>
      </w:r>
      <w:r w:rsidR="00CC2648" w:rsidRPr="00CC2648">
        <w:rPr>
          <w:rFonts w:ascii="Arial" w:hAnsi="Arial" w:cs="Arial"/>
          <w:b/>
          <w:bCs/>
          <w:sz w:val="22"/>
          <w:szCs w:val="22"/>
        </w:rPr>
        <w:t>Key Takeaways</w:t>
      </w:r>
    </w:p>
    <w:p w14:paraId="6D2A2BFA" w14:textId="60284261" w:rsidR="00CC2648" w:rsidRPr="00CC2648" w:rsidRDefault="00CC2648" w:rsidP="00CC2648">
      <w:pPr>
        <w:spacing w:line="360" w:lineRule="auto"/>
        <w:jc w:val="both"/>
        <w:rPr>
          <w:rFonts w:ascii="Arial" w:hAnsi="Arial" w:cs="Arial"/>
          <w:sz w:val="22"/>
          <w:szCs w:val="22"/>
        </w:rPr>
      </w:pPr>
      <w:r w:rsidRPr="00CC2648">
        <w:rPr>
          <w:rFonts w:ascii="Arial" w:hAnsi="Arial" w:cs="Arial"/>
          <w:sz w:val="22"/>
          <w:szCs w:val="22"/>
        </w:rPr>
        <w:t xml:space="preserve">This scoping review examined patient experiences and satisfaction with same-day appointments in UK primary care. Three primary themes emerged: accessibility and barriers, patient satisfaction and communication experiences, and equity and digital/administrative challenges. Patients consistently faced difficulties navigating booking systems, securing timely appointments, and accessing services equitably, particularly when digital tools or administrative procedures were complex or inconsistent (Atherton et al., 2024; Goulding et al., 2024; Parsons et al., 2025). Patient satisfaction was influenced not only by the availability of same-day appointments but also by communication with staff, clarity of procedures, and perceived responsiveness. Disparities in access for older adults, digitally excluded patients, and rural populations highlighted ongoing inequities in service delivery (Baird </w:t>
      </w:r>
      <w:r w:rsidR="006B1836">
        <w:rPr>
          <w:rFonts w:ascii="Arial" w:hAnsi="Arial" w:cs="Arial"/>
          <w:sz w:val="22"/>
          <w:szCs w:val="22"/>
        </w:rPr>
        <w:t>et al.</w:t>
      </w:r>
      <w:r w:rsidRPr="00CC2648">
        <w:rPr>
          <w:rFonts w:ascii="Arial" w:hAnsi="Arial" w:cs="Arial"/>
          <w:sz w:val="22"/>
          <w:szCs w:val="22"/>
        </w:rPr>
        <w:t>, 2021; Greenhalgh et al., 201</w:t>
      </w:r>
      <w:r w:rsidR="006B1836">
        <w:rPr>
          <w:rFonts w:ascii="Arial" w:hAnsi="Arial" w:cs="Arial"/>
          <w:sz w:val="22"/>
          <w:szCs w:val="22"/>
        </w:rPr>
        <w:t>7</w:t>
      </w:r>
      <w:r w:rsidRPr="00CC2648">
        <w:rPr>
          <w:rFonts w:ascii="Arial" w:hAnsi="Arial" w:cs="Arial"/>
          <w:sz w:val="22"/>
          <w:szCs w:val="22"/>
        </w:rPr>
        <w:t>). Collectively, these findings demonstrate that same-day appointments, while designed to improve responsiveness, continue to face structural, procedural, and equity-related challenges in UK primary care.</w:t>
      </w:r>
    </w:p>
    <w:p w14:paraId="05E5F6DB" w14:textId="37AB78F6" w:rsidR="00CC2648" w:rsidRPr="00CC2648" w:rsidRDefault="00AF61D3" w:rsidP="00CC2648">
      <w:pPr>
        <w:spacing w:line="360" w:lineRule="auto"/>
        <w:jc w:val="both"/>
        <w:rPr>
          <w:rFonts w:ascii="Arial" w:hAnsi="Arial" w:cs="Arial"/>
          <w:b/>
          <w:bCs/>
          <w:sz w:val="22"/>
          <w:szCs w:val="22"/>
        </w:rPr>
      </w:pPr>
      <w:r>
        <w:rPr>
          <w:rFonts w:ascii="Arial" w:hAnsi="Arial" w:cs="Arial"/>
          <w:b/>
          <w:bCs/>
          <w:sz w:val="22"/>
          <w:szCs w:val="22"/>
        </w:rPr>
        <w:t xml:space="preserve">6.2 </w:t>
      </w:r>
      <w:r w:rsidR="00CC2648" w:rsidRPr="00CC2648">
        <w:rPr>
          <w:rFonts w:ascii="Arial" w:hAnsi="Arial" w:cs="Arial"/>
          <w:b/>
          <w:bCs/>
          <w:sz w:val="22"/>
          <w:szCs w:val="22"/>
        </w:rPr>
        <w:t>Recommendations for Future Research</w:t>
      </w:r>
    </w:p>
    <w:p w14:paraId="623BEBB9" w14:textId="77777777" w:rsidR="00CC2648" w:rsidRPr="00CC2648" w:rsidRDefault="00CC2648" w:rsidP="00CC2648">
      <w:pPr>
        <w:spacing w:line="360" w:lineRule="auto"/>
        <w:jc w:val="both"/>
        <w:rPr>
          <w:rFonts w:ascii="Arial" w:hAnsi="Arial" w:cs="Arial"/>
          <w:sz w:val="22"/>
          <w:szCs w:val="22"/>
        </w:rPr>
      </w:pPr>
      <w:r w:rsidRPr="00CC2648">
        <w:rPr>
          <w:rFonts w:ascii="Arial" w:hAnsi="Arial" w:cs="Arial"/>
          <w:sz w:val="22"/>
          <w:szCs w:val="22"/>
        </w:rPr>
        <w:t>Several gaps in the literature were identified that warrant further investigation:</w:t>
      </w:r>
    </w:p>
    <w:p w14:paraId="2FCF12F1" w14:textId="77777777" w:rsidR="00CC2648" w:rsidRPr="00CC2648" w:rsidRDefault="00CC2648" w:rsidP="00CC2648">
      <w:pPr>
        <w:numPr>
          <w:ilvl w:val="0"/>
          <w:numId w:val="8"/>
        </w:numPr>
        <w:spacing w:line="360" w:lineRule="auto"/>
        <w:jc w:val="both"/>
        <w:rPr>
          <w:rFonts w:ascii="Arial" w:hAnsi="Arial" w:cs="Arial"/>
          <w:sz w:val="22"/>
          <w:szCs w:val="22"/>
        </w:rPr>
      </w:pPr>
      <w:r w:rsidRPr="00CC2648">
        <w:rPr>
          <w:rFonts w:ascii="Arial" w:hAnsi="Arial" w:cs="Arial"/>
          <w:sz w:val="22"/>
          <w:szCs w:val="22"/>
        </w:rPr>
        <w:t>Longitudinal studies examining patient experiences over time are needed to understand how changes in service delivery or digital integration affect satisfaction and access (Murray et al., 2020).</w:t>
      </w:r>
    </w:p>
    <w:p w14:paraId="36166F42" w14:textId="77777777" w:rsidR="00CC2648" w:rsidRPr="00CC2648" w:rsidRDefault="00CC2648" w:rsidP="00CC2648">
      <w:pPr>
        <w:numPr>
          <w:ilvl w:val="0"/>
          <w:numId w:val="8"/>
        </w:numPr>
        <w:spacing w:line="360" w:lineRule="auto"/>
        <w:jc w:val="both"/>
        <w:rPr>
          <w:rFonts w:ascii="Arial" w:hAnsi="Arial" w:cs="Arial"/>
          <w:sz w:val="22"/>
          <w:szCs w:val="22"/>
        </w:rPr>
      </w:pPr>
      <w:r w:rsidRPr="00CC2648">
        <w:rPr>
          <w:rFonts w:ascii="Arial" w:hAnsi="Arial" w:cs="Arial"/>
          <w:sz w:val="22"/>
          <w:szCs w:val="22"/>
        </w:rPr>
        <w:t>Research focusing on underrepresented populations, including rural communities, older adults, and socio-economically disadvantaged groups, should be prioritised to ensure equity in service provision (Goulding et al., 2024).</w:t>
      </w:r>
    </w:p>
    <w:p w14:paraId="15B70A4D" w14:textId="010AB95C" w:rsidR="00CC2648" w:rsidRPr="00CC2648" w:rsidRDefault="00CC2648" w:rsidP="00CC2648">
      <w:pPr>
        <w:numPr>
          <w:ilvl w:val="0"/>
          <w:numId w:val="8"/>
        </w:numPr>
        <w:spacing w:line="360" w:lineRule="auto"/>
        <w:jc w:val="both"/>
        <w:rPr>
          <w:rFonts w:ascii="Arial" w:hAnsi="Arial" w:cs="Arial"/>
          <w:sz w:val="22"/>
          <w:szCs w:val="22"/>
        </w:rPr>
      </w:pPr>
      <w:r w:rsidRPr="00CC2648">
        <w:rPr>
          <w:rFonts w:ascii="Arial" w:hAnsi="Arial" w:cs="Arial"/>
          <w:sz w:val="22"/>
          <w:szCs w:val="22"/>
        </w:rPr>
        <w:lastRenderedPageBreak/>
        <w:t xml:space="preserve">Evaluation of interventions aimed at improving digital accessibility, such as user-friendly booking platforms or hybrid telephone-digital systems, is necessary to determine their effectiveness in reducing access barriers (Baird </w:t>
      </w:r>
      <w:r w:rsidR="006B1836">
        <w:rPr>
          <w:rFonts w:ascii="Arial" w:hAnsi="Arial" w:cs="Arial"/>
          <w:sz w:val="22"/>
          <w:szCs w:val="22"/>
        </w:rPr>
        <w:t>et al.</w:t>
      </w:r>
      <w:r w:rsidRPr="00CC2648">
        <w:rPr>
          <w:rFonts w:ascii="Arial" w:hAnsi="Arial" w:cs="Arial"/>
          <w:sz w:val="22"/>
          <w:szCs w:val="22"/>
        </w:rPr>
        <w:t>, 2021).</w:t>
      </w:r>
    </w:p>
    <w:p w14:paraId="2A12DEDA" w14:textId="50F8D479" w:rsidR="00CC2648" w:rsidRPr="00CC2648" w:rsidRDefault="00CC2648" w:rsidP="00CC2648">
      <w:pPr>
        <w:numPr>
          <w:ilvl w:val="0"/>
          <w:numId w:val="8"/>
        </w:numPr>
        <w:spacing w:line="360" w:lineRule="auto"/>
        <w:jc w:val="both"/>
        <w:rPr>
          <w:rFonts w:ascii="Arial" w:hAnsi="Arial" w:cs="Arial"/>
          <w:sz w:val="22"/>
          <w:szCs w:val="22"/>
        </w:rPr>
      </w:pPr>
      <w:r w:rsidRPr="00CC2648">
        <w:rPr>
          <w:rFonts w:ascii="Arial" w:hAnsi="Arial" w:cs="Arial"/>
          <w:sz w:val="22"/>
          <w:szCs w:val="22"/>
        </w:rPr>
        <w:t>Comparative studies across multiple primary care settings could identify best practices and operational strategies that consistently improve patient satisfaction and equity (Salisbury et al., 20</w:t>
      </w:r>
      <w:r w:rsidR="00D9647C">
        <w:rPr>
          <w:rFonts w:ascii="Arial" w:hAnsi="Arial" w:cs="Arial"/>
          <w:sz w:val="22"/>
          <w:szCs w:val="22"/>
        </w:rPr>
        <w:t>20</w:t>
      </w:r>
      <w:r w:rsidRPr="00CC2648">
        <w:rPr>
          <w:rFonts w:ascii="Arial" w:hAnsi="Arial" w:cs="Arial"/>
          <w:sz w:val="22"/>
          <w:szCs w:val="22"/>
        </w:rPr>
        <w:t>).</w:t>
      </w:r>
    </w:p>
    <w:p w14:paraId="30FC117C" w14:textId="28339822" w:rsidR="00CC2648" w:rsidRPr="00CC2648" w:rsidRDefault="00AF61D3" w:rsidP="00CC2648">
      <w:pPr>
        <w:spacing w:line="360" w:lineRule="auto"/>
        <w:jc w:val="both"/>
        <w:rPr>
          <w:rFonts w:ascii="Arial" w:hAnsi="Arial" w:cs="Arial"/>
          <w:b/>
          <w:bCs/>
          <w:sz w:val="22"/>
          <w:szCs w:val="22"/>
        </w:rPr>
      </w:pPr>
      <w:r>
        <w:rPr>
          <w:rFonts w:ascii="Arial" w:hAnsi="Arial" w:cs="Arial"/>
          <w:b/>
          <w:bCs/>
          <w:sz w:val="22"/>
          <w:szCs w:val="22"/>
        </w:rPr>
        <w:t xml:space="preserve">6.3 </w:t>
      </w:r>
      <w:r w:rsidR="00CC2648" w:rsidRPr="00CC2648">
        <w:rPr>
          <w:rFonts w:ascii="Arial" w:hAnsi="Arial" w:cs="Arial"/>
          <w:b/>
          <w:bCs/>
          <w:sz w:val="22"/>
          <w:szCs w:val="22"/>
        </w:rPr>
        <w:t>Recommendations for Policy and Practice</w:t>
      </w:r>
    </w:p>
    <w:p w14:paraId="5137960A" w14:textId="77777777" w:rsidR="00CC2648" w:rsidRPr="00CC2648" w:rsidRDefault="00CC2648" w:rsidP="00CC2648">
      <w:pPr>
        <w:spacing w:line="360" w:lineRule="auto"/>
        <w:jc w:val="both"/>
        <w:rPr>
          <w:rFonts w:ascii="Arial" w:hAnsi="Arial" w:cs="Arial"/>
          <w:sz w:val="22"/>
          <w:szCs w:val="22"/>
        </w:rPr>
      </w:pPr>
      <w:r w:rsidRPr="00CC2648">
        <w:rPr>
          <w:rFonts w:ascii="Arial" w:hAnsi="Arial" w:cs="Arial"/>
          <w:sz w:val="22"/>
          <w:szCs w:val="22"/>
        </w:rPr>
        <w:t>Based on the findings, the following recommendations are suggested for healthcare delivery and policy:</w:t>
      </w:r>
    </w:p>
    <w:p w14:paraId="5C83EF39" w14:textId="77777777" w:rsidR="00CC2648" w:rsidRPr="00CC2648" w:rsidRDefault="00CC2648" w:rsidP="00CC2648">
      <w:pPr>
        <w:numPr>
          <w:ilvl w:val="0"/>
          <w:numId w:val="9"/>
        </w:numPr>
        <w:spacing w:line="360" w:lineRule="auto"/>
        <w:jc w:val="both"/>
        <w:rPr>
          <w:rFonts w:ascii="Arial" w:hAnsi="Arial" w:cs="Arial"/>
          <w:sz w:val="22"/>
          <w:szCs w:val="22"/>
        </w:rPr>
      </w:pPr>
      <w:r w:rsidRPr="00CC2648">
        <w:rPr>
          <w:rFonts w:ascii="Arial" w:hAnsi="Arial" w:cs="Arial"/>
          <w:sz w:val="22"/>
          <w:szCs w:val="22"/>
        </w:rPr>
        <w:t>Enhance accessibility of same-day appointments by providing multiple booking pathways (telephone, online, and in-person) and implementing transparent triage criteria to ensure fairness and reduce patient frustration (Atherton et al., 2024).</w:t>
      </w:r>
    </w:p>
    <w:p w14:paraId="4C7D45A2" w14:textId="77777777" w:rsidR="00CC2648" w:rsidRPr="00CC2648" w:rsidRDefault="00CC2648" w:rsidP="00CC2648">
      <w:pPr>
        <w:numPr>
          <w:ilvl w:val="0"/>
          <w:numId w:val="9"/>
        </w:numPr>
        <w:spacing w:line="360" w:lineRule="auto"/>
        <w:jc w:val="both"/>
        <w:rPr>
          <w:rFonts w:ascii="Arial" w:hAnsi="Arial" w:cs="Arial"/>
          <w:sz w:val="22"/>
          <w:szCs w:val="22"/>
        </w:rPr>
      </w:pPr>
      <w:r w:rsidRPr="00CC2648">
        <w:rPr>
          <w:rFonts w:ascii="Arial" w:hAnsi="Arial" w:cs="Arial"/>
          <w:sz w:val="22"/>
          <w:szCs w:val="22"/>
        </w:rPr>
        <w:t>Improve patient communication and information provision by training reception staff, using clear guidance on appointment procedures, and ensuring patients are informed about expected waiting times and priorities (Parsons et al., 2025; Roberts et al., 2019).</w:t>
      </w:r>
    </w:p>
    <w:p w14:paraId="7CE52F37" w14:textId="77686C77" w:rsidR="00CC2648" w:rsidRPr="00CC2648" w:rsidRDefault="00CC2648" w:rsidP="00CC2648">
      <w:pPr>
        <w:numPr>
          <w:ilvl w:val="0"/>
          <w:numId w:val="9"/>
        </w:numPr>
        <w:spacing w:line="360" w:lineRule="auto"/>
        <w:jc w:val="both"/>
        <w:rPr>
          <w:rFonts w:ascii="Arial" w:hAnsi="Arial" w:cs="Arial"/>
          <w:sz w:val="22"/>
          <w:szCs w:val="22"/>
        </w:rPr>
      </w:pPr>
      <w:r w:rsidRPr="00CC2648">
        <w:rPr>
          <w:rFonts w:ascii="Arial" w:hAnsi="Arial" w:cs="Arial"/>
          <w:sz w:val="22"/>
          <w:szCs w:val="22"/>
        </w:rPr>
        <w:t>Address digital inequities by offering support for patients with lower digital literacy, implementing simplified online booking systems, and maintaining alternatives for those unable or unwilling to use digital platforms (Greenhalgh et al., 201</w:t>
      </w:r>
      <w:r w:rsidR="00993788">
        <w:rPr>
          <w:rFonts w:ascii="Arial" w:hAnsi="Arial" w:cs="Arial"/>
          <w:sz w:val="22"/>
          <w:szCs w:val="22"/>
        </w:rPr>
        <w:t>7</w:t>
      </w:r>
      <w:r w:rsidRPr="00CC2648">
        <w:rPr>
          <w:rFonts w:ascii="Arial" w:hAnsi="Arial" w:cs="Arial"/>
          <w:sz w:val="22"/>
          <w:szCs w:val="22"/>
        </w:rPr>
        <w:t>; Goulding et al., 2024).</w:t>
      </w:r>
    </w:p>
    <w:p w14:paraId="7F51493D" w14:textId="77777777" w:rsidR="00CC2648" w:rsidRPr="00CC2648" w:rsidRDefault="00CC2648" w:rsidP="00CC2648">
      <w:pPr>
        <w:numPr>
          <w:ilvl w:val="0"/>
          <w:numId w:val="9"/>
        </w:numPr>
        <w:spacing w:line="360" w:lineRule="auto"/>
        <w:jc w:val="both"/>
        <w:rPr>
          <w:rFonts w:ascii="Arial" w:hAnsi="Arial" w:cs="Arial"/>
          <w:sz w:val="22"/>
          <w:szCs w:val="22"/>
        </w:rPr>
      </w:pPr>
      <w:r w:rsidRPr="00CC2648">
        <w:rPr>
          <w:rFonts w:ascii="Arial" w:hAnsi="Arial" w:cs="Arial"/>
          <w:sz w:val="22"/>
          <w:szCs w:val="22"/>
        </w:rPr>
        <w:t>Standardise administrative procedures across practices to reduce variability in patient experiences, ensuring consistent triage processes, appointment availability, and communication strategies (Atherton et al., 2024).</w:t>
      </w:r>
    </w:p>
    <w:p w14:paraId="6C739787" w14:textId="77777777" w:rsidR="00CC2648" w:rsidRPr="00CC2648" w:rsidRDefault="00CC2648" w:rsidP="00CC2648">
      <w:pPr>
        <w:spacing w:line="360" w:lineRule="auto"/>
        <w:jc w:val="both"/>
        <w:rPr>
          <w:rFonts w:ascii="Arial" w:hAnsi="Arial" w:cs="Arial"/>
          <w:sz w:val="22"/>
          <w:szCs w:val="22"/>
        </w:rPr>
      </w:pPr>
      <w:r w:rsidRPr="00CC2648">
        <w:rPr>
          <w:rFonts w:ascii="Arial" w:hAnsi="Arial" w:cs="Arial"/>
          <w:sz w:val="22"/>
          <w:szCs w:val="22"/>
        </w:rPr>
        <w:t>By implementing these recommendations, policymakers and primary care providers can enhance the effectiveness of same-day appointment systems, improve patient satisfaction, and reduce inequities in access. These strategies are realistic, grounded in current evidence, and directly address the gaps identified in both practice and research.</w:t>
      </w:r>
    </w:p>
    <w:p w14:paraId="657599A4" w14:textId="77777777" w:rsidR="00CC2648" w:rsidRPr="00C3010F" w:rsidRDefault="00CC2648" w:rsidP="00C3010F">
      <w:pPr>
        <w:spacing w:line="360" w:lineRule="auto"/>
        <w:jc w:val="both"/>
        <w:rPr>
          <w:rFonts w:ascii="Arial" w:hAnsi="Arial" w:cs="Arial"/>
          <w:sz w:val="22"/>
          <w:szCs w:val="22"/>
        </w:rPr>
      </w:pPr>
    </w:p>
    <w:p w14:paraId="74833B61" w14:textId="77777777" w:rsidR="00CC2648" w:rsidRDefault="00CC2648" w:rsidP="00C3010F">
      <w:pPr>
        <w:spacing w:line="360" w:lineRule="auto"/>
        <w:jc w:val="both"/>
        <w:rPr>
          <w:rFonts w:ascii="Arial" w:hAnsi="Arial" w:cs="Arial"/>
          <w:b/>
          <w:bCs/>
          <w:sz w:val="22"/>
          <w:szCs w:val="22"/>
        </w:rPr>
      </w:pPr>
    </w:p>
    <w:p w14:paraId="6C0184E6" w14:textId="77777777" w:rsidR="00CC2648" w:rsidRDefault="00CC2648" w:rsidP="00C3010F">
      <w:pPr>
        <w:spacing w:line="360" w:lineRule="auto"/>
        <w:jc w:val="both"/>
        <w:rPr>
          <w:rFonts w:ascii="Arial" w:hAnsi="Arial" w:cs="Arial"/>
          <w:b/>
          <w:bCs/>
          <w:sz w:val="22"/>
          <w:szCs w:val="22"/>
        </w:rPr>
      </w:pPr>
    </w:p>
    <w:p w14:paraId="1D8F6322" w14:textId="6989F178" w:rsidR="00C3010F" w:rsidRDefault="00C3010F" w:rsidP="00C3010F">
      <w:pPr>
        <w:spacing w:line="360" w:lineRule="auto"/>
        <w:jc w:val="both"/>
        <w:rPr>
          <w:rFonts w:ascii="Arial" w:hAnsi="Arial" w:cs="Arial"/>
          <w:sz w:val="22"/>
          <w:szCs w:val="22"/>
        </w:rPr>
      </w:pPr>
      <w:r w:rsidRPr="00C3010F">
        <w:rPr>
          <w:rFonts w:ascii="Arial" w:hAnsi="Arial" w:cs="Arial"/>
          <w:sz w:val="22"/>
          <w:szCs w:val="22"/>
        </w:rPr>
        <w:t>.</w:t>
      </w:r>
    </w:p>
    <w:p w14:paraId="40485E63" w14:textId="77777777" w:rsidR="000D1AD9" w:rsidRDefault="000D1AD9" w:rsidP="00C3010F">
      <w:pPr>
        <w:spacing w:line="360" w:lineRule="auto"/>
        <w:jc w:val="both"/>
        <w:rPr>
          <w:rFonts w:ascii="Arial" w:hAnsi="Arial" w:cs="Arial"/>
          <w:sz w:val="22"/>
          <w:szCs w:val="22"/>
        </w:rPr>
      </w:pPr>
    </w:p>
    <w:p w14:paraId="167DA7C1" w14:textId="77777777" w:rsidR="000D1AD9" w:rsidRDefault="000D1AD9" w:rsidP="00C3010F">
      <w:pPr>
        <w:spacing w:line="360" w:lineRule="auto"/>
        <w:jc w:val="both"/>
        <w:rPr>
          <w:rFonts w:ascii="Arial" w:hAnsi="Arial" w:cs="Arial"/>
          <w:sz w:val="22"/>
          <w:szCs w:val="22"/>
        </w:rPr>
      </w:pPr>
    </w:p>
    <w:p w14:paraId="2F7B75C0" w14:textId="77777777" w:rsidR="000D1AD9" w:rsidRDefault="000D1AD9" w:rsidP="00C3010F">
      <w:pPr>
        <w:spacing w:line="360" w:lineRule="auto"/>
        <w:jc w:val="both"/>
        <w:rPr>
          <w:rFonts w:ascii="Arial" w:hAnsi="Arial" w:cs="Arial"/>
          <w:sz w:val="22"/>
          <w:szCs w:val="22"/>
        </w:rPr>
      </w:pPr>
    </w:p>
    <w:p w14:paraId="5BD938CE" w14:textId="77777777" w:rsidR="000D1AD9" w:rsidRDefault="000D1AD9" w:rsidP="00C3010F">
      <w:pPr>
        <w:spacing w:line="360" w:lineRule="auto"/>
        <w:jc w:val="both"/>
        <w:rPr>
          <w:rFonts w:ascii="Arial" w:hAnsi="Arial" w:cs="Arial"/>
          <w:sz w:val="22"/>
          <w:szCs w:val="22"/>
        </w:rPr>
      </w:pPr>
    </w:p>
    <w:p w14:paraId="3FC11A88" w14:textId="77777777" w:rsidR="000D1AD9" w:rsidRDefault="000D1AD9" w:rsidP="00C3010F">
      <w:pPr>
        <w:spacing w:line="360" w:lineRule="auto"/>
        <w:jc w:val="both"/>
        <w:rPr>
          <w:rFonts w:ascii="Arial" w:hAnsi="Arial" w:cs="Arial"/>
          <w:sz w:val="22"/>
          <w:szCs w:val="22"/>
        </w:rPr>
      </w:pPr>
    </w:p>
    <w:p w14:paraId="689AA87D" w14:textId="77777777" w:rsidR="000D1AD9" w:rsidRDefault="000D1AD9" w:rsidP="00C3010F">
      <w:pPr>
        <w:spacing w:line="360" w:lineRule="auto"/>
        <w:jc w:val="both"/>
        <w:rPr>
          <w:rFonts w:ascii="Arial" w:hAnsi="Arial" w:cs="Arial"/>
          <w:sz w:val="22"/>
          <w:szCs w:val="22"/>
        </w:rPr>
      </w:pPr>
    </w:p>
    <w:p w14:paraId="515C414B" w14:textId="77777777" w:rsidR="000D1AD9" w:rsidRDefault="000D1AD9" w:rsidP="00C3010F">
      <w:pPr>
        <w:spacing w:line="360" w:lineRule="auto"/>
        <w:jc w:val="both"/>
        <w:rPr>
          <w:rFonts w:ascii="Arial" w:hAnsi="Arial" w:cs="Arial"/>
          <w:sz w:val="22"/>
          <w:szCs w:val="22"/>
        </w:rPr>
      </w:pPr>
    </w:p>
    <w:p w14:paraId="06161A18" w14:textId="77777777" w:rsidR="000D1AD9" w:rsidRDefault="000D1AD9" w:rsidP="00C3010F">
      <w:pPr>
        <w:spacing w:line="360" w:lineRule="auto"/>
        <w:jc w:val="both"/>
        <w:rPr>
          <w:rFonts w:ascii="Arial" w:hAnsi="Arial" w:cs="Arial"/>
          <w:sz w:val="22"/>
          <w:szCs w:val="22"/>
        </w:rPr>
      </w:pPr>
    </w:p>
    <w:p w14:paraId="2D5D2874" w14:textId="61D9A24F" w:rsidR="000D1AD9" w:rsidRPr="000D1AD9" w:rsidRDefault="000D1AD9" w:rsidP="000D1AD9">
      <w:pPr>
        <w:spacing w:line="360" w:lineRule="auto"/>
        <w:jc w:val="both"/>
        <w:rPr>
          <w:rFonts w:ascii="Arial" w:hAnsi="Arial" w:cs="Arial"/>
          <w:b/>
          <w:bCs/>
          <w:sz w:val="22"/>
          <w:szCs w:val="22"/>
        </w:rPr>
      </w:pPr>
      <w:r w:rsidRPr="000D1AD9">
        <w:rPr>
          <w:rFonts w:ascii="Arial" w:hAnsi="Arial" w:cs="Arial"/>
          <w:b/>
          <w:bCs/>
          <w:sz w:val="22"/>
          <w:szCs w:val="22"/>
        </w:rPr>
        <w:t>References:</w:t>
      </w:r>
    </w:p>
    <w:p w14:paraId="242CA575" w14:textId="63324EAB" w:rsidR="00993788" w:rsidRDefault="00993788" w:rsidP="00993788">
      <w:pPr>
        <w:jc w:val="both"/>
      </w:pPr>
      <w:r w:rsidRPr="00E30CAB">
        <w:t xml:space="preserve">Arosio, B., </w:t>
      </w:r>
      <w:proofErr w:type="spellStart"/>
      <w:r w:rsidRPr="00E30CAB">
        <w:t>Limanaqi</w:t>
      </w:r>
      <w:proofErr w:type="spellEnd"/>
      <w:r w:rsidRPr="00E30CAB">
        <w:t xml:space="preserve">, F., Agostini, S., </w:t>
      </w:r>
      <w:proofErr w:type="spellStart"/>
      <w:r w:rsidRPr="00E30CAB">
        <w:t>Onlus</w:t>
      </w:r>
      <w:proofErr w:type="spellEnd"/>
      <w:r w:rsidRPr="00E30CAB">
        <w:t xml:space="preserve">, F.D.C.G., Cornish, S.M., </w:t>
      </w:r>
      <w:proofErr w:type="spellStart"/>
      <w:r w:rsidRPr="00E30CAB">
        <w:t>Vints</w:t>
      </w:r>
      <w:proofErr w:type="spellEnd"/>
      <w:r w:rsidRPr="00E30CAB">
        <w:t xml:space="preserve">, W.A., </w:t>
      </w:r>
      <w:proofErr w:type="spellStart"/>
      <w:r w:rsidRPr="00E30CAB">
        <w:t>Vints</w:t>
      </w:r>
      <w:proofErr w:type="spellEnd"/>
      <w:r w:rsidRPr="00E30CAB">
        <w:t xml:space="preserve">, W.A.J., Gökçe, E., </w:t>
      </w:r>
      <w:proofErr w:type="spellStart"/>
      <w:r w:rsidRPr="00E30CAB">
        <w:t>Langeard</w:t>
      </w:r>
      <w:proofErr w:type="spellEnd"/>
      <w:r w:rsidRPr="00E30CAB">
        <w:t xml:space="preserve">, A., Pavlova, I. and Çevik, Ö.S. </w:t>
      </w:r>
      <w:r>
        <w:t>(</w:t>
      </w:r>
      <w:r w:rsidRPr="00E30CAB">
        <w:t>2023</w:t>
      </w:r>
      <w:r>
        <w:t>)</w:t>
      </w:r>
      <w:r w:rsidRPr="00E30CAB">
        <w:t xml:space="preserve"> </w:t>
      </w:r>
      <w:r>
        <w:t>‘</w:t>
      </w:r>
      <w:r w:rsidRPr="00E30CAB">
        <w:t xml:space="preserve">Method: Randomized controlled studies will be systematically collected at baseline and every 6 months for at least 5 years. Literature search will be performed online in PubMed, EMBASE, PsycINFO, Web of Science, </w:t>
      </w:r>
      <w:proofErr w:type="spellStart"/>
      <w:r w:rsidRPr="00E30CAB">
        <w:t>SportDiscus</w:t>
      </w:r>
      <w:proofErr w:type="spellEnd"/>
      <w:r w:rsidRPr="00E30CAB">
        <w:t xml:space="preserve">, LILACS, IBECS, CINAHL, SCOPUS, ICTRP, and </w:t>
      </w:r>
      <w:proofErr w:type="spellStart"/>
      <w:r w:rsidRPr="00E30CAB">
        <w:t>ClinicalTrials</w:t>
      </w:r>
      <w:proofErr w:type="spellEnd"/>
      <w:r w:rsidRPr="00E30CAB">
        <w:t>. gov. Risk of bias will be assessed using the Revised Cochrane Risk of Bias tool (ROB 2). A random effects.</w:t>
      </w:r>
      <w:r>
        <w:t>’</w:t>
      </w:r>
    </w:p>
    <w:p w14:paraId="5FD451EB" w14:textId="788E42C7" w:rsidR="00993788" w:rsidRDefault="00993788" w:rsidP="000D1AD9">
      <w:pPr>
        <w:spacing w:line="360" w:lineRule="auto"/>
        <w:jc w:val="both"/>
        <w:rPr>
          <w:rFonts w:ascii="Arial" w:hAnsi="Arial" w:cs="Arial"/>
          <w:sz w:val="22"/>
          <w:szCs w:val="22"/>
        </w:rPr>
      </w:pPr>
      <w:r w:rsidRPr="000D1AD9">
        <w:rPr>
          <w:rFonts w:ascii="Arial" w:hAnsi="Arial" w:cs="Arial"/>
          <w:sz w:val="22"/>
          <w:szCs w:val="22"/>
        </w:rPr>
        <w:t xml:space="preserve">Atherton, H., Eccles, A., </w:t>
      </w:r>
      <w:proofErr w:type="spellStart"/>
      <w:r w:rsidRPr="000D1AD9">
        <w:rPr>
          <w:rFonts w:ascii="Arial" w:hAnsi="Arial" w:cs="Arial"/>
          <w:sz w:val="22"/>
          <w:szCs w:val="22"/>
        </w:rPr>
        <w:t>Poltawski</w:t>
      </w:r>
      <w:proofErr w:type="spellEnd"/>
      <w:r w:rsidRPr="000D1AD9">
        <w:rPr>
          <w:rFonts w:ascii="Arial" w:hAnsi="Arial" w:cs="Arial"/>
          <w:sz w:val="22"/>
          <w:szCs w:val="22"/>
        </w:rPr>
        <w:t xml:space="preserve">, L., Dale, J., Campbell, J. and Abel, G. </w:t>
      </w:r>
      <w:r>
        <w:rPr>
          <w:rFonts w:ascii="Arial" w:hAnsi="Arial" w:cs="Arial"/>
          <w:sz w:val="22"/>
          <w:szCs w:val="22"/>
        </w:rPr>
        <w:t>(</w:t>
      </w:r>
      <w:r w:rsidRPr="000D1AD9">
        <w:rPr>
          <w:rFonts w:ascii="Arial" w:hAnsi="Arial" w:cs="Arial"/>
          <w:sz w:val="22"/>
          <w:szCs w:val="22"/>
        </w:rPr>
        <w:t>2024</w:t>
      </w:r>
      <w:r>
        <w:rPr>
          <w:rFonts w:ascii="Arial" w:hAnsi="Arial" w:cs="Arial"/>
          <w:sz w:val="22"/>
          <w:szCs w:val="22"/>
        </w:rPr>
        <w:t>)</w:t>
      </w:r>
      <w:r w:rsidRPr="000D1AD9">
        <w:rPr>
          <w:rFonts w:ascii="Arial" w:hAnsi="Arial" w:cs="Arial"/>
          <w:sz w:val="22"/>
          <w:szCs w:val="22"/>
        </w:rPr>
        <w:t xml:space="preserve"> </w:t>
      </w:r>
      <w:r>
        <w:rPr>
          <w:rFonts w:ascii="Arial" w:hAnsi="Arial" w:cs="Arial"/>
          <w:sz w:val="22"/>
          <w:szCs w:val="22"/>
        </w:rPr>
        <w:t>‘</w:t>
      </w:r>
      <w:r w:rsidRPr="000D1AD9">
        <w:rPr>
          <w:rFonts w:ascii="Arial" w:hAnsi="Arial" w:cs="Arial"/>
          <w:sz w:val="22"/>
          <w:szCs w:val="22"/>
        </w:rPr>
        <w:t>Investigating patient use and experience of online appointment booking in primary care: mixed methods study</w:t>
      </w:r>
      <w:r>
        <w:rPr>
          <w:rFonts w:ascii="Arial" w:hAnsi="Arial" w:cs="Arial"/>
          <w:sz w:val="22"/>
          <w:szCs w:val="22"/>
        </w:rPr>
        <w:t>’</w:t>
      </w:r>
      <w:r w:rsidRPr="000D1AD9">
        <w:rPr>
          <w:rFonts w:ascii="Arial" w:hAnsi="Arial" w:cs="Arial"/>
          <w:sz w:val="22"/>
          <w:szCs w:val="22"/>
        </w:rPr>
        <w:t> </w:t>
      </w:r>
      <w:r w:rsidRPr="000D1AD9">
        <w:rPr>
          <w:rFonts w:ascii="Arial" w:hAnsi="Arial" w:cs="Arial"/>
          <w:i/>
          <w:iCs/>
          <w:sz w:val="22"/>
          <w:szCs w:val="22"/>
        </w:rPr>
        <w:t>Journal of Medical Internet Research</w:t>
      </w:r>
      <w:r w:rsidRPr="000D1AD9">
        <w:rPr>
          <w:rFonts w:ascii="Arial" w:hAnsi="Arial" w:cs="Arial"/>
          <w:sz w:val="22"/>
          <w:szCs w:val="22"/>
        </w:rPr>
        <w:t>, </w:t>
      </w:r>
      <w:r w:rsidRPr="000D1AD9">
        <w:rPr>
          <w:rFonts w:ascii="Arial" w:hAnsi="Arial" w:cs="Arial"/>
          <w:i/>
          <w:iCs/>
          <w:sz w:val="22"/>
          <w:szCs w:val="22"/>
        </w:rPr>
        <w:t>26</w:t>
      </w:r>
      <w:r w:rsidRPr="000D1AD9">
        <w:rPr>
          <w:rFonts w:ascii="Arial" w:hAnsi="Arial" w:cs="Arial"/>
          <w:sz w:val="22"/>
          <w:szCs w:val="22"/>
        </w:rPr>
        <w:t>, p.e51931.</w:t>
      </w:r>
    </w:p>
    <w:p w14:paraId="6F578B18" w14:textId="05F5CE56" w:rsidR="00993788" w:rsidRDefault="00993788" w:rsidP="00993788">
      <w:pPr>
        <w:jc w:val="both"/>
      </w:pPr>
      <w:r w:rsidRPr="0031628A">
        <w:t xml:space="preserve">Baird, B., Beech, J., Chauhan, K., Boyle, T. and </w:t>
      </w:r>
      <w:proofErr w:type="spellStart"/>
      <w:r w:rsidRPr="0031628A">
        <w:t>Bharmal</w:t>
      </w:r>
      <w:proofErr w:type="spellEnd"/>
      <w:r w:rsidRPr="0031628A">
        <w:t xml:space="preserve">, A. </w:t>
      </w:r>
      <w:r>
        <w:t>(</w:t>
      </w:r>
      <w:r w:rsidRPr="0031628A">
        <w:t>2021</w:t>
      </w:r>
      <w:r>
        <w:t>)</w:t>
      </w:r>
      <w:r w:rsidRPr="0031628A">
        <w:t xml:space="preserve"> </w:t>
      </w:r>
      <w:r>
        <w:t>‘</w:t>
      </w:r>
      <w:r w:rsidRPr="0031628A">
        <w:t>Remote working toolkit for general practices and primary care networks| The King’s Fund</w:t>
      </w:r>
      <w:r>
        <w:t>’,</w:t>
      </w:r>
      <w:r w:rsidRPr="0031628A">
        <w:t> </w:t>
      </w:r>
      <w:r w:rsidRPr="0031628A">
        <w:rPr>
          <w:i/>
          <w:iCs/>
        </w:rPr>
        <w:t>The Kings Fund [Internet]</w:t>
      </w:r>
      <w:r w:rsidRPr="00C764AF">
        <w:t>.</w:t>
      </w:r>
    </w:p>
    <w:p w14:paraId="0C80190C" w14:textId="6876874F" w:rsidR="00993788" w:rsidRDefault="00993788" w:rsidP="00993788">
      <w:pPr>
        <w:jc w:val="both"/>
      </w:pPr>
      <w:r w:rsidRPr="00DF3D56">
        <w:t xml:space="preserve">Bikker, A.P., Mercer, S.W. and Reilly, D. </w:t>
      </w:r>
      <w:r>
        <w:t>(</w:t>
      </w:r>
      <w:r w:rsidRPr="00DF3D56">
        <w:t>2005</w:t>
      </w:r>
      <w:r>
        <w:t>)</w:t>
      </w:r>
      <w:r w:rsidRPr="00DF3D56">
        <w:t xml:space="preserve"> </w:t>
      </w:r>
      <w:r>
        <w:t>‘</w:t>
      </w:r>
      <w:r w:rsidRPr="00DF3D56">
        <w:t>A pilot prospective study on the consultation and relational empathy, patient enablement, and health changes over 12 months in patients going to the Glasgow Homoeopathic Hospital</w:t>
      </w:r>
      <w:r>
        <w:t>’,</w:t>
      </w:r>
      <w:r w:rsidRPr="00DF3D56">
        <w:t> </w:t>
      </w:r>
      <w:r w:rsidRPr="00DF3D56">
        <w:rPr>
          <w:i/>
          <w:iCs/>
        </w:rPr>
        <w:t>The Journal of Alternative and Complementary Medicine: Paradigm, Practice, and Policy Advancing Integrative Health</w:t>
      </w:r>
      <w:r w:rsidRPr="00DF3D56">
        <w:t>, </w:t>
      </w:r>
      <w:r w:rsidRPr="00DF3D56">
        <w:rPr>
          <w:i/>
          <w:iCs/>
        </w:rPr>
        <w:t>11</w:t>
      </w:r>
      <w:r w:rsidRPr="00DF3D56">
        <w:t>(4), pp.591-600.</w:t>
      </w:r>
    </w:p>
    <w:p w14:paraId="294DA89E" w14:textId="77777777" w:rsidR="00993788" w:rsidRDefault="00993788" w:rsidP="00993788">
      <w:pPr>
        <w:jc w:val="both"/>
      </w:pPr>
      <w:r w:rsidRPr="00E30CAB">
        <w:t xml:space="preserve">Borges </w:t>
      </w:r>
      <w:proofErr w:type="spellStart"/>
      <w:r w:rsidRPr="00E30CAB">
        <w:t>Migliavaca</w:t>
      </w:r>
      <w:proofErr w:type="spellEnd"/>
      <w:r w:rsidRPr="00E30CAB">
        <w:t xml:space="preserve">, C., Stein, C., </w:t>
      </w:r>
      <w:proofErr w:type="spellStart"/>
      <w:r w:rsidRPr="00E30CAB">
        <w:t>Colpani</w:t>
      </w:r>
      <w:proofErr w:type="spellEnd"/>
      <w:r w:rsidRPr="00E30CAB">
        <w:t xml:space="preserve">, V., Barker, T.H., Munn, Z., </w:t>
      </w:r>
      <w:proofErr w:type="spellStart"/>
      <w:r w:rsidRPr="00E30CAB">
        <w:t>Falavigna</w:t>
      </w:r>
      <w:proofErr w:type="spellEnd"/>
      <w:r w:rsidRPr="00E30CAB">
        <w:t>, M. and Prevalence Estimates Reviews–Systematic Review Methodology Group (</w:t>
      </w:r>
      <w:proofErr w:type="spellStart"/>
      <w:r w:rsidRPr="00E30CAB">
        <w:t>PERSyst</w:t>
      </w:r>
      <w:proofErr w:type="spellEnd"/>
      <w:r w:rsidRPr="00E30CAB">
        <w:t>), 2020. How are systematic reviews of prevalence conducted? A methodological study. </w:t>
      </w:r>
      <w:r w:rsidRPr="00E30CAB">
        <w:rPr>
          <w:i/>
          <w:iCs/>
        </w:rPr>
        <w:t>BMC medical research methodology</w:t>
      </w:r>
      <w:r w:rsidRPr="00E30CAB">
        <w:t>, </w:t>
      </w:r>
      <w:r w:rsidRPr="00E30CAB">
        <w:rPr>
          <w:i/>
          <w:iCs/>
        </w:rPr>
        <w:t>20</w:t>
      </w:r>
      <w:r w:rsidRPr="00E30CAB">
        <w:t>(1), p.96.</w:t>
      </w:r>
    </w:p>
    <w:p w14:paraId="234A8546" w14:textId="37C172CD" w:rsidR="00993788" w:rsidRPr="000D1AD9" w:rsidRDefault="00993788" w:rsidP="000D1AD9">
      <w:pPr>
        <w:spacing w:line="360" w:lineRule="auto"/>
        <w:jc w:val="both"/>
        <w:rPr>
          <w:rFonts w:ascii="Arial" w:hAnsi="Arial" w:cs="Arial"/>
          <w:sz w:val="22"/>
          <w:szCs w:val="22"/>
        </w:rPr>
      </w:pPr>
      <w:r w:rsidRPr="000D1AD9">
        <w:rPr>
          <w:rFonts w:ascii="Arial" w:hAnsi="Arial" w:cs="Arial"/>
          <w:sz w:val="22"/>
          <w:szCs w:val="22"/>
        </w:rPr>
        <w:t xml:space="preserve">Braun, V. and Clarke, V. </w:t>
      </w:r>
      <w:r>
        <w:rPr>
          <w:rFonts w:ascii="Arial" w:hAnsi="Arial" w:cs="Arial"/>
          <w:sz w:val="22"/>
          <w:szCs w:val="22"/>
        </w:rPr>
        <w:t>(</w:t>
      </w:r>
      <w:r w:rsidRPr="000D1AD9">
        <w:rPr>
          <w:rFonts w:ascii="Arial" w:hAnsi="Arial" w:cs="Arial"/>
          <w:sz w:val="22"/>
          <w:szCs w:val="22"/>
        </w:rPr>
        <w:t>2023</w:t>
      </w:r>
      <w:r>
        <w:rPr>
          <w:rFonts w:ascii="Arial" w:hAnsi="Arial" w:cs="Arial"/>
          <w:sz w:val="22"/>
          <w:szCs w:val="22"/>
        </w:rPr>
        <w:t>)</w:t>
      </w:r>
      <w:r w:rsidRPr="000D1AD9">
        <w:rPr>
          <w:rFonts w:ascii="Arial" w:hAnsi="Arial" w:cs="Arial"/>
          <w:sz w:val="22"/>
          <w:szCs w:val="22"/>
        </w:rPr>
        <w:t xml:space="preserve"> </w:t>
      </w:r>
      <w:r>
        <w:rPr>
          <w:rFonts w:ascii="Arial" w:hAnsi="Arial" w:cs="Arial"/>
          <w:sz w:val="22"/>
          <w:szCs w:val="22"/>
        </w:rPr>
        <w:t>‘</w:t>
      </w:r>
      <w:r w:rsidRPr="000D1AD9">
        <w:rPr>
          <w:rFonts w:ascii="Arial" w:hAnsi="Arial" w:cs="Arial"/>
          <w:sz w:val="22"/>
          <w:szCs w:val="22"/>
        </w:rPr>
        <w:t xml:space="preserve">Toward good practice in thematic analysis: Avoiding common problems and be (com) </w:t>
      </w:r>
      <w:proofErr w:type="spellStart"/>
      <w:r w:rsidRPr="000D1AD9">
        <w:rPr>
          <w:rFonts w:ascii="Arial" w:hAnsi="Arial" w:cs="Arial"/>
          <w:sz w:val="22"/>
          <w:szCs w:val="22"/>
        </w:rPr>
        <w:t>ing</w:t>
      </w:r>
      <w:proofErr w:type="spellEnd"/>
      <w:r w:rsidRPr="000D1AD9">
        <w:rPr>
          <w:rFonts w:ascii="Arial" w:hAnsi="Arial" w:cs="Arial"/>
          <w:sz w:val="22"/>
          <w:szCs w:val="22"/>
        </w:rPr>
        <w:t xml:space="preserve"> a knowing researcher</w:t>
      </w:r>
      <w:r>
        <w:rPr>
          <w:rFonts w:ascii="Arial" w:hAnsi="Arial" w:cs="Arial"/>
          <w:sz w:val="22"/>
          <w:szCs w:val="22"/>
        </w:rPr>
        <w:t>’,</w:t>
      </w:r>
      <w:r w:rsidRPr="000D1AD9">
        <w:rPr>
          <w:rFonts w:ascii="Arial" w:hAnsi="Arial" w:cs="Arial"/>
          <w:sz w:val="22"/>
          <w:szCs w:val="22"/>
        </w:rPr>
        <w:t> </w:t>
      </w:r>
      <w:r w:rsidRPr="000D1AD9">
        <w:rPr>
          <w:rFonts w:ascii="Arial" w:hAnsi="Arial" w:cs="Arial"/>
          <w:i/>
          <w:iCs/>
          <w:sz w:val="22"/>
          <w:szCs w:val="22"/>
        </w:rPr>
        <w:t>International journal of transgender health</w:t>
      </w:r>
      <w:r w:rsidRPr="000D1AD9">
        <w:rPr>
          <w:rFonts w:ascii="Arial" w:hAnsi="Arial" w:cs="Arial"/>
          <w:sz w:val="22"/>
          <w:szCs w:val="22"/>
        </w:rPr>
        <w:t>, </w:t>
      </w:r>
      <w:r w:rsidRPr="000D1AD9">
        <w:rPr>
          <w:rFonts w:ascii="Arial" w:hAnsi="Arial" w:cs="Arial"/>
          <w:i/>
          <w:iCs/>
          <w:sz w:val="22"/>
          <w:szCs w:val="22"/>
        </w:rPr>
        <w:t>24</w:t>
      </w:r>
      <w:r w:rsidRPr="000D1AD9">
        <w:rPr>
          <w:rFonts w:ascii="Arial" w:hAnsi="Arial" w:cs="Arial"/>
          <w:sz w:val="22"/>
          <w:szCs w:val="22"/>
        </w:rPr>
        <w:t>(1), pp.1-6.</w:t>
      </w:r>
    </w:p>
    <w:p w14:paraId="7CE79A07" w14:textId="6328CC5A" w:rsidR="00993788" w:rsidRDefault="00993788" w:rsidP="00993788">
      <w:pPr>
        <w:jc w:val="both"/>
      </w:pPr>
      <w:r w:rsidRPr="00E30CAB">
        <w:lastRenderedPageBreak/>
        <w:t xml:space="preserve">Braun, V. and Clarke, V. </w:t>
      </w:r>
      <w:r>
        <w:t>(</w:t>
      </w:r>
      <w:r w:rsidRPr="00E30CAB">
        <w:t>2022</w:t>
      </w:r>
      <w:r>
        <w:t>)</w:t>
      </w:r>
      <w:r w:rsidRPr="00E30CAB">
        <w:t xml:space="preserve"> </w:t>
      </w:r>
      <w:r>
        <w:t>‘</w:t>
      </w:r>
      <w:r w:rsidRPr="00E30CAB">
        <w:t>Conceptual and design thinking for thematic analysis</w:t>
      </w:r>
      <w:r>
        <w:t>’,</w:t>
      </w:r>
      <w:r w:rsidRPr="00E30CAB">
        <w:t> </w:t>
      </w:r>
      <w:r w:rsidRPr="00E30CAB">
        <w:rPr>
          <w:i/>
          <w:iCs/>
        </w:rPr>
        <w:t>Qualitative psychology</w:t>
      </w:r>
      <w:r w:rsidRPr="00E30CAB">
        <w:t>, </w:t>
      </w:r>
      <w:r w:rsidRPr="00E30CAB">
        <w:rPr>
          <w:i/>
          <w:iCs/>
        </w:rPr>
        <w:t>9</w:t>
      </w:r>
      <w:r w:rsidRPr="00E30CAB">
        <w:t>(1), p.3.</w:t>
      </w:r>
    </w:p>
    <w:p w14:paraId="5C0D094F" w14:textId="4C374473" w:rsidR="00993788" w:rsidRDefault="00993788" w:rsidP="00993788">
      <w:pPr>
        <w:jc w:val="both"/>
      </w:pPr>
      <w:r w:rsidRPr="00E30CAB">
        <w:t xml:space="preserve">Braun, V. and Clarke, V. </w:t>
      </w:r>
      <w:r>
        <w:t>(</w:t>
      </w:r>
      <w:r w:rsidRPr="00E30CAB">
        <w:t>2024</w:t>
      </w:r>
      <w:r>
        <w:t>)</w:t>
      </w:r>
      <w:r w:rsidRPr="00E30CAB">
        <w:t xml:space="preserve"> </w:t>
      </w:r>
      <w:r>
        <w:t>‘</w:t>
      </w:r>
      <w:r w:rsidRPr="00E30CAB">
        <w:t>Supporting best practice in reflexive thematic analysis reporting in Palliative Medicine: A review of published research and introduction to the Reflexive Thematic Analysis Reporting Guidelines (RTARG)</w:t>
      </w:r>
      <w:r>
        <w:t>’,</w:t>
      </w:r>
      <w:r w:rsidRPr="00E30CAB">
        <w:t> </w:t>
      </w:r>
      <w:r w:rsidRPr="00E30CAB">
        <w:rPr>
          <w:i/>
          <w:iCs/>
        </w:rPr>
        <w:t>Palliative medicine</w:t>
      </w:r>
      <w:r w:rsidRPr="00E30CAB">
        <w:t>, </w:t>
      </w:r>
      <w:r w:rsidRPr="00E30CAB">
        <w:rPr>
          <w:i/>
          <w:iCs/>
        </w:rPr>
        <w:t>38</w:t>
      </w:r>
      <w:r w:rsidRPr="00E30CAB">
        <w:t>(6), pp.608-616.</w:t>
      </w:r>
    </w:p>
    <w:p w14:paraId="7B2B04D2" w14:textId="63C74090" w:rsidR="00993788" w:rsidRDefault="00993788" w:rsidP="00993788">
      <w:pPr>
        <w:jc w:val="both"/>
      </w:pPr>
      <w:r w:rsidRPr="00E30CAB">
        <w:t xml:space="preserve">Byrne, D. </w:t>
      </w:r>
      <w:r>
        <w:t>(</w:t>
      </w:r>
      <w:r w:rsidRPr="00E30CAB">
        <w:t>2022</w:t>
      </w:r>
      <w:r>
        <w:t>)</w:t>
      </w:r>
      <w:r w:rsidRPr="00E30CAB">
        <w:t xml:space="preserve"> </w:t>
      </w:r>
      <w:r>
        <w:t>‘</w:t>
      </w:r>
      <w:r w:rsidRPr="00E30CAB">
        <w:t>A worked example of Braun and Clarke’s approach to reflexive thematic analysis</w:t>
      </w:r>
      <w:r>
        <w:t>’,</w:t>
      </w:r>
      <w:r w:rsidRPr="00E30CAB">
        <w:t> </w:t>
      </w:r>
      <w:r w:rsidRPr="00E30CAB">
        <w:rPr>
          <w:i/>
          <w:iCs/>
        </w:rPr>
        <w:t>Quality &amp; quantity</w:t>
      </w:r>
      <w:r w:rsidRPr="00E30CAB">
        <w:t>, </w:t>
      </w:r>
      <w:r w:rsidRPr="00E30CAB">
        <w:rPr>
          <w:i/>
          <w:iCs/>
        </w:rPr>
        <w:t>56</w:t>
      </w:r>
      <w:r w:rsidRPr="00E30CAB">
        <w:t>(3), pp.1391-1412.</w:t>
      </w:r>
    </w:p>
    <w:p w14:paraId="3C64E66C" w14:textId="3825A3BD" w:rsidR="00993788" w:rsidRDefault="00993788" w:rsidP="00993788">
      <w:pPr>
        <w:jc w:val="both"/>
      </w:pPr>
      <w:proofErr w:type="spellStart"/>
      <w:r w:rsidRPr="00E30CAB">
        <w:t>Dhippayom</w:t>
      </w:r>
      <w:proofErr w:type="spellEnd"/>
      <w:r w:rsidRPr="00E30CAB">
        <w:t xml:space="preserve">, T., </w:t>
      </w:r>
      <w:proofErr w:type="spellStart"/>
      <w:r w:rsidRPr="00E30CAB">
        <w:t>Rattanachaisit</w:t>
      </w:r>
      <w:proofErr w:type="spellEnd"/>
      <w:r w:rsidRPr="00E30CAB">
        <w:t xml:space="preserve">, N., </w:t>
      </w:r>
      <w:proofErr w:type="spellStart"/>
      <w:r w:rsidRPr="00E30CAB">
        <w:t>Wateemongkollert</w:t>
      </w:r>
      <w:proofErr w:type="spellEnd"/>
      <w:r w:rsidRPr="00E30CAB">
        <w:t xml:space="preserve">, A., </w:t>
      </w:r>
      <w:proofErr w:type="spellStart"/>
      <w:r w:rsidRPr="00E30CAB">
        <w:t>Napim</w:t>
      </w:r>
      <w:proofErr w:type="spellEnd"/>
      <w:r w:rsidRPr="00E30CAB">
        <w:t xml:space="preserve">, R. and </w:t>
      </w:r>
      <w:proofErr w:type="spellStart"/>
      <w:r w:rsidRPr="00E30CAB">
        <w:t>Chaiyakunapruk</w:t>
      </w:r>
      <w:proofErr w:type="spellEnd"/>
      <w:r w:rsidRPr="00E30CAB">
        <w:t xml:space="preserve">, N. </w:t>
      </w:r>
      <w:r>
        <w:t>(</w:t>
      </w:r>
      <w:r w:rsidRPr="00E30CAB">
        <w:t>2023</w:t>
      </w:r>
      <w:r>
        <w:t>)</w:t>
      </w:r>
      <w:r w:rsidRPr="00E30CAB">
        <w:t xml:space="preserve"> </w:t>
      </w:r>
      <w:r>
        <w:t>‘</w:t>
      </w:r>
      <w:r w:rsidRPr="00E30CAB">
        <w:t>Should CINAHL be used as one of the main databases for evidence synthesis of health services intervention?</w:t>
      </w:r>
      <w:r>
        <w:t>’,</w:t>
      </w:r>
      <w:r w:rsidRPr="00E30CAB">
        <w:t> </w:t>
      </w:r>
      <w:r w:rsidRPr="00E30CAB">
        <w:rPr>
          <w:i/>
          <w:iCs/>
        </w:rPr>
        <w:t>Cochrane Evidence Synthesis and Methods</w:t>
      </w:r>
      <w:r w:rsidRPr="00E30CAB">
        <w:t>, </w:t>
      </w:r>
      <w:r w:rsidRPr="00E30CAB">
        <w:rPr>
          <w:i/>
          <w:iCs/>
        </w:rPr>
        <w:t>1</w:t>
      </w:r>
      <w:r w:rsidRPr="00E30CAB">
        <w:t>(5), p.e12019.</w:t>
      </w:r>
    </w:p>
    <w:p w14:paraId="05E89A13" w14:textId="3D334B0F" w:rsidR="00993788" w:rsidRDefault="00993788" w:rsidP="00993788">
      <w:pPr>
        <w:jc w:val="both"/>
      </w:pPr>
      <w:r w:rsidRPr="00964D5D">
        <w:t xml:space="preserve">England, N.H.S. and Improvement, N.H.S. </w:t>
      </w:r>
      <w:r>
        <w:t>(</w:t>
      </w:r>
      <w:r w:rsidRPr="00964D5D">
        <w:t>2020</w:t>
      </w:r>
      <w:r>
        <w:t>)</w:t>
      </w:r>
      <w:r w:rsidRPr="00964D5D">
        <w:t xml:space="preserve"> </w:t>
      </w:r>
      <w:r>
        <w:t>‘</w:t>
      </w:r>
      <w:r w:rsidRPr="00964D5D">
        <w:t>Science in healthcare: Delivering the NHS long term plan</w:t>
      </w:r>
      <w:r>
        <w:t>’,</w:t>
      </w:r>
      <w:r w:rsidRPr="00964D5D">
        <w:t> </w:t>
      </w:r>
      <w:r w:rsidRPr="00964D5D">
        <w:rPr>
          <w:i/>
          <w:iCs/>
        </w:rPr>
        <w:t>The chief scientific officer’s strategy</w:t>
      </w:r>
      <w:r w:rsidRPr="00964D5D">
        <w:t>.</w:t>
      </w:r>
    </w:p>
    <w:p w14:paraId="476B8067" w14:textId="07131E44" w:rsidR="00993788" w:rsidRDefault="00993788" w:rsidP="00993788">
      <w:pPr>
        <w:jc w:val="both"/>
      </w:pPr>
      <w:r w:rsidRPr="00C35743">
        <w:t xml:space="preserve">Fisher, R. and </w:t>
      </w:r>
      <w:proofErr w:type="spellStart"/>
      <w:r w:rsidRPr="00C35743">
        <w:t>Alderwick</w:t>
      </w:r>
      <w:proofErr w:type="spellEnd"/>
      <w:r w:rsidRPr="00C35743">
        <w:t xml:space="preserve">, H. </w:t>
      </w:r>
      <w:r>
        <w:t>(</w:t>
      </w:r>
      <w:r w:rsidRPr="00C35743">
        <w:t>2024</w:t>
      </w:r>
      <w:r>
        <w:t>)</w:t>
      </w:r>
      <w:r w:rsidRPr="00C35743">
        <w:t xml:space="preserve"> </w:t>
      </w:r>
      <w:r>
        <w:t>‘</w:t>
      </w:r>
      <w:r w:rsidRPr="00C35743">
        <w:t xml:space="preserve">The performance of general practice in the English National Health Service (NHS): an analysis using </w:t>
      </w:r>
      <w:proofErr w:type="spellStart"/>
      <w:r w:rsidRPr="00C35743">
        <w:t>Starfield's</w:t>
      </w:r>
      <w:proofErr w:type="spellEnd"/>
      <w:r w:rsidRPr="00C35743">
        <w:t xml:space="preserve"> framework for primary care</w:t>
      </w:r>
      <w:r>
        <w:t>’,</w:t>
      </w:r>
      <w:r w:rsidRPr="00C35743">
        <w:t> </w:t>
      </w:r>
      <w:r w:rsidRPr="00C35743">
        <w:rPr>
          <w:i/>
          <w:iCs/>
        </w:rPr>
        <w:t>Health affairs scholar</w:t>
      </w:r>
      <w:r w:rsidRPr="00C35743">
        <w:t>, </w:t>
      </w:r>
      <w:r w:rsidRPr="00C35743">
        <w:rPr>
          <w:i/>
          <w:iCs/>
        </w:rPr>
        <w:t>2</w:t>
      </w:r>
      <w:r w:rsidRPr="00C35743">
        <w:t xml:space="preserve">(3), </w:t>
      </w:r>
      <w:proofErr w:type="gramStart"/>
      <w:r w:rsidRPr="00C35743">
        <w:t>p.qxae</w:t>
      </w:r>
      <w:proofErr w:type="gramEnd"/>
      <w:r w:rsidRPr="00C35743">
        <w:t>022.</w:t>
      </w:r>
    </w:p>
    <w:p w14:paraId="0229BD6C" w14:textId="3BAF81E5" w:rsidR="00993788" w:rsidRPr="000D1AD9" w:rsidRDefault="00993788" w:rsidP="000D1AD9">
      <w:pPr>
        <w:spacing w:line="360" w:lineRule="auto"/>
        <w:jc w:val="both"/>
        <w:rPr>
          <w:rFonts w:ascii="Arial" w:hAnsi="Arial" w:cs="Arial"/>
          <w:sz w:val="22"/>
          <w:szCs w:val="22"/>
        </w:rPr>
      </w:pPr>
      <w:r w:rsidRPr="000D1AD9">
        <w:rPr>
          <w:rFonts w:ascii="Arial" w:hAnsi="Arial" w:cs="Arial"/>
          <w:sz w:val="22"/>
          <w:szCs w:val="22"/>
        </w:rPr>
        <w:t xml:space="preserve">Goulding, L., Williams, J., White, A., Jackson, A., Lelliott, Z., Adams, S., Chua, K.C., Nahabedian, N., Onwumere, J., Woollard, J. and </w:t>
      </w:r>
      <w:proofErr w:type="spellStart"/>
      <w:r w:rsidRPr="000D1AD9">
        <w:rPr>
          <w:rFonts w:ascii="Arial" w:hAnsi="Arial" w:cs="Arial"/>
          <w:sz w:val="22"/>
          <w:szCs w:val="22"/>
        </w:rPr>
        <w:t>Sevdalis</w:t>
      </w:r>
      <w:proofErr w:type="spellEnd"/>
      <w:r w:rsidRPr="000D1AD9">
        <w:rPr>
          <w:rFonts w:ascii="Arial" w:hAnsi="Arial" w:cs="Arial"/>
          <w:sz w:val="22"/>
          <w:szCs w:val="22"/>
        </w:rPr>
        <w:t xml:space="preserve">, N. </w:t>
      </w:r>
      <w:r>
        <w:rPr>
          <w:rFonts w:ascii="Arial" w:hAnsi="Arial" w:cs="Arial"/>
          <w:sz w:val="22"/>
          <w:szCs w:val="22"/>
        </w:rPr>
        <w:t>(</w:t>
      </w:r>
      <w:r w:rsidRPr="000D1AD9">
        <w:rPr>
          <w:rFonts w:ascii="Arial" w:hAnsi="Arial" w:cs="Arial"/>
          <w:sz w:val="22"/>
          <w:szCs w:val="22"/>
        </w:rPr>
        <w:t>2024</w:t>
      </w:r>
      <w:r>
        <w:rPr>
          <w:rFonts w:ascii="Arial" w:hAnsi="Arial" w:cs="Arial"/>
          <w:sz w:val="22"/>
          <w:szCs w:val="22"/>
        </w:rPr>
        <w:t>)</w:t>
      </w:r>
      <w:r w:rsidRPr="000D1AD9">
        <w:rPr>
          <w:rFonts w:ascii="Arial" w:hAnsi="Arial" w:cs="Arial"/>
          <w:sz w:val="22"/>
          <w:szCs w:val="22"/>
        </w:rPr>
        <w:t xml:space="preserve"> </w:t>
      </w:r>
      <w:r>
        <w:rPr>
          <w:rFonts w:ascii="Arial" w:hAnsi="Arial" w:cs="Arial"/>
          <w:sz w:val="22"/>
          <w:szCs w:val="22"/>
        </w:rPr>
        <w:t>‘</w:t>
      </w:r>
      <w:r w:rsidRPr="000D1AD9">
        <w:rPr>
          <w:rFonts w:ascii="Arial" w:hAnsi="Arial" w:cs="Arial"/>
          <w:sz w:val="22"/>
          <w:szCs w:val="22"/>
        </w:rPr>
        <w:t>Remote consultations in mental health: collaborative evaluation applying learning health systems thinking</w:t>
      </w:r>
      <w:r>
        <w:rPr>
          <w:rFonts w:ascii="Arial" w:hAnsi="Arial" w:cs="Arial"/>
          <w:sz w:val="22"/>
          <w:szCs w:val="22"/>
        </w:rPr>
        <w:t>’,</w:t>
      </w:r>
      <w:r w:rsidRPr="000D1AD9">
        <w:rPr>
          <w:rFonts w:ascii="Arial" w:hAnsi="Arial" w:cs="Arial"/>
          <w:sz w:val="22"/>
          <w:szCs w:val="22"/>
        </w:rPr>
        <w:t> </w:t>
      </w:r>
      <w:proofErr w:type="spellStart"/>
      <w:r w:rsidRPr="000D1AD9">
        <w:rPr>
          <w:rFonts w:ascii="Arial" w:hAnsi="Arial" w:cs="Arial"/>
          <w:i/>
          <w:iCs/>
          <w:sz w:val="22"/>
          <w:szCs w:val="22"/>
        </w:rPr>
        <w:t>BJPsych</w:t>
      </w:r>
      <w:proofErr w:type="spellEnd"/>
      <w:r w:rsidRPr="000D1AD9">
        <w:rPr>
          <w:rFonts w:ascii="Arial" w:hAnsi="Arial" w:cs="Arial"/>
          <w:i/>
          <w:iCs/>
          <w:sz w:val="22"/>
          <w:szCs w:val="22"/>
        </w:rPr>
        <w:t xml:space="preserve"> Bulletin</w:t>
      </w:r>
      <w:r w:rsidRPr="000D1AD9">
        <w:rPr>
          <w:rFonts w:ascii="Arial" w:hAnsi="Arial" w:cs="Arial"/>
          <w:sz w:val="22"/>
          <w:szCs w:val="22"/>
        </w:rPr>
        <w:t>, pp.1-10.</w:t>
      </w:r>
    </w:p>
    <w:p w14:paraId="16548F16" w14:textId="0F986C12" w:rsidR="00993788" w:rsidRDefault="00993788" w:rsidP="00993788">
      <w:pPr>
        <w:jc w:val="both"/>
      </w:pPr>
      <w:r w:rsidRPr="00E30CAB">
        <w:t xml:space="preserve">Hasan, N., Rana, R.U., Chowdhury, S., Dola, A.J. and Rony, M.K.K. </w:t>
      </w:r>
      <w:r w:rsidR="002A7780">
        <w:t>(</w:t>
      </w:r>
      <w:r w:rsidRPr="00E30CAB">
        <w:t>2021</w:t>
      </w:r>
      <w:r w:rsidR="002A7780">
        <w:t>)</w:t>
      </w:r>
      <w:r w:rsidRPr="00E30CAB">
        <w:t xml:space="preserve"> </w:t>
      </w:r>
      <w:r w:rsidR="002A7780">
        <w:t>‘</w:t>
      </w:r>
      <w:r w:rsidRPr="00E30CAB">
        <w:t>Ethical considerations in research</w:t>
      </w:r>
      <w:r w:rsidR="002A7780">
        <w:t>’,</w:t>
      </w:r>
      <w:r w:rsidRPr="00E30CAB">
        <w:t> </w:t>
      </w:r>
      <w:r w:rsidRPr="00E30CAB">
        <w:rPr>
          <w:i/>
          <w:iCs/>
        </w:rPr>
        <w:t>Journal of Nursing Research, Patient Safety and Practise</w:t>
      </w:r>
      <w:r w:rsidRPr="00E30CAB">
        <w:t>, </w:t>
      </w:r>
      <w:r w:rsidRPr="00E30CAB">
        <w:rPr>
          <w:i/>
          <w:iCs/>
        </w:rPr>
        <w:t>1</w:t>
      </w:r>
      <w:r w:rsidRPr="00E30CAB">
        <w:t>(1), pp.1-4.</w:t>
      </w:r>
    </w:p>
    <w:p w14:paraId="4501F0F9" w14:textId="2657BDC5" w:rsidR="00993788" w:rsidRDefault="00993788" w:rsidP="00993788">
      <w:pPr>
        <w:jc w:val="both"/>
      </w:pPr>
      <w:r w:rsidRPr="00E30CAB">
        <w:t xml:space="preserve">Khurshid, Z., Tariq, R., Asiri, F.Y., Abid, K. and Zafar, M.S. </w:t>
      </w:r>
      <w:r w:rsidR="002A7780">
        <w:t>(</w:t>
      </w:r>
      <w:r w:rsidRPr="00E30CAB">
        <w:t>2021</w:t>
      </w:r>
      <w:r w:rsidR="002A7780">
        <w:t>)</w:t>
      </w:r>
      <w:r w:rsidRPr="00E30CAB">
        <w:t xml:space="preserve"> </w:t>
      </w:r>
      <w:r w:rsidR="002A7780">
        <w:t>‘</w:t>
      </w:r>
      <w:r w:rsidRPr="00E30CAB">
        <w:t>Literature search strategies in dental education and research</w:t>
      </w:r>
      <w:r w:rsidR="002A7780">
        <w:t>’,</w:t>
      </w:r>
      <w:r w:rsidRPr="00E30CAB">
        <w:t> </w:t>
      </w:r>
      <w:r w:rsidRPr="00E30CAB">
        <w:rPr>
          <w:i/>
          <w:iCs/>
        </w:rPr>
        <w:t>Journal of Taibah University Medical Sciences</w:t>
      </w:r>
      <w:r w:rsidRPr="00E30CAB">
        <w:t>, </w:t>
      </w:r>
      <w:r w:rsidRPr="00E30CAB">
        <w:rPr>
          <w:i/>
          <w:iCs/>
        </w:rPr>
        <w:t>16</w:t>
      </w:r>
      <w:r w:rsidRPr="00E30CAB">
        <w:t>(6), pp.799-806.</w:t>
      </w:r>
    </w:p>
    <w:p w14:paraId="768650DA" w14:textId="1A6C7021" w:rsidR="00993788" w:rsidRPr="000D1AD9" w:rsidRDefault="00993788" w:rsidP="000D1AD9">
      <w:pPr>
        <w:spacing w:line="360" w:lineRule="auto"/>
        <w:jc w:val="both"/>
        <w:rPr>
          <w:rFonts w:ascii="Arial" w:hAnsi="Arial" w:cs="Arial"/>
          <w:sz w:val="22"/>
          <w:szCs w:val="22"/>
        </w:rPr>
      </w:pPr>
      <w:r w:rsidRPr="000D1AD9">
        <w:rPr>
          <w:rFonts w:ascii="Arial" w:hAnsi="Arial" w:cs="Arial"/>
          <w:sz w:val="22"/>
          <w:szCs w:val="22"/>
        </w:rPr>
        <w:t xml:space="preserve">Munn, Z., Peters, M.D., Stern, C., Tufanaru, C., McArthur, A. and </w:t>
      </w:r>
      <w:proofErr w:type="spellStart"/>
      <w:r w:rsidRPr="000D1AD9">
        <w:rPr>
          <w:rFonts w:ascii="Arial" w:hAnsi="Arial" w:cs="Arial"/>
          <w:sz w:val="22"/>
          <w:szCs w:val="22"/>
        </w:rPr>
        <w:t>Aromataris</w:t>
      </w:r>
      <w:proofErr w:type="spellEnd"/>
      <w:r w:rsidRPr="000D1AD9">
        <w:rPr>
          <w:rFonts w:ascii="Arial" w:hAnsi="Arial" w:cs="Arial"/>
          <w:sz w:val="22"/>
          <w:szCs w:val="22"/>
        </w:rPr>
        <w:t xml:space="preserve">, E. </w:t>
      </w:r>
      <w:r>
        <w:rPr>
          <w:rFonts w:ascii="Arial" w:hAnsi="Arial" w:cs="Arial"/>
          <w:sz w:val="22"/>
          <w:szCs w:val="22"/>
        </w:rPr>
        <w:t>(</w:t>
      </w:r>
      <w:r w:rsidRPr="000D1AD9">
        <w:rPr>
          <w:rFonts w:ascii="Arial" w:hAnsi="Arial" w:cs="Arial"/>
          <w:sz w:val="22"/>
          <w:szCs w:val="22"/>
        </w:rPr>
        <w:t>2018</w:t>
      </w:r>
      <w:r>
        <w:rPr>
          <w:rFonts w:ascii="Arial" w:hAnsi="Arial" w:cs="Arial"/>
          <w:sz w:val="22"/>
          <w:szCs w:val="22"/>
        </w:rPr>
        <w:t>)</w:t>
      </w:r>
      <w:r w:rsidRPr="000D1AD9">
        <w:rPr>
          <w:rFonts w:ascii="Arial" w:hAnsi="Arial" w:cs="Arial"/>
          <w:sz w:val="22"/>
          <w:szCs w:val="22"/>
        </w:rPr>
        <w:t xml:space="preserve"> </w:t>
      </w:r>
      <w:r w:rsidR="002A7780">
        <w:rPr>
          <w:rFonts w:ascii="Arial" w:hAnsi="Arial" w:cs="Arial"/>
          <w:sz w:val="22"/>
          <w:szCs w:val="22"/>
        </w:rPr>
        <w:t>‘</w:t>
      </w:r>
      <w:r w:rsidRPr="000D1AD9">
        <w:rPr>
          <w:rFonts w:ascii="Arial" w:hAnsi="Arial" w:cs="Arial"/>
          <w:sz w:val="22"/>
          <w:szCs w:val="22"/>
        </w:rPr>
        <w:t>Systematic review or scoping review? Guidance for authors when choosing between a systematic or scoping review approach</w:t>
      </w:r>
      <w:r w:rsidR="002A7780">
        <w:rPr>
          <w:rFonts w:ascii="Arial" w:hAnsi="Arial" w:cs="Arial"/>
          <w:sz w:val="22"/>
          <w:szCs w:val="22"/>
        </w:rPr>
        <w:t>’,</w:t>
      </w:r>
      <w:r w:rsidRPr="000D1AD9">
        <w:rPr>
          <w:rFonts w:ascii="Arial" w:hAnsi="Arial" w:cs="Arial"/>
          <w:sz w:val="22"/>
          <w:szCs w:val="22"/>
        </w:rPr>
        <w:t> </w:t>
      </w:r>
      <w:r w:rsidRPr="000D1AD9">
        <w:rPr>
          <w:rFonts w:ascii="Arial" w:hAnsi="Arial" w:cs="Arial"/>
          <w:i/>
          <w:iCs/>
          <w:sz w:val="22"/>
          <w:szCs w:val="22"/>
        </w:rPr>
        <w:t>BMC medical research methodology</w:t>
      </w:r>
      <w:r w:rsidRPr="000D1AD9">
        <w:rPr>
          <w:rFonts w:ascii="Arial" w:hAnsi="Arial" w:cs="Arial"/>
          <w:sz w:val="22"/>
          <w:szCs w:val="22"/>
        </w:rPr>
        <w:t>, </w:t>
      </w:r>
      <w:r w:rsidRPr="000D1AD9">
        <w:rPr>
          <w:rFonts w:ascii="Arial" w:hAnsi="Arial" w:cs="Arial"/>
          <w:i/>
          <w:iCs/>
          <w:sz w:val="22"/>
          <w:szCs w:val="22"/>
        </w:rPr>
        <w:t>18</w:t>
      </w:r>
      <w:r w:rsidRPr="000D1AD9">
        <w:rPr>
          <w:rFonts w:ascii="Arial" w:hAnsi="Arial" w:cs="Arial"/>
          <w:sz w:val="22"/>
          <w:szCs w:val="22"/>
        </w:rPr>
        <w:t>(1), p.143.</w:t>
      </w:r>
    </w:p>
    <w:p w14:paraId="19D8B794" w14:textId="0DFBB656" w:rsidR="00993788" w:rsidRDefault="00993788" w:rsidP="00993788">
      <w:pPr>
        <w:jc w:val="both"/>
      </w:pPr>
      <w:proofErr w:type="spellStart"/>
      <w:r w:rsidRPr="00964D5D">
        <w:t>O’Cathain</w:t>
      </w:r>
      <w:proofErr w:type="spellEnd"/>
      <w:r w:rsidRPr="00964D5D">
        <w:t xml:space="preserve">, A., Knowles, E., Long, J., Connell, J., Bishop-Edwards, L., Simpson, R., Coster, J., Abouzeid, L., Bennett, S., </w:t>
      </w:r>
      <w:proofErr w:type="spellStart"/>
      <w:r w:rsidRPr="00964D5D">
        <w:t>Croot</w:t>
      </w:r>
      <w:proofErr w:type="spellEnd"/>
      <w:r w:rsidRPr="00964D5D">
        <w:t xml:space="preserve">, E. and Dickson, J.M. </w:t>
      </w:r>
      <w:r w:rsidR="002A7780">
        <w:t>(</w:t>
      </w:r>
      <w:r w:rsidRPr="00964D5D">
        <w:t>2020</w:t>
      </w:r>
      <w:r w:rsidR="002A7780">
        <w:t>)</w:t>
      </w:r>
      <w:r w:rsidRPr="00964D5D">
        <w:t xml:space="preserve"> </w:t>
      </w:r>
      <w:r w:rsidR="002A7780">
        <w:t>‘</w:t>
      </w:r>
      <w:r w:rsidRPr="00964D5D">
        <w:t xml:space="preserve">Drivers </w:t>
      </w:r>
      <w:proofErr w:type="spellStart"/>
      <w:r w:rsidRPr="00964D5D">
        <w:t>of'clinically</w:t>
      </w:r>
      <w:proofErr w:type="spellEnd"/>
      <w:r w:rsidRPr="00964D5D">
        <w:t xml:space="preserve"> </w:t>
      </w:r>
      <w:proofErr w:type="spellStart"/>
      <w:r w:rsidRPr="00964D5D">
        <w:t>unnecessary'use</w:t>
      </w:r>
      <w:proofErr w:type="spellEnd"/>
      <w:r w:rsidRPr="00964D5D">
        <w:t xml:space="preserve"> of emergency and urgent care: the DEUCE mixed-methods study</w:t>
      </w:r>
      <w:r w:rsidR="002A7780">
        <w:t>’,</w:t>
      </w:r>
      <w:r w:rsidRPr="00964D5D">
        <w:t> </w:t>
      </w:r>
      <w:r w:rsidRPr="00964D5D">
        <w:rPr>
          <w:i/>
          <w:iCs/>
        </w:rPr>
        <w:t>Health and Social Care Delivery Research</w:t>
      </w:r>
      <w:r w:rsidRPr="00964D5D">
        <w:t>, </w:t>
      </w:r>
      <w:r w:rsidRPr="00964D5D">
        <w:rPr>
          <w:i/>
          <w:iCs/>
        </w:rPr>
        <w:t>8</w:t>
      </w:r>
      <w:r w:rsidRPr="00964D5D">
        <w:t>(15), pp.1-256.</w:t>
      </w:r>
    </w:p>
    <w:p w14:paraId="2A077053" w14:textId="094A3993" w:rsidR="00993788" w:rsidRPr="000D1AD9" w:rsidRDefault="00993788" w:rsidP="000D1AD9">
      <w:pPr>
        <w:spacing w:line="360" w:lineRule="auto"/>
        <w:jc w:val="both"/>
        <w:rPr>
          <w:rFonts w:ascii="Arial" w:hAnsi="Arial" w:cs="Arial"/>
          <w:sz w:val="22"/>
          <w:szCs w:val="22"/>
        </w:rPr>
      </w:pPr>
      <w:r w:rsidRPr="000D1AD9">
        <w:rPr>
          <w:rFonts w:ascii="Arial" w:hAnsi="Arial" w:cs="Arial"/>
          <w:sz w:val="22"/>
          <w:szCs w:val="22"/>
        </w:rPr>
        <w:lastRenderedPageBreak/>
        <w:t xml:space="preserve">Parsons, J., Bryce, C. and Atherton, H. </w:t>
      </w:r>
      <w:r>
        <w:rPr>
          <w:rFonts w:ascii="Arial" w:hAnsi="Arial" w:cs="Arial"/>
          <w:sz w:val="22"/>
          <w:szCs w:val="22"/>
        </w:rPr>
        <w:t>(</w:t>
      </w:r>
      <w:r w:rsidRPr="000D1AD9">
        <w:rPr>
          <w:rFonts w:ascii="Arial" w:hAnsi="Arial" w:cs="Arial"/>
          <w:sz w:val="22"/>
          <w:szCs w:val="22"/>
        </w:rPr>
        <w:t>2021</w:t>
      </w:r>
      <w:r>
        <w:rPr>
          <w:rFonts w:ascii="Arial" w:hAnsi="Arial" w:cs="Arial"/>
          <w:sz w:val="22"/>
          <w:szCs w:val="22"/>
        </w:rPr>
        <w:t>)</w:t>
      </w:r>
      <w:r w:rsidRPr="000D1AD9">
        <w:rPr>
          <w:rFonts w:ascii="Arial" w:hAnsi="Arial" w:cs="Arial"/>
          <w:sz w:val="22"/>
          <w:szCs w:val="22"/>
        </w:rPr>
        <w:t xml:space="preserve"> </w:t>
      </w:r>
      <w:r w:rsidR="002A7780">
        <w:rPr>
          <w:rFonts w:ascii="Arial" w:hAnsi="Arial" w:cs="Arial"/>
          <w:sz w:val="22"/>
          <w:szCs w:val="22"/>
        </w:rPr>
        <w:t>‘</w:t>
      </w:r>
      <w:r w:rsidRPr="000D1AD9">
        <w:rPr>
          <w:rFonts w:ascii="Arial" w:hAnsi="Arial" w:cs="Arial"/>
          <w:sz w:val="22"/>
          <w:szCs w:val="22"/>
        </w:rPr>
        <w:t>Which patients miss appointments with general practice and why? A systematic review</w:t>
      </w:r>
      <w:r w:rsidR="002A7780">
        <w:rPr>
          <w:rFonts w:ascii="Arial" w:hAnsi="Arial" w:cs="Arial"/>
          <w:sz w:val="22"/>
          <w:szCs w:val="22"/>
        </w:rPr>
        <w:t>’,</w:t>
      </w:r>
      <w:r w:rsidRPr="000D1AD9">
        <w:rPr>
          <w:rFonts w:ascii="Arial" w:hAnsi="Arial" w:cs="Arial"/>
          <w:sz w:val="22"/>
          <w:szCs w:val="22"/>
        </w:rPr>
        <w:t> </w:t>
      </w:r>
      <w:r w:rsidRPr="000D1AD9">
        <w:rPr>
          <w:rFonts w:ascii="Arial" w:hAnsi="Arial" w:cs="Arial"/>
          <w:i/>
          <w:iCs/>
          <w:sz w:val="22"/>
          <w:szCs w:val="22"/>
        </w:rPr>
        <w:t>British Journal of General Practice</w:t>
      </w:r>
      <w:r w:rsidRPr="000D1AD9">
        <w:rPr>
          <w:rFonts w:ascii="Arial" w:hAnsi="Arial" w:cs="Arial"/>
          <w:sz w:val="22"/>
          <w:szCs w:val="22"/>
        </w:rPr>
        <w:t>.</w:t>
      </w:r>
    </w:p>
    <w:p w14:paraId="7A6CE588" w14:textId="6F76EC12" w:rsidR="00993788" w:rsidRPr="000D1AD9" w:rsidRDefault="00993788" w:rsidP="000D1AD9">
      <w:pPr>
        <w:spacing w:line="360" w:lineRule="auto"/>
        <w:jc w:val="both"/>
        <w:rPr>
          <w:rFonts w:ascii="Arial" w:hAnsi="Arial" w:cs="Arial"/>
          <w:sz w:val="22"/>
          <w:szCs w:val="22"/>
        </w:rPr>
      </w:pPr>
      <w:r w:rsidRPr="000D1AD9">
        <w:rPr>
          <w:rFonts w:ascii="Arial" w:hAnsi="Arial" w:cs="Arial"/>
          <w:sz w:val="22"/>
          <w:szCs w:val="22"/>
        </w:rPr>
        <w:t xml:space="preserve">Parsons, J., Bryce, C., Fleming, J., Newbould, J., Dale, J. and Atherton, H. </w:t>
      </w:r>
      <w:r>
        <w:rPr>
          <w:rFonts w:ascii="Arial" w:hAnsi="Arial" w:cs="Arial"/>
          <w:sz w:val="22"/>
          <w:szCs w:val="22"/>
        </w:rPr>
        <w:t>(</w:t>
      </w:r>
      <w:r w:rsidRPr="000D1AD9">
        <w:rPr>
          <w:rFonts w:ascii="Arial" w:hAnsi="Arial" w:cs="Arial"/>
          <w:sz w:val="22"/>
          <w:szCs w:val="22"/>
        </w:rPr>
        <w:t>2025</w:t>
      </w:r>
      <w:r>
        <w:rPr>
          <w:rFonts w:ascii="Arial" w:hAnsi="Arial" w:cs="Arial"/>
          <w:sz w:val="22"/>
          <w:szCs w:val="22"/>
        </w:rPr>
        <w:t>)</w:t>
      </w:r>
      <w:r w:rsidRPr="000D1AD9">
        <w:rPr>
          <w:rFonts w:ascii="Arial" w:hAnsi="Arial" w:cs="Arial"/>
          <w:sz w:val="22"/>
          <w:szCs w:val="22"/>
        </w:rPr>
        <w:t xml:space="preserve"> </w:t>
      </w:r>
      <w:r w:rsidR="002A7780">
        <w:rPr>
          <w:rFonts w:ascii="Arial" w:hAnsi="Arial" w:cs="Arial"/>
          <w:sz w:val="22"/>
          <w:szCs w:val="22"/>
        </w:rPr>
        <w:t>‘</w:t>
      </w:r>
      <w:r w:rsidRPr="000D1AD9">
        <w:rPr>
          <w:rFonts w:ascii="Arial" w:hAnsi="Arial" w:cs="Arial"/>
          <w:sz w:val="22"/>
          <w:szCs w:val="22"/>
        </w:rPr>
        <w:t>Telephone first access to general practice for older people-a qualitative study</w:t>
      </w:r>
      <w:r w:rsidR="002A7780">
        <w:rPr>
          <w:rFonts w:ascii="Arial" w:hAnsi="Arial" w:cs="Arial"/>
          <w:sz w:val="22"/>
          <w:szCs w:val="22"/>
        </w:rPr>
        <w:t>’,</w:t>
      </w:r>
      <w:r w:rsidRPr="000D1AD9">
        <w:rPr>
          <w:rFonts w:ascii="Arial" w:hAnsi="Arial" w:cs="Arial"/>
          <w:sz w:val="22"/>
          <w:szCs w:val="22"/>
        </w:rPr>
        <w:t> </w:t>
      </w:r>
      <w:r w:rsidRPr="000D1AD9">
        <w:rPr>
          <w:rFonts w:ascii="Arial" w:hAnsi="Arial" w:cs="Arial"/>
          <w:i/>
          <w:iCs/>
          <w:sz w:val="22"/>
          <w:szCs w:val="22"/>
        </w:rPr>
        <w:t>BJGP open</w:t>
      </w:r>
      <w:r w:rsidRPr="000D1AD9">
        <w:rPr>
          <w:rFonts w:ascii="Arial" w:hAnsi="Arial" w:cs="Arial"/>
          <w:sz w:val="22"/>
          <w:szCs w:val="22"/>
        </w:rPr>
        <w:t>.</w:t>
      </w:r>
    </w:p>
    <w:p w14:paraId="3EAE9A40" w14:textId="25E6A139" w:rsidR="00993788" w:rsidRDefault="00993788" w:rsidP="00993788">
      <w:pPr>
        <w:jc w:val="both"/>
      </w:pPr>
      <w:r w:rsidRPr="00C764AF">
        <w:t xml:space="preserve">Pietilä, A.M., Nurmi, S.M., </w:t>
      </w:r>
      <w:proofErr w:type="spellStart"/>
      <w:r w:rsidRPr="00C764AF">
        <w:t>Halkoaho</w:t>
      </w:r>
      <w:proofErr w:type="spellEnd"/>
      <w:r w:rsidRPr="00C764AF">
        <w:t xml:space="preserve">, A. and </w:t>
      </w:r>
      <w:proofErr w:type="spellStart"/>
      <w:r w:rsidRPr="00C764AF">
        <w:t>Kyngäs</w:t>
      </w:r>
      <w:proofErr w:type="spellEnd"/>
      <w:r w:rsidRPr="00C764AF">
        <w:t xml:space="preserve">, H. </w:t>
      </w:r>
      <w:r w:rsidR="002A7780">
        <w:t>(</w:t>
      </w:r>
      <w:r w:rsidRPr="00C764AF">
        <w:t>2019</w:t>
      </w:r>
      <w:r w:rsidR="002A7780">
        <w:t>)</w:t>
      </w:r>
      <w:r w:rsidRPr="00C764AF">
        <w:t xml:space="preserve"> </w:t>
      </w:r>
      <w:r w:rsidR="002A7780">
        <w:t>‘</w:t>
      </w:r>
      <w:r w:rsidRPr="00C764AF">
        <w:t>Qualitative research: Ethical considerations</w:t>
      </w:r>
      <w:r w:rsidR="002A7780">
        <w:t>’,</w:t>
      </w:r>
      <w:r w:rsidRPr="00C764AF">
        <w:t xml:space="preserve"> In </w:t>
      </w:r>
      <w:r w:rsidRPr="00C764AF">
        <w:rPr>
          <w:i/>
          <w:iCs/>
        </w:rPr>
        <w:t>The application of content analysis in nursing science research</w:t>
      </w:r>
      <w:r w:rsidRPr="00C764AF">
        <w:t> (pp. 49-69). Cham: Springer International Publishing.</w:t>
      </w:r>
    </w:p>
    <w:p w14:paraId="4B606F3A" w14:textId="697932FE" w:rsidR="00993788" w:rsidRDefault="00993788" w:rsidP="00993788">
      <w:pPr>
        <w:jc w:val="both"/>
      </w:pPr>
      <w:r w:rsidRPr="00964D5D">
        <w:t xml:space="preserve">Price, D., Edwards, M., Davies, F., Cooper, A., McFadzean, J., Carson-Stevens, A., Cooke, M., Dale, J., Evans, B.A., Harrington, B. and Hepburn, J. </w:t>
      </w:r>
      <w:r w:rsidR="002A7780">
        <w:t>(</w:t>
      </w:r>
      <w:r w:rsidRPr="00964D5D">
        <w:t>2022</w:t>
      </w:r>
      <w:r w:rsidR="002A7780">
        <w:t>)</w:t>
      </w:r>
      <w:r w:rsidRPr="00964D5D">
        <w:t xml:space="preserve"> </w:t>
      </w:r>
      <w:r w:rsidR="002A7780">
        <w:t>‘</w:t>
      </w:r>
      <w:r w:rsidRPr="00964D5D">
        <w:t>Patients’ experiences of attending emergency departments where primary care services are located: qualitative findings from patient and clinician interviews from a realist evaluation</w:t>
      </w:r>
      <w:r w:rsidR="002A7780">
        <w:t>’,</w:t>
      </w:r>
      <w:r w:rsidRPr="00964D5D">
        <w:t> </w:t>
      </w:r>
      <w:r w:rsidRPr="00964D5D">
        <w:rPr>
          <w:i/>
          <w:iCs/>
        </w:rPr>
        <w:t>BMC Emergency Medicine</w:t>
      </w:r>
      <w:r w:rsidRPr="00964D5D">
        <w:t>, </w:t>
      </w:r>
      <w:r w:rsidRPr="00964D5D">
        <w:rPr>
          <w:i/>
          <w:iCs/>
        </w:rPr>
        <w:t>22</w:t>
      </w:r>
      <w:r w:rsidRPr="00964D5D">
        <w:t>(1), p.12.</w:t>
      </w:r>
    </w:p>
    <w:p w14:paraId="4D97E613" w14:textId="4AFCB1BE" w:rsidR="00993788" w:rsidRDefault="00993788" w:rsidP="00993788">
      <w:pPr>
        <w:jc w:val="both"/>
      </w:pPr>
      <w:r w:rsidRPr="00C35743">
        <w:t xml:space="preserve">Razai, M.S. and Majeed, A. </w:t>
      </w:r>
      <w:r w:rsidR="002A7780">
        <w:t>(</w:t>
      </w:r>
      <w:r w:rsidRPr="00C35743">
        <w:t>2022</w:t>
      </w:r>
      <w:r w:rsidR="002A7780">
        <w:t>)</w:t>
      </w:r>
      <w:r w:rsidRPr="00C35743">
        <w:t xml:space="preserve"> </w:t>
      </w:r>
      <w:r w:rsidR="002A7780">
        <w:t>‘</w:t>
      </w:r>
      <w:r w:rsidRPr="00C35743">
        <w:t>General practice in England: the current crisis, opportunities, and challenges</w:t>
      </w:r>
      <w:r w:rsidR="002A7780">
        <w:t>’,</w:t>
      </w:r>
      <w:r w:rsidRPr="00C35743">
        <w:t> </w:t>
      </w:r>
      <w:r w:rsidRPr="00C35743">
        <w:rPr>
          <w:i/>
          <w:iCs/>
        </w:rPr>
        <w:t>The Journal of Ambulatory Care Management</w:t>
      </w:r>
      <w:r w:rsidRPr="00C35743">
        <w:t>, </w:t>
      </w:r>
      <w:r w:rsidRPr="00C35743">
        <w:rPr>
          <w:i/>
          <w:iCs/>
        </w:rPr>
        <w:t>45</w:t>
      </w:r>
      <w:r w:rsidRPr="00C35743">
        <w:t>(2), pp.135-139.</w:t>
      </w:r>
    </w:p>
    <w:p w14:paraId="57625738" w14:textId="1BFDFEEC" w:rsidR="00993788" w:rsidRPr="000D1AD9" w:rsidRDefault="00993788" w:rsidP="000D1AD9">
      <w:pPr>
        <w:spacing w:line="360" w:lineRule="auto"/>
        <w:jc w:val="both"/>
        <w:rPr>
          <w:rFonts w:ascii="Arial" w:hAnsi="Arial" w:cs="Arial"/>
          <w:sz w:val="22"/>
          <w:szCs w:val="22"/>
        </w:rPr>
      </w:pPr>
      <w:r w:rsidRPr="000D1AD9">
        <w:rPr>
          <w:rFonts w:ascii="Arial" w:hAnsi="Arial" w:cs="Arial"/>
          <w:sz w:val="22"/>
          <w:szCs w:val="22"/>
        </w:rPr>
        <w:t>Richter, J.P., Downs, L., Beauvais, B., Huynh, P.V., Hamilton, J.E., Kim, F. and Weigel, F.</w:t>
      </w:r>
      <w:r w:rsidR="002A7780">
        <w:rPr>
          <w:rFonts w:ascii="Arial" w:hAnsi="Arial" w:cs="Arial"/>
          <w:sz w:val="22"/>
          <w:szCs w:val="22"/>
        </w:rPr>
        <w:t xml:space="preserve"> </w:t>
      </w:r>
      <w:r>
        <w:rPr>
          <w:rFonts w:ascii="Arial" w:hAnsi="Arial" w:cs="Arial"/>
          <w:sz w:val="22"/>
          <w:szCs w:val="22"/>
        </w:rPr>
        <w:t>(</w:t>
      </w:r>
      <w:r w:rsidRPr="000D1AD9">
        <w:rPr>
          <w:rFonts w:ascii="Arial" w:hAnsi="Arial" w:cs="Arial"/>
          <w:sz w:val="22"/>
          <w:szCs w:val="22"/>
        </w:rPr>
        <w:t>2017</w:t>
      </w:r>
      <w:r>
        <w:rPr>
          <w:rFonts w:ascii="Arial" w:hAnsi="Arial" w:cs="Arial"/>
          <w:sz w:val="22"/>
          <w:szCs w:val="22"/>
        </w:rPr>
        <w:t>)</w:t>
      </w:r>
      <w:r w:rsidRPr="000D1AD9">
        <w:rPr>
          <w:rFonts w:ascii="Arial" w:hAnsi="Arial" w:cs="Arial"/>
          <w:sz w:val="22"/>
          <w:szCs w:val="22"/>
        </w:rPr>
        <w:t xml:space="preserve"> </w:t>
      </w:r>
      <w:r w:rsidR="002A7780">
        <w:rPr>
          <w:rFonts w:ascii="Arial" w:hAnsi="Arial" w:cs="Arial"/>
          <w:sz w:val="22"/>
          <w:szCs w:val="22"/>
        </w:rPr>
        <w:t>‘</w:t>
      </w:r>
      <w:r w:rsidRPr="000D1AD9">
        <w:rPr>
          <w:rFonts w:ascii="Arial" w:hAnsi="Arial" w:cs="Arial"/>
          <w:sz w:val="22"/>
          <w:szCs w:val="22"/>
        </w:rPr>
        <w:t>Does the proportion of same-day and 24-hour appointments impact patient satisfaction?.</w:t>
      </w:r>
      <w:r w:rsidR="002A7780">
        <w:rPr>
          <w:rFonts w:ascii="Arial" w:hAnsi="Arial" w:cs="Arial"/>
          <w:sz w:val="22"/>
          <w:szCs w:val="22"/>
        </w:rPr>
        <w:t>’,</w:t>
      </w:r>
      <w:r w:rsidRPr="000D1AD9">
        <w:rPr>
          <w:rFonts w:ascii="Arial" w:hAnsi="Arial" w:cs="Arial"/>
          <w:sz w:val="22"/>
          <w:szCs w:val="22"/>
        </w:rPr>
        <w:t> </w:t>
      </w:r>
      <w:r w:rsidRPr="000D1AD9">
        <w:rPr>
          <w:rFonts w:ascii="Arial" w:hAnsi="Arial" w:cs="Arial"/>
          <w:i/>
          <w:iCs/>
          <w:sz w:val="22"/>
          <w:szCs w:val="22"/>
        </w:rPr>
        <w:t>Quality Management in Healthcare</w:t>
      </w:r>
      <w:r w:rsidRPr="000D1AD9">
        <w:rPr>
          <w:rFonts w:ascii="Arial" w:hAnsi="Arial" w:cs="Arial"/>
          <w:sz w:val="22"/>
          <w:szCs w:val="22"/>
        </w:rPr>
        <w:t>, </w:t>
      </w:r>
      <w:r w:rsidRPr="000D1AD9">
        <w:rPr>
          <w:rFonts w:ascii="Arial" w:hAnsi="Arial" w:cs="Arial"/>
          <w:i/>
          <w:iCs/>
          <w:sz w:val="22"/>
          <w:szCs w:val="22"/>
        </w:rPr>
        <w:t>26</w:t>
      </w:r>
      <w:r w:rsidRPr="000D1AD9">
        <w:rPr>
          <w:rFonts w:ascii="Arial" w:hAnsi="Arial" w:cs="Arial"/>
          <w:sz w:val="22"/>
          <w:szCs w:val="22"/>
        </w:rPr>
        <w:t>(1), pp.22-28.</w:t>
      </w:r>
    </w:p>
    <w:p w14:paraId="160FC44D" w14:textId="77777777" w:rsidR="002A7780" w:rsidRDefault="00993788" w:rsidP="00993788">
      <w:pPr>
        <w:jc w:val="both"/>
      </w:pPr>
      <w:r w:rsidRPr="00DF3D56">
        <w:t xml:space="preserve">Roberts, S., O’Donnell, L., Newbould, J., Elwyn, G., Exley, C. and de Silva, D. </w:t>
      </w:r>
      <w:r w:rsidR="002A7780">
        <w:t>(</w:t>
      </w:r>
      <w:r w:rsidRPr="00DF3D56">
        <w:t>2019</w:t>
      </w:r>
      <w:r w:rsidR="002A7780">
        <w:t>)</w:t>
      </w:r>
      <w:r w:rsidRPr="00DF3D56">
        <w:t xml:space="preserve"> </w:t>
      </w:r>
      <w:r w:rsidRPr="00DF3D56">
        <w:rPr>
          <w:i/>
          <w:iCs/>
        </w:rPr>
        <w:t>Implementing shared decision making and care planning in primary care: the Year of Care approach</w:t>
      </w:r>
      <w:r w:rsidRPr="00DF3D56">
        <w:t xml:space="preserve">. BMC Family Practice, 20, 153. </w:t>
      </w:r>
      <w:r>
        <w:br/>
      </w:r>
    </w:p>
    <w:p w14:paraId="72B8E3E5" w14:textId="0727D3E1" w:rsidR="00993788" w:rsidRDefault="00993788" w:rsidP="00993788">
      <w:pPr>
        <w:jc w:val="both"/>
      </w:pPr>
      <w:r w:rsidRPr="00DF3D56">
        <w:t xml:space="preserve">Greenhalgh, T., </w:t>
      </w:r>
      <w:proofErr w:type="spellStart"/>
      <w:r w:rsidRPr="00DF3D56">
        <w:t>Wherton</w:t>
      </w:r>
      <w:proofErr w:type="spellEnd"/>
      <w:r w:rsidRPr="00DF3D56">
        <w:t xml:space="preserve">, J., Papoutsi, C., Lynch, J., Hughes, G., Hinder, S., Fahy, N., Procter, R. and Shaw, S. </w:t>
      </w:r>
      <w:r w:rsidR="002A7780">
        <w:t>(</w:t>
      </w:r>
      <w:r w:rsidRPr="00DF3D56">
        <w:t>2017</w:t>
      </w:r>
      <w:r w:rsidR="002A7780">
        <w:t>)</w:t>
      </w:r>
      <w:r w:rsidRPr="00DF3D56">
        <w:t xml:space="preserve"> </w:t>
      </w:r>
      <w:r w:rsidR="002A7780">
        <w:t>‘</w:t>
      </w:r>
      <w:r w:rsidRPr="00DF3D56">
        <w:t xml:space="preserve">Beyond adoption: a new framework for theorizing and evaluating </w:t>
      </w:r>
      <w:proofErr w:type="spellStart"/>
      <w:r w:rsidRPr="00DF3D56">
        <w:t>nonadoption</w:t>
      </w:r>
      <w:proofErr w:type="spellEnd"/>
      <w:r w:rsidRPr="00DF3D56">
        <w:t>, abandonment, and challenges to the scale-up, spread, and sustainability of health and care technologies</w:t>
      </w:r>
      <w:r w:rsidR="002A7780">
        <w:t>’,</w:t>
      </w:r>
      <w:r w:rsidRPr="00DF3D56">
        <w:t> </w:t>
      </w:r>
      <w:r w:rsidRPr="00DF3D56">
        <w:rPr>
          <w:i/>
          <w:iCs/>
        </w:rPr>
        <w:t>Journal of medical Internet research</w:t>
      </w:r>
      <w:r w:rsidRPr="00DF3D56">
        <w:t>, </w:t>
      </w:r>
      <w:r w:rsidRPr="00DF3D56">
        <w:rPr>
          <w:i/>
          <w:iCs/>
        </w:rPr>
        <w:t>19</w:t>
      </w:r>
      <w:r w:rsidRPr="00DF3D56">
        <w:t>(11), p.e8775.</w:t>
      </w:r>
    </w:p>
    <w:p w14:paraId="3A0BBF41" w14:textId="71104F54" w:rsidR="00993788" w:rsidRDefault="00993788" w:rsidP="00993788">
      <w:pPr>
        <w:jc w:val="both"/>
      </w:pPr>
      <w:r w:rsidRPr="00C764AF">
        <w:t xml:space="preserve">Salisbury, C., Murphy, M. and Duncan, P. </w:t>
      </w:r>
      <w:r w:rsidR="002A7780">
        <w:t>(</w:t>
      </w:r>
      <w:r w:rsidRPr="00C764AF">
        <w:t>2020</w:t>
      </w:r>
      <w:r w:rsidR="002A7780">
        <w:t>) ‘</w:t>
      </w:r>
      <w:r w:rsidRPr="00C764AF">
        <w:t xml:space="preserve">The impact of digital-first consultations on workload in general practice: </w:t>
      </w:r>
      <w:proofErr w:type="spellStart"/>
      <w:r w:rsidRPr="00C764AF">
        <w:t>modeling</w:t>
      </w:r>
      <w:proofErr w:type="spellEnd"/>
      <w:r w:rsidRPr="00C764AF">
        <w:t xml:space="preserve"> study</w:t>
      </w:r>
      <w:r w:rsidR="002A7780">
        <w:t>’,</w:t>
      </w:r>
      <w:r w:rsidRPr="00C764AF">
        <w:t> </w:t>
      </w:r>
      <w:r w:rsidRPr="00C764AF">
        <w:rPr>
          <w:i/>
          <w:iCs/>
        </w:rPr>
        <w:t>Journal of medical Internet research</w:t>
      </w:r>
      <w:r w:rsidRPr="00C764AF">
        <w:t>, </w:t>
      </w:r>
      <w:r w:rsidRPr="00C764AF">
        <w:rPr>
          <w:i/>
          <w:iCs/>
        </w:rPr>
        <w:t>22</w:t>
      </w:r>
      <w:r w:rsidRPr="00C764AF">
        <w:t>(6), p.e18203.</w:t>
      </w:r>
    </w:p>
    <w:p w14:paraId="6FB4EC37" w14:textId="24007F83" w:rsidR="00993788" w:rsidRDefault="00993788" w:rsidP="00993788">
      <w:pPr>
        <w:jc w:val="both"/>
      </w:pPr>
      <w:r w:rsidRPr="00964D5D">
        <w:t xml:space="preserve">Sanders, C.K. and Scanlon, E. </w:t>
      </w:r>
      <w:r w:rsidR="002A7780">
        <w:t>(</w:t>
      </w:r>
      <w:r w:rsidRPr="00964D5D">
        <w:t>2021</w:t>
      </w:r>
      <w:r w:rsidR="002A7780">
        <w:t>) ‘</w:t>
      </w:r>
      <w:r w:rsidRPr="00964D5D">
        <w:t>The digital divide is a human rights issue: Advancing social inclusion through social work advocacy</w:t>
      </w:r>
      <w:r w:rsidR="002A7780">
        <w:t>’,</w:t>
      </w:r>
      <w:r w:rsidRPr="00964D5D">
        <w:t> </w:t>
      </w:r>
      <w:r w:rsidRPr="00964D5D">
        <w:rPr>
          <w:i/>
          <w:iCs/>
        </w:rPr>
        <w:t>Journal of human rights and social work</w:t>
      </w:r>
      <w:r w:rsidRPr="00964D5D">
        <w:t>, </w:t>
      </w:r>
      <w:r w:rsidRPr="00964D5D">
        <w:rPr>
          <w:i/>
          <w:iCs/>
        </w:rPr>
        <w:t>6</w:t>
      </w:r>
      <w:r w:rsidRPr="00964D5D">
        <w:t>(2), pp.130-143.</w:t>
      </w:r>
    </w:p>
    <w:p w14:paraId="0AD6DE63" w14:textId="1DA4DF58" w:rsidR="00993788" w:rsidRDefault="00993788" w:rsidP="00993788">
      <w:pPr>
        <w:jc w:val="both"/>
      </w:pPr>
      <w:r w:rsidRPr="00C764AF">
        <w:lastRenderedPageBreak/>
        <w:t xml:space="preserve">Sinnott, C., Ansari, A., Price, E., Fisher, R., Beech, J., </w:t>
      </w:r>
      <w:proofErr w:type="spellStart"/>
      <w:r w:rsidRPr="00C764AF">
        <w:t>Alderwick</w:t>
      </w:r>
      <w:proofErr w:type="spellEnd"/>
      <w:r w:rsidRPr="00C764AF">
        <w:t xml:space="preserve">, H. and Dixon-Woods, M. </w:t>
      </w:r>
      <w:r w:rsidR="002A7780">
        <w:t>(</w:t>
      </w:r>
      <w:r w:rsidRPr="00C764AF">
        <w:t>2024</w:t>
      </w:r>
      <w:r w:rsidR="002A7780">
        <w:t>)</w:t>
      </w:r>
      <w:r w:rsidRPr="00C764AF">
        <w:t xml:space="preserve"> </w:t>
      </w:r>
      <w:r w:rsidR="002A7780">
        <w:t>‘</w:t>
      </w:r>
      <w:r w:rsidRPr="00C764AF">
        <w:t>Understanding access to general practice through the lens of candidacy: a critical review of the literature</w:t>
      </w:r>
      <w:r w:rsidR="002A7780">
        <w:t>’,</w:t>
      </w:r>
      <w:r w:rsidRPr="00C764AF">
        <w:t> </w:t>
      </w:r>
      <w:r w:rsidRPr="00C764AF">
        <w:rPr>
          <w:i/>
          <w:iCs/>
        </w:rPr>
        <w:t>British Journal of General Practice</w:t>
      </w:r>
      <w:r w:rsidRPr="00C764AF">
        <w:t>.</w:t>
      </w:r>
    </w:p>
    <w:p w14:paraId="701E3EB9" w14:textId="15A02AE6" w:rsidR="00993788" w:rsidRPr="00993788" w:rsidRDefault="00993788" w:rsidP="00993788">
      <w:pPr>
        <w:jc w:val="both"/>
      </w:pPr>
      <w:r w:rsidRPr="0031628A">
        <w:t xml:space="preserve">Slater, J., Malik, S., Davey, P. and Grant, S. </w:t>
      </w:r>
      <w:r w:rsidR="002A7780">
        <w:t>(</w:t>
      </w:r>
      <w:r w:rsidRPr="0031628A">
        <w:t>2021</w:t>
      </w:r>
      <w:r w:rsidR="002A7780">
        <w:t>)</w:t>
      </w:r>
      <w:r w:rsidRPr="0031628A">
        <w:t xml:space="preserve"> </w:t>
      </w:r>
      <w:r w:rsidR="002A7780">
        <w:t>‘</w:t>
      </w:r>
      <w:r w:rsidRPr="0031628A">
        <w:t>Improving access to primary care: a mixed-methods approach studying a new review appointment system in a Scottish GP practice</w:t>
      </w:r>
      <w:r w:rsidR="002A7780">
        <w:t>’,</w:t>
      </w:r>
      <w:r w:rsidRPr="0031628A">
        <w:t> </w:t>
      </w:r>
      <w:r w:rsidRPr="0031628A">
        <w:rPr>
          <w:i/>
          <w:iCs/>
        </w:rPr>
        <w:t>BMJ Open Quality</w:t>
      </w:r>
      <w:r w:rsidRPr="0031628A">
        <w:t>, </w:t>
      </w:r>
      <w:r w:rsidRPr="0031628A">
        <w:rPr>
          <w:i/>
          <w:iCs/>
        </w:rPr>
        <w:t>10</w:t>
      </w:r>
      <w:r w:rsidRPr="0031628A">
        <w:t>(2).</w:t>
      </w:r>
    </w:p>
    <w:p w14:paraId="53593957" w14:textId="770A00C9" w:rsidR="00993788" w:rsidRPr="000D1AD9" w:rsidRDefault="00993788" w:rsidP="000D1AD9">
      <w:pPr>
        <w:spacing w:line="360" w:lineRule="auto"/>
        <w:jc w:val="both"/>
        <w:rPr>
          <w:rFonts w:ascii="Arial" w:hAnsi="Arial" w:cs="Arial"/>
          <w:sz w:val="22"/>
          <w:szCs w:val="22"/>
        </w:rPr>
      </w:pPr>
      <w:r w:rsidRPr="000D1AD9">
        <w:rPr>
          <w:rFonts w:ascii="Arial" w:hAnsi="Arial" w:cs="Arial"/>
          <w:sz w:val="22"/>
          <w:szCs w:val="22"/>
        </w:rPr>
        <w:t xml:space="preserve">Stommel, W. and Rijk, L.D. </w:t>
      </w:r>
      <w:r>
        <w:rPr>
          <w:rFonts w:ascii="Arial" w:hAnsi="Arial" w:cs="Arial"/>
          <w:sz w:val="22"/>
          <w:szCs w:val="22"/>
        </w:rPr>
        <w:t>(</w:t>
      </w:r>
      <w:r w:rsidRPr="000D1AD9">
        <w:rPr>
          <w:rFonts w:ascii="Arial" w:hAnsi="Arial" w:cs="Arial"/>
          <w:sz w:val="22"/>
          <w:szCs w:val="22"/>
        </w:rPr>
        <w:t>2021</w:t>
      </w:r>
      <w:r>
        <w:rPr>
          <w:rFonts w:ascii="Arial" w:hAnsi="Arial" w:cs="Arial"/>
          <w:sz w:val="22"/>
          <w:szCs w:val="22"/>
        </w:rPr>
        <w:t>)</w:t>
      </w:r>
      <w:r w:rsidRPr="000D1AD9">
        <w:rPr>
          <w:rFonts w:ascii="Arial" w:hAnsi="Arial" w:cs="Arial"/>
          <w:sz w:val="22"/>
          <w:szCs w:val="22"/>
        </w:rPr>
        <w:t xml:space="preserve"> </w:t>
      </w:r>
      <w:r w:rsidR="002A7780">
        <w:rPr>
          <w:rFonts w:ascii="Arial" w:hAnsi="Arial" w:cs="Arial"/>
          <w:sz w:val="22"/>
          <w:szCs w:val="22"/>
        </w:rPr>
        <w:t>‘</w:t>
      </w:r>
      <w:r w:rsidRPr="000D1AD9">
        <w:rPr>
          <w:rFonts w:ascii="Arial" w:hAnsi="Arial" w:cs="Arial"/>
          <w:sz w:val="22"/>
          <w:szCs w:val="22"/>
        </w:rPr>
        <w:t>Ethical approval: None sought. How discourse analysts report ethical issues around publicly available online data</w:t>
      </w:r>
      <w:r w:rsidR="002A7780">
        <w:rPr>
          <w:rFonts w:ascii="Arial" w:hAnsi="Arial" w:cs="Arial"/>
          <w:sz w:val="22"/>
          <w:szCs w:val="22"/>
        </w:rPr>
        <w:t>’,</w:t>
      </w:r>
      <w:r w:rsidRPr="000D1AD9">
        <w:rPr>
          <w:rFonts w:ascii="Arial" w:hAnsi="Arial" w:cs="Arial"/>
          <w:sz w:val="22"/>
          <w:szCs w:val="22"/>
        </w:rPr>
        <w:t> </w:t>
      </w:r>
      <w:r w:rsidRPr="000D1AD9">
        <w:rPr>
          <w:rFonts w:ascii="Arial" w:hAnsi="Arial" w:cs="Arial"/>
          <w:i/>
          <w:iCs/>
          <w:sz w:val="22"/>
          <w:szCs w:val="22"/>
        </w:rPr>
        <w:t>Research Ethics</w:t>
      </w:r>
      <w:r w:rsidRPr="000D1AD9">
        <w:rPr>
          <w:rFonts w:ascii="Arial" w:hAnsi="Arial" w:cs="Arial"/>
          <w:sz w:val="22"/>
          <w:szCs w:val="22"/>
        </w:rPr>
        <w:t>, </w:t>
      </w:r>
      <w:r w:rsidRPr="000D1AD9">
        <w:rPr>
          <w:rFonts w:ascii="Arial" w:hAnsi="Arial" w:cs="Arial"/>
          <w:i/>
          <w:iCs/>
          <w:sz w:val="22"/>
          <w:szCs w:val="22"/>
        </w:rPr>
        <w:t>17</w:t>
      </w:r>
      <w:r w:rsidRPr="000D1AD9">
        <w:rPr>
          <w:rFonts w:ascii="Arial" w:hAnsi="Arial" w:cs="Arial"/>
          <w:sz w:val="22"/>
          <w:szCs w:val="22"/>
        </w:rPr>
        <w:t>(3), pp.275-297.</w:t>
      </w:r>
    </w:p>
    <w:p w14:paraId="5A80CE13" w14:textId="4946AFB8" w:rsidR="000D1AD9" w:rsidRPr="00C3010F" w:rsidRDefault="000D1AD9" w:rsidP="00C3010F">
      <w:pPr>
        <w:spacing w:line="360" w:lineRule="auto"/>
        <w:jc w:val="both"/>
        <w:rPr>
          <w:rFonts w:ascii="Arial" w:hAnsi="Arial" w:cs="Arial"/>
          <w:b/>
          <w:bCs/>
          <w:sz w:val="22"/>
          <w:szCs w:val="22"/>
        </w:rPr>
      </w:pPr>
    </w:p>
    <w:p w14:paraId="5273FE86" w14:textId="77777777" w:rsidR="00C3010F" w:rsidRPr="00C3010F" w:rsidRDefault="00C3010F" w:rsidP="00C3010F">
      <w:pPr>
        <w:spacing w:line="360" w:lineRule="auto"/>
        <w:jc w:val="both"/>
        <w:rPr>
          <w:rFonts w:ascii="Arial" w:hAnsi="Arial" w:cs="Arial"/>
          <w:sz w:val="22"/>
          <w:szCs w:val="22"/>
        </w:rPr>
      </w:pPr>
    </w:p>
    <w:sectPr w:rsidR="00C3010F" w:rsidRPr="00C30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D562E"/>
    <w:multiLevelType w:val="multilevel"/>
    <w:tmpl w:val="D1B80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F2AD5"/>
    <w:multiLevelType w:val="multilevel"/>
    <w:tmpl w:val="BCAA6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FA7EDC"/>
    <w:multiLevelType w:val="multilevel"/>
    <w:tmpl w:val="1974B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3331B8"/>
    <w:multiLevelType w:val="multilevel"/>
    <w:tmpl w:val="29449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5B54CA"/>
    <w:multiLevelType w:val="hybridMultilevel"/>
    <w:tmpl w:val="796EE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4D35D0"/>
    <w:multiLevelType w:val="multilevel"/>
    <w:tmpl w:val="613CB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003BA6"/>
    <w:multiLevelType w:val="multilevel"/>
    <w:tmpl w:val="08FE6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6E1401"/>
    <w:multiLevelType w:val="multilevel"/>
    <w:tmpl w:val="1E6A2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8A3C35"/>
    <w:multiLevelType w:val="multilevel"/>
    <w:tmpl w:val="0A966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AD1B8D"/>
    <w:multiLevelType w:val="multilevel"/>
    <w:tmpl w:val="44E8C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9880627">
    <w:abstractNumId w:val="5"/>
  </w:num>
  <w:num w:numId="2" w16cid:durableId="810100489">
    <w:abstractNumId w:val="7"/>
  </w:num>
  <w:num w:numId="3" w16cid:durableId="496455789">
    <w:abstractNumId w:val="6"/>
  </w:num>
  <w:num w:numId="4" w16cid:durableId="2061660829">
    <w:abstractNumId w:val="3"/>
  </w:num>
  <w:num w:numId="5" w16cid:durableId="789476150">
    <w:abstractNumId w:val="9"/>
  </w:num>
  <w:num w:numId="6" w16cid:durableId="1115636576">
    <w:abstractNumId w:val="0"/>
  </w:num>
  <w:num w:numId="7" w16cid:durableId="1074200717">
    <w:abstractNumId w:val="1"/>
  </w:num>
  <w:num w:numId="8" w16cid:durableId="1144859313">
    <w:abstractNumId w:val="8"/>
  </w:num>
  <w:num w:numId="9" w16cid:durableId="1461731689">
    <w:abstractNumId w:val="2"/>
  </w:num>
  <w:num w:numId="10" w16cid:durableId="10028543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10F"/>
    <w:rsid w:val="00090F0C"/>
    <w:rsid w:val="000D1AD9"/>
    <w:rsid w:val="0012795F"/>
    <w:rsid w:val="00142F36"/>
    <w:rsid w:val="001B6F96"/>
    <w:rsid w:val="00223C2E"/>
    <w:rsid w:val="002A7780"/>
    <w:rsid w:val="002D3AA0"/>
    <w:rsid w:val="003C7129"/>
    <w:rsid w:val="0057080E"/>
    <w:rsid w:val="00651CF7"/>
    <w:rsid w:val="00661078"/>
    <w:rsid w:val="00667896"/>
    <w:rsid w:val="006B1836"/>
    <w:rsid w:val="007217F6"/>
    <w:rsid w:val="007F0D17"/>
    <w:rsid w:val="00815BD9"/>
    <w:rsid w:val="00816CEF"/>
    <w:rsid w:val="008C2C6F"/>
    <w:rsid w:val="00993788"/>
    <w:rsid w:val="00AF61D3"/>
    <w:rsid w:val="00C3010F"/>
    <w:rsid w:val="00CC2648"/>
    <w:rsid w:val="00D27A58"/>
    <w:rsid w:val="00D9647C"/>
    <w:rsid w:val="00EA10AE"/>
    <w:rsid w:val="00EC6113"/>
    <w:rsid w:val="00FD1F27"/>
    <w:rsid w:val="00FE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C0624"/>
  <w15:chartTrackingRefBased/>
  <w15:docId w15:val="{3BA6043C-8A34-492A-AE72-BF83E3B69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1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1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1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1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1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1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1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1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1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1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1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1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1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1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1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1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1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10F"/>
    <w:rPr>
      <w:rFonts w:eastAsiaTheme="majorEastAsia" w:cstheme="majorBidi"/>
      <w:color w:val="272727" w:themeColor="text1" w:themeTint="D8"/>
    </w:rPr>
  </w:style>
  <w:style w:type="paragraph" w:styleId="Title">
    <w:name w:val="Title"/>
    <w:basedOn w:val="Normal"/>
    <w:next w:val="Normal"/>
    <w:link w:val="TitleChar"/>
    <w:uiPriority w:val="10"/>
    <w:qFormat/>
    <w:rsid w:val="00C301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1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1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1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10F"/>
    <w:pPr>
      <w:spacing w:before="160"/>
      <w:jc w:val="center"/>
    </w:pPr>
    <w:rPr>
      <w:i/>
      <w:iCs/>
      <w:color w:val="404040" w:themeColor="text1" w:themeTint="BF"/>
    </w:rPr>
  </w:style>
  <w:style w:type="character" w:customStyle="1" w:styleId="QuoteChar">
    <w:name w:val="Quote Char"/>
    <w:basedOn w:val="DefaultParagraphFont"/>
    <w:link w:val="Quote"/>
    <w:uiPriority w:val="29"/>
    <w:rsid w:val="00C3010F"/>
    <w:rPr>
      <w:i/>
      <w:iCs/>
      <w:color w:val="404040" w:themeColor="text1" w:themeTint="BF"/>
    </w:rPr>
  </w:style>
  <w:style w:type="paragraph" w:styleId="ListParagraph">
    <w:name w:val="List Paragraph"/>
    <w:basedOn w:val="Normal"/>
    <w:uiPriority w:val="34"/>
    <w:qFormat/>
    <w:rsid w:val="00C3010F"/>
    <w:pPr>
      <w:ind w:left="720"/>
      <w:contextualSpacing/>
    </w:pPr>
  </w:style>
  <w:style w:type="character" w:styleId="IntenseEmphasis">
    <w:name w:val="Intense Emphasis"/>
    <w:basedOn w:val="DefaultParagraphFont"/>
    <w:uiPriority w:val="21"/>
    <w:qFormat/>
    <w:rsid w:val="00C3010F"/>
    <w:rPr>
      <w:i/>
      <w:iCs/>
      <w:color w:val="0F4761" w:themeColor="accent1" w:themeShade="BF"/>
    </w:rPr>
  </w:style>
  <w:style w:type="paragraph" w:styleId="IntenseQuote">
    <w:name w:val="Intense Quote"/>
    <w:basedOn w:val="Normal"/>
    <w:next w:val="Normal"/>
    <w:link w:val="IntenseQuoteChar"/>
    <w:uiPriority w:val="30"/>
    <w:qFormat/>
    <w:rsid w:val="00C301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10F"/>
    <w:rPr>
      <w:i/>
      <w:iCs/>
      <w:color w:val="0F4761" w:themeColor="accent1" w:themeShade="BF"/>
    </w:rPr>
  </w:style>
  <w:style w:type="character" w:styleId="IntenseReference">
    <w:name w:val="Intense Reference"/>
    <w:basedOn w:val="DefaultParagraphFont"/>
    <w:uiPriority w:val="32"/>
    <w:qFormat/>
    <w:rsid w:val="00C3010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5065</Words>
  <Characters>28874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2</cp:revision>
  <dcterms:created xsi:type="dcterms:W3CDTF">2026-03-26T22:23:00Z</dcterms:created>
  <dcterms:modified xsi:type="dcterms:W3CDTF">2026-03-26T22:23:00Z</dcterms:modified>
</cp:coreProperties>
</file>