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098F14" w14:textId="022376FE" w:rsidR="00650E4D" w:rsidRDefault="00650E4D" w:rsidP="00650E4D">
      <w:pPr>
        <w:rPr>
          <w:b/>
          <w:bCs/>
          <w:sz w:val="28"/>
          <w:szCs w:val="28"/>
        </w:rPr>
      </w:pPr>
      <w:r>
        <w:rPr>
          <w:b/>
          <w:bCs/>
          <w:i/>
          <w:iCs/>
          <w:sz w:val="28"/>
          <w:szCs w:val="28"/>
        </w:rPr>
        <w:t xml:space="preserve">Reflexive Ethnography: A Guide to Researching Selves and Others – </w:t>
      </w:r>
      <w:r>
        <w:rPr>
          <w:b/>
          <w:bCs/>
          <w:sz w:val="28"/>
          <w:szCs w:val="28"/>
        </w:rPr>
        <w:t>A Commentary</w:t>
      </w:r>
    </w:p>
    <w:p w14:paraId="259897C9" w14:textId="490ABECA" w:rsidR="00650E4D" w:rsidRDefault="00650E4D" w:rsidP="00650E4D">
      <w:pPr>
        <w:spacing w:after="0"/>
        <w:rPr>
          <w:sz w:val="24"/>
          <w:szCs w:val="24"/>
        </w:rPr>
      </w:pPr>
    </w:p>
    <w:p w14:paraId="59382CA6" w14:textId="04F90E62" w:rsidR="00F6732E" w:rsidRPr="002547E2" w:rsidRDefault="00650E4D" w:rsidP="008F2456">
      <w:pPr>
        <w:spacing w:after="0"/>
        <w:ind w:firstLine="720"/>
        <w:rPr>
          <w:sz w:val="24"/>
          <w:szCs w:val="24"/>
        </w:rPr>
      </w:pPr>
      <w:r>
        <w:rPr>
          <w:sz w:val="24"/>
          <w:szCs w:val="24"/>
        </w:rPr>
        <w:t xml:space="preserve">This commentary aims to discuss the discourse put forward in C. Aull Davies’ book </w:t>
      </w:r>
      <w:r>
        <w:rPr>
          <w:i/>
          <w:iCs/>
          <w:sz w:val="24"/>
          <w:szCs w:val="24"/>
        </w:rPr>
        <w:t>Reflexive Ethnography: A Gui</w:t>
      </w:r>
      <w:r w:rsidR="009842A8">
        <w:rPr>
          <w:i/>
          <w:iCs/>
          <w:sz w:val="24"/>
          <w:szCs w:val="24"/>
        </w:rPr>
        <w:t>d</w:t>
      </w:r>
      <w:r>
        <w:rPr>
          <w:i/>
          <w:iCs/>
          <w:sz w:val="24"/>
          <w:szCs w:val="24"/>
        </w:rPr>
        <w:t xml:space="preserve">e to Researching Selves and Others. </w:t>
      </w:r>
      <w:r>
        <w:rPr>
          <w:sz w:val="24"/>
          <w:szCs w:val="24"/>
        </w:rPr>
        <w:t xml:space="preserve">The book, written as a textbook aimed towards students of anthropology and related social sciences, is in its second edition, published in 2008. </w:t>
      </w:r>
      <w:r w:rsidR="00BE4A45">
        <w:rPr>
          <w:sz w:val="24"/>
          <w:szCs w:val="24"/>
        </w:rPr>
        <w:t>An honorary research fellow in sociology and anthropology at Swansea University (</w:t>
      </w:r>
      <w:r w:rsidR="00BE4A45">
        <w:rPr>
          <w:i/>
          <w:iCs/>
          <w:sz w:val="24"/>
          <w:szCs w:val="24"/>
        </w:rPr>
        <w:t>uwp.co.uk</w:t>
      </w:r>
      <w:r w:rsidR="00BE4A45">
        <w:rPr>
          <w:sz w:val="24"/>
          <w:szCs w:val="24"/>
        </w:rPr>
        <w:t>), Davies published the first edition of the book in 1998, and has also published two other books</w:t>
      </w:r>
      <w:r w:rsidR="002547E2">
        <w:rPr>
          <w:sz w:val="24"/>
          <w:szCs w:val="24"/>
        </w:rPr>
        <w:t>, both concerning anthropology in Wales.</w:t>
      </w:r>
    </w:p>
    <w:p w14:paraId="3C463615" w14:textId="73A322A7" w:rsidR="00650E4D" w:rsidRPr="00400CCC" w:rsidRDefault="00650E4D" w:rsidP="00400CCC">
      <w:pPr>
        <w:spacing w:after="0"/>
        <w:ind w:firstLine="720"/>
        <w:rPr>
          <w:sz w:val="24"/>
          <w:szCs w:val="24"/>
        </w:rPr>
      </w:pPr>
      <w:r>
        <w:rPr>
          <w:sz w:val="24"/>
          <w:szCs w:val="24"/>
        </w:rPr>
        <w:t xml:space="preserve">As explained in the title, </w:t>
      </w:r>
      <w:r w:rsidR="009842A8">
        <w:rPr>
          <w:sz w:val="24"/>
          <w:szCs w:val="24"/>
        </w:rPr>
        <w:t>the book</w:t>
      </w:r>
      <w:r>
        <w:rPr>
          <w:sz w:val="24"/>
          <w:szCs w:val="24"/>
        </w:rPr>
        <w:t xml:space="preserve"> focuses on the advantages and disadvantages of reflexivity of the researcher while engaging in social fieldwork, both on a personal level and as a cultural whole</w:t>
      </w:r>
      <w:r w:rsidR="00B62DDD">
        <w:rPr>
          <w:sz w:val="24"/>
          <w:szCs w:val="24"/>
        </w:rPr>
        <w:t xml:space="preserve">. This theme </w:t>
      </w:r>
      <w:r w:rsidR="00400CCC">
        <w:rPr>
          <w:sz w:val="24"/>
          <w:szCs w:val="24"/>
        </w:rPr>
        <w:t xml:space="preserve">of reflexivity </w:t>
      </w:r>
      <w:r w:rsidR="00B62DDD">
        <w:rPr>
          <w:sz w:val="24"/>
          <w:szCs w:val="24"/>
        </w:rPr>
        <w:t xml:space="preserve">is carried through </w:t>
      </w:r>
      <w:r w:rsidR="009842A8">
        <w:rPr>
          <w:sz w:val="24"/>
          <w:szCs w:val="24"/>
        </w:rPr>
        <w:t>three sections based on the chronological fieldwork process as a whole – “Preparations” before, “In the Field” during, and “Mediations” after conducting research. These sections are then further divided into chapters discussing particular topics, while maintaining the theme of reflexivity throughout, enabling the reader to locate and engage with discourse on selected topics without difficulty.  For the purpose of this commentary</w:t>
      </w:r>
      <w:r w:rsidR="009E666A">
        <w:rPr>
          <w:sz w:val="24"/>
          <w:szCs w:val="24"/>
        </w:rPr>
        <w:t>,</w:t>
      </w:r>
      <w:r w:rsidR="009842A8">
        <w:rPr>
          <w:sz w:val="24"/>
          <w:szCs w:val="24"/>
        </w:rPr>
        <w:t xml:space="preserve"> I </w:t>
      </w:r>
      <w:r w:rsidR="009E666A">
        <w:rPr>
          <w:sz w:val="24"/>
          <w:szCs w:val="24"/>
        </w:rPr>
        <w:t xml:space="preserve">chose to select </w:t>
      </w:r>
      <w:r w:rsidR="002B7638">
        <w:rPr>
          <w:sz w:val="24"/>
          <w:szCs w:val="24"/>
        </w:rPr>
        <w:t>two</w:t>
      </w:r>
      <w:r w:rsidR="009842A8">
        <w:rPr>
          <w:sz w:val="24"/>
          <w:szCs w:val="24"/>
        </w:rPr>
        <w:t xml:space="preserve"> chapter</w:t>
      </w:r>
      <w:r w:rsidR="002B7638">
        <w:rPr>
          <w:sz w:val="24"/>
          <w:szCs w:val="24"/>
        </w:rPr>
        <w:t>s</w:t>
      </w:r>
      <w:r w:rsidR="009842A8">
        <w:rPr>
          <w:sz w:val="24"/>
          <w:szCs w:val="24"/>
        </w:rPr>
        <w:t xml:space="preserve"> </w:t>
      </w:r>
      <w:r w:rsidR="009E666A">
        <w:rPr>
          <w:sz w:val="24"/>
          <w:szCs w:val="24"/>
        </w:rPr>
        <w:t xml:space="preserve">to </w:t>
      </w:r>
      <w:r w:rsidR="00982DF2">
        <w:rPr>
          <w:sz w:val="24"/>
          <w:szCs w:val="24"/>
        </w:rPr>
        <w:t xml:space="preserve">examine in </w:t>
      </w:r>
      <w:r w:rsidR="009E666A">
        <w:rPr>
          <w:sz w:val="24"/>
          <w:szCs w:val="24"/>
        </w:rPr>
        <w:t xml:space="preserve">further </w:t>
      </w:r>
      <w:r w:rsidR="00982DF2">
        <w:rPr>
          <w:sz w:val="24"/>
          <w:szCs w:val="24"/>
        </w:rPr>
        <w:t>detail</w:t>
      </w:r>
      <w:r w:rsidR="009E666A">
        <w:rPr>
          <w:sz w:val="24"/>
          <w:szCs w:val="24"/>
        </w:rPr>
        <w:t xml:space="preserve">, and will thus be discussing chapter 3, ‘Ethics and Politics’ (pp. 53-73), </w:t>
      </w:r>
      <w:r w:rsidR="002B7638">
        <w:rPr>
          <w:sz w:val="24"/>
          <w:szCs w:val="24"/>
        </w:rPr>
        <w:t xml:space="preserve">and </w:t>
      </w:r>
      <w:r w:rsidR="009E666A">
        <w:rPr>
          <w:sz w:val="24"/>
          <w:szCs w:val="24"/>
        </w:rPr>
        <w:t>chapter 7, ‘Internet Ethnography’ (pp. 151-170)</w:t>
      </w:r>
      <w:r w:rsidR="002B7638">
        <w:rPr>
          <w:sz w:val="24"/>
          <w:szCs w:val="24"/>
        </w:rPr>
        <w:t>.</w:t>
      </w:r>
    </w:p>
    <w:p w14:paraId="212EAE1C" w14:textId="1DD95228" w:rsidR="00BE4A45" w:rsidRDefault="009E666A" w:rsidP="00FC6096">
      <w:pPr>
        <w:spacing w:after="0"/>
        <w:ind w:firstLine="720"/>
        <w:rPr>
          <w:sz w:val="24"/>
          <w:szCs w:val="24"/>
        </w:rPr>
      </w:pPr>
      <w:r>
        <w:rPr>
          <w:sz w:val="24"/>
          <w:szCs w:val="24"/>
        </w:rPr>
        <w:t>‘Ethics and Politics’ (located in the “Preparations” section), as the chapter title suggests, deals with the ethical concerns which have</w:t>
      </w:r>
      <w:r w:rsidR="00982DF2">
        <w:rPr>
          <w:sz w:val="24"/>
          <w:szCs w:val="24"/>
        </w:rPr>
        <w:t xml:space="preserve"> </w:t>
      </w:r>
      <w:r w:rsidR="00982DF2" w:rsidRPr="000D3414">
        <w:rPr>
          <w:sz w:val="24"/>
          <w:szCs w:val="24"/>
        </w:rPr>
        <w:t>arisen in</w:t>
      </w:r>
      <w:r>
        <w:rPr>
          <w:sz w:val="24"/>
          <w:szCs w:val="24"/>
        </w:rPr>
        <w:t xml:space="preserve"> ethnographic fieldwork over the course of its development as a</w:t>
      </w:r>
      <w:r w:rsidR="00833C1A">
        <w:rPr>
          <w:sz w:val="24"/>
          <w:szCs w:val="24"/>
        </w:rPr>
        <w:t xml:space="preserve"> modern</w:t>
      </w:r>
      <w:r>
        <w:rPr>
          <w:sz w:val="24"/>
          <w:szCs w:val="24"/>
        </w:rPr>
        <w:t xml:space="preserve"> anthropological research technique</w:t>
      </w:r>
      <w:r w:rsidR="00833C1A">
        <w:rPr>
          <w:sz w:val="24"/>
          <w:szCs w:val="24"/>
        </w:rPr>
        <w:t xml:space="preserve">. </w:t>
      </w:r>
      <w:r w:rsidR="00445C3C">
        <w:rPr>
          <w:sz w:val="24"/>
          <w:szCs w:val="24"/>
        </w:rPr>
        <w:t xml:space="preserve">Davies draws on the writings of </w:t>
      </w:r>
      <w:r w:rsidR="00FF32D7">
        <w:rPr>
          <w:sz w:val="24"/>
          <w:szCs w:val="24"/>
        </w:rPr>
        <w:t xml:space="preserve">Asad (1973, 1991), Okely (1983) and Mead (1969) among others to demonstrate how </w:t>
      </w:r>
      <w:r w:rsidR="00BA7453">
        <w:rPr>
          <w:sz w:val="24"/>
          <w:szCs w:val="24"/>
        </w:rPr>
        <w:t>methodological</w:t>
      </w:r>
      <w:r w:rsidR="00FF32D7">
        <w:rPr>
          <w:sz w:val="24"/>
          <w:szCs w:val="24"/>
        </w:rPr>
        <w:t xml:space="preserve"> reform emerging in the 1960s and ‘70s </w:t>
      </w:r>
      <w:r w:rsidR="00BA7453">
        <w:rPr>
          <w:sz w:val="24"/>
          <w:szCs w:val="24"/>
        </w:rPr>
        <w:t xml:space="preserve">brought about more ethically conscientious standards of engaging in fieldwork, in particular discussing the topics of informed consent, confidentiality and covert research.  </w:t>
      </w:r>
      <w:r w:rsidR="00B62DDD">
        <w:rPr>
          <w:sz w:val="24"/>
          <w:szCs w:val="24"/>
        </w:rPr>
        <w:t>The chapter aims to encourage critical engagement with arguments by demonstrating the need for, while simultaneously the difficulties and limitations of, reflexivity and ethical standards in ethnographic research.</w:t>
      </w:r>
      <w:r w:rsidR="00400CCC">
        <w:rPr>
          <w:sz w:val="24"/>
          <w:szCs w:val="24"/>
        </w:rPr>
        <w:t xml:space="preserve"> Davies utilises her personal experiences in the field and recounts obstacles which she faced in her own research to offer guidance on how to adapt </w:t>
      </w:r>
      <w:r w:rsidR="00CC6459">
        <w:rPr>
          <w:sz w:val="24"/>
          <w:szCs w:val="24"/>
        </w:rPr>
        <w:t>a research model</w:t>
      </w:r>
      <w:r w:rsidR="00400CCC">
        <w:rPr>
          <w:sz w:val="24"/>
          <w:szCs w:val="24"/>
        </w:rPr>
        <w:t xml:space="preserve"> to obtain results whilst remaining within the breadth of recognised ethical standards.</w:t>
      </w:r>
      <w:r w:rsidR="000D3414">
        <w:rPr>
          <w:sz w:val="24"/>
          <w:szCs w:val="24"/>
        </w:rPr>
        <w:t xml:space="preserve"> The arguments and explanations offered in this chapter are well-rounded and balanced to offer a realist view of the role of ethics and politics in anthropological fieldwork, as the author intended.</w:t>
      </w:r>
    </w:p>
    <w:p w14:paraId="190ABBC6" w14:textId="0FB1A7DD" w:rsidR="00EC356E" w:rsidRDefault="00400CCC" w:rsidP="00BE4A45">
      <w:pPr>
        <w:spacing w:after="0"/>
        <w:rPr>
          <w:sz w:val="24"/>
          <w:szCs w:val="24"/>
        </w:rPr>
      </w:pPr>
      <w:r>
        <w:rPr>
          <w:sz w:val="24"/>
          <w:szCs w:val="24"/>
        </w:rPr>
        <w:tab/>
        <w:t>‘Internet Ethnography’, an additional chapter published in the second edition, discusses the use of the internet, and in particular social media, as both a supplementary tool to aid in a wider social research model, and as a standalone research setting.</w:t>
      </w:r>
      <w:r w:rsidR="00B80015">
        <w:rPr>
          <w:sz w:val="24"/>
          <w:szCs w:val="24"/>
        </w:rPr>
        <w:t xml:space="preserve"> Davies explains how communicating with participants via the internet can produce different results </w:t>
      </w:r>
      <w:r w:rsidR="00B80015" w:rsidRPr="00320BB1">
        <w:rPr>
          <w:sz w:val="24"/>
          <w:szCs w:val="24"/>
        </w:rPr>
        <w:t>than</w:t>
      </w:r>
      <w:r w:rsidR="00982DF2" w:rsidRPr="00320BB1">
        <w:rPr>
          <w:sz w:val="24"/>
          <w:szCs w:val="24"/>
        </w:rPr>
        <w:t xml:space="preserve"> those obtained from</w:t>
      </w:r>
      <w:r w:rsidR="00B80015" w:rsidRPr="00320BB1">
        <w:rPr>
          <w:sz w:val="24"/>
          <w:szCs w:val="24"/>
        </w:rPr>
        <w:t xml:space="preserve"> face to face communication, </w:t>
      </w:r>
      <w:r w:rsidR="00982DF2" w:rsidRPr="00320BB1">
        <w:rPr>
          <w:sz w:val="24"/>
          <w:szCs w:val="24"/>
        </w:rPr>
        <w:t xml:space="preserve">an outcome </w:t>
      </w:r>
      <w:r w:rsidR="00B80015">
        <w:rPr>
          <w:sz w:val="24"/>
          <w:szCs w:val="24"/>
        </w:rPr>
        <w:t xml:space="preserve">which has potential to </w:t>
      </w:r>
      <w:r w:rsidR="00B80015">
        <w:rPr>
          <w:sz w:val="24"/>
          <w:szCs w:val="24"/>
        </w:rPr>
        <w:lastRenderedPageBreak/>
        <w:t>be advantageous to a research project; however since internet communication tends to be largely text-based, interviews conducted this way can lack “non-verbal cues that often inform [the researcher’s] interpretations of what people say” (p. 154)</w:t>
      </w:r>
      <w:r w:rsidR="00FC6096">
        <w:rPr>
          <w:sz w:val="24"/>
          <w:szCs w:val="24"/>
        </w:rPr>
        <w:t>.</w:t>
      </w:r>
    </w:p>
    <w:p w14:paraId="7BBA9A8B" w14:textId="2D819411" w:rsidR="00A90479" w:rsidRDefault="00EC356E" w:rsidP="00BE4A45">
      <w:pPr>
        <w:spacing w:after="0"/>
        <w:rPr>
          <w:sz w:val="24"/>
          <w:szCs w:val="24"/>
        </w:rPr>
      </w:pPr>
      <w:r>
        <w:rPr>
          <w:sz w:val="24"/>
          <w:szCs w:val="24"/>
        </w:rPr>
        <w:tab/>
        <w:t xml:space="preserve">I found this chapter to be of particular interest to me as it demonstrates the fluidity of presentation and perception of the self, as a researcher, as a participant and as part of a social community. Davies offers several examples of how different online settings can encourage people to present themselves, or even see themselves, differently to within other settings, and how sociocultural norms can shift and be reformed within </w:t>
      </w:r>
      <w:r w:rsidR="002B7638">
        <w:rPr>
          <w:sz w:val="24"/>
          <w:szCs w:val="24"/>
        </w:rPr>
        <w:t>specific</w:t>
      </w:r>
      <w:r>
        <w:rPr>
          <w:sz w:val="24"/>
          <w:szCs w:val="24"/>
        </w:rPr>
        <w:t xml:space="preserve"> contexts</w:t>
      </w:r>
      <w:r w:rsidR="00403CC4">
        <w:rPr>
          <w:sz w:val="24"/>
          <w:szCs w:val="24"/>
        </w:rPr>
        <w:t>; she utilises</w:t>
      </w:r>
      <w:r>
        <w:rPr>
          <w:sz w:val="24"/>
          <w:szCs w:val="24"/>
        </w:rPr>
        <w:t xml:space="preserve"> Kendall’s </w:t>
      </w:r>
      <w:r w:rsidR="002B7638">
        <w:rPr>
          <w:sz w:val="24"/>
          <w:szCs w:val="24"/>
        </w:rPr>
        <w:t xml:space="preserve">(1999) </w:t>
      </w:r>
      <w:r>
        <w:rPr>
          <w:sz w:val="24"/>
          <w:szCs w:val="24"/>
        </w:rPr>
        <w:t xml:space="preserve">research of the online community BlueSky, </w:t>
      </w:r>
      <w:r w:rsidR="002B7638">
        <w:rPr>
          <w:sz w:val="24"/>
          <w:szCs w:val="24"/>
        </w:rPr>
        <w:t>in which members of the community, especially new members, were expected to display certain behaviours and adhere to a particular code of conduct in order to ‘fit in’, that would not have been encouraged or acceptable in other</w:t>
      </w:r>
      <w:r>
        <w:rPr>
          <w:sz w:val="24"/>
          <w:szCs w:val="24"/>
        </w:rPr>
        <w:t xml:space="preserve"> </w:t>
      </w:r>
      <w:r w:rsidR="002B7638">
        <w:rPr>
          <w:sz w:val="24"/>
          <w:szCs w:val="24"/>
        </w:rPr>
        <w:t xml:space="preserve">social settings that the same participants could regularly encounter. </w:t>
      </w:r>
      <w:r w:rsidR="00403CC4">
        <w:rPr>
          <w:sz w:val="24"/>
          <w:szCs w:val="24"/>
        </w:rPr>
        <w:t xml:space="preserve">This further indicates some of the difficulties in carrying out research entirely online rather than in an amalgamation of different research techniques – the researcher may indeed encounter different results from the same participants dependent on the research setting. </w:t>
      </w:r>
    </w:p>
    <w:p w14:paraId="3B777E61" w14:textId="5F1A0E4A" w:rsidR="008F2456" w:rsidRDefault="00A90479" w:rsidP="00BE4A45">
      <w:pPr>
        <w:spacing w:after="0"/>
        <w:rPr>
          <w:sz w:val="24"/>
          <w:szCs w:val="24"/>
        </w:rPr>
      </w:pPr>
      <w:r>
        <w:rPr>
          <w:sz w:val="24"/>
          <w:szCs w:val="24"/>
        </w:rPr>
        <w:tab/>
        <w:t xml:space="preserve">While ‘Internet Ethnography’ provides an interesting glimpse into </w:t>
      </w:r>
      <w:r w:rsidR="001B5352">
        <w:rPr>
          <w:sz w:val="24"/>
          <w:szCs w:val="24"/>
        </w:rPr>
        <w:t xml:space="preserve">both </w:t>
      </w:r>
      <w:r>
        <w:rPr>
          <w:sz w:val="24"/>
          <w:szCs w:val="24"/>
        </w:rPr>
        <w:t xml:space="preserve">the benefits and </w:t>
      </w:r>
      <w:r w:rsidR="001B5352">
        <w:rPr>
          <w:sz w:val="24"/>
          <w:szCs w:val="24"/>
        </w:rPr>
        <w:t xml:space="preserve">the </w:t>
      </w:r>
      <w:r>
        <w:rPr>
          <w:sz w:val="24"/>
          <w:szCs w:val="24"/>
        </w:rPr>
        <w:t xml:space="preserve">difficulties of performing online ethnographic research, the continuing rapid development in social technology </w:t>
      </w:r>
      <w:r w:rsidR="00CA700B">
        <w:rPr>
          <w:sz w:val="24"/>
          <w:szCs w:val="24"/>
        </w:rPr>
        <w:t xml:space="preserve">and </w:t>
      </w:r>
      <w:r w:rsidR="00530918" w:rsidRPr="00320BB1">
        <w:rPr>
          <w:sz w:val="24"/>
          <w:szCs w:val="24"/>
        </w:rPr>
        <w:t xml:space="preserve">range of </w:t>
      </w:r>
      <w:r w:rsidR="00CA700B" w:rsidRPr="00320BB1">
        <w:rPr>
          <w:sz w:val="24"/>
          <w:szCs w:val="24"/>
        </w:rPr>
        <w:t xml:space="preserve">uses for the internet </w:t>
      </w:r>
      <w:r w:rsidRPr="00320BB1">
        <w:rPr>
          <w:sz w:val="24"/>
          <w:szCs w:val="24"/>
        </w:rPr>
        <w:t xml:space="preserve">over the past decade </w:t>
      </w:r>
      <w:r w:rsidR="00CA700B" w:rsidRPr="00320BB1">
        <w:rPr>
          <w:sz w:val="24"/>
          <w:szCs w:val="24"/>
        </w:rPr>
        <w:t>has already rendered the chapter a little outdated</w:t>
      </w:r>
      <w:r w:rsidR="00530918" w:rsidRPr="00320BB1">
        <w:rPr>
          <w:sz w:val="24"/>
          <w:szCs w:val="24"/>
        </w:rPr>
        <w:t>.  W</w:t>
      </w:r>
      <w:r w:rsidR="000E2DD5" w:rsidRPr="00320BB1">
        <w:rPr>
          <w:sz w:val="24"/>
          <w:szCs w:val="24"/>
        </w:rPr>
        <w:t>here eleven-year-old discourse on other areas of the discipline might still be considered contemporary</w:t>
      </w:r>
      <w:r w:rsidR="00530918" w:rsidRPr="00320BB1">
        <w:rPr>
          <w:sz w:val="24"/>
          <w:szCs w:val="24"/>
        </w:rPr>
        <w:t xml:space="preserve">, this particular chapter now confines its approach to a very limited facet of on-line interaction </w:t>
      </w:r>
      <w:r w:rsidR="001B5352" w:rsidRPr="00320BB1">
        <w:rPr>
          <w:sz w:val="24"/>
          <w:szCs w:val="24"/>
        </w:rPr>
        <w:t xml:space="preserve">and one </w:t>
      </w:r>
      <w:r w:rsidR="00530918" w:rsidRPr="00320BB1">
        <w:rPr>
          <w:sz w:val="24"/>
          <w:szCs w:val="24"/>
        </w:rPr>
        <w:t>which has, itself, changed considerably in recent years.</w:t>
      </w:r>
      <w:r w:rsidR="000E2DD5">
        <w:rPr>
          <w:sz w:val="24"/>
          <w:szCs w:val="24"/>
        </w:rPr>
        <w:t xml:space="preserve"> An updated version of this chapter may benefit from the inclusion of discussion surrounding public social media platforms such as Twitter where interactions between a much wider array of cultural backgrounds can be observed and engaged with, and the fusion of social media and</w:t>
      </w:r>
      <w:r w:rsidR="008F2456">
        <w:rPr>
          <w:sz w:val="24"/>
          <w:szCs w:val="24"/>
        </w:rPr>
        <w:t xml:space="preserve"> the use of</w:t>
      </w:r>
      <w:r w:rsidR="000E2DD5">
        <w:rPr>
          <w:sz w:val="24"/>
          <w:szCs w:val="24"/>
        </w:rPr>
        <w:t xml:space="preserve"> visual material </w:t>
      </w:r>
      <w:r w:rsidR="008F2456">
        <w:rPr>
          <w:sz w:val="24"/>
          <w:szCs w:val="24"/>
        </w:rPr>
        <w:t xml:space="preserve">(which is discussed in another chapter of </w:t>
      </w:r>
      <w:r w:rsidR="008F2456">
        <w:rPr>
          <w:i/>
          <w:iCs/>
          <w:sz w:val="24"/>
          <w:szCs w:val="24"/>
        </w:rPr>
        <w:t>Reflexive Ethnography</w:t>
      </w:r>
      <w:r w:rsidR="008F2456">
        <w:rPr>
          <w:sz w:val="24"/>
          <w:szCs w:val="24"/>
        </w:rPr>
        <w:t>) through the likes of web-based applications such as Instagram and Vine.</w:t>
      </w:r>
    </w:p>
    <w:p w14:paraId="7B968155" w14:textId="77A54E9B" w:rsidR="008F2456" w:rsidRPr="00FC6096" w:rsidRDefault="008F2456" w:rsidP="00FC6096">
      <w:pPr>
        <w:spacing w:after="0"/>
        <w:ind w:firstLine="720"/>
        <w:rPr>
          <w:color w:val="FF0000"/>
          <w:sz w:val="24"/>
          <w:szCs w:val="24"/>
        </w:rPr>
      </w:pPr>
      <w:r>
        <w:rPr>
          <w:i/>
          <w:iCs/>
          <w:sz w:val="24"/>
          <w:szCs w:val="24"/>
        </w:rPr>
        <w:t xml:space="preserve">Reflexive </w:t>
      </w:r>
      <w:r w:rsidR="00FC6096">
        <w:rPr>
          <w:i/>
          <w:iCs/>
          <w:sz w:val="24"/>
          <w:szCs w:val="24"/>
        </w:rPr>
        <w:t>Ethnography</w:t>
      </w:r>
      <w:r>
        <w:rPr>
          <w:i/>
          <w:iCs/>
          <w:sz w:val="24"/>
          <w:szCs w:val="24"/>
        </w:rPr>
        <w:t xml:space="preserve"> </w:t>
      </w:r>
      <w:r>
        <w:rPr>
          <w:sz w:val="24"/>
          <w:szCs w:val="24"/>
        </w:rPr>
        <w:t xml:space="preserve">is carefully written to suit its target audience; the language is academic yet straightforward enough </w:t>
      </w:r>
      <w:r>
        <w:rPr>
          <w:sz w:val="24"/>
          <w:szCs w:val="24"/>
        </w:rPr>
        <w:t>be understood with ease by</w:t>
      </w:r>
      <w:r>
        <w:rPr>
          <w:sz w:val="24"/>
          <w:szCs w:val="24"/>
        </w:rPr>
        <w:t xml:space="preserve"> undergraduate readers</w:t>
      </w:r>
      <w:r w:rsidRPr="000D3414">
        <w:rPr>
          <w:sz w:val="24"/>
          <w:szCs w:val="24"/>
        </w:rPr>
        <w:t>. I</w:t>
      </w:r>
      <w:r w:rsidR="00530918" w:rsidRPr="000D3414">
        <w:rPr>
          <w:sz w:val="24"/>
          <w:szCs w:val="24"/>
        </w:rPr>
        <w:t xml:space="preserve"> did find</w:t>
      </w:r>
      <w:r w:rsidRPr="000D3414">
        <w:rPr>
          <w:sz w:val="24"/>
          <w:szCs w:val="24"/>
        </w:rPr>
        <w:t xml:space="preserve"> the book a little repetitive at times, but this </w:t>
      </w:r>
      <w:r w:rsidR="00530918" w:rsidRPr="000D3414">
        <w:rPr>
          <w:sz w:val="24"/>
          <w:szCs w:val="24"/>
        </w:rPr>
        <w:t xml:space="preserve">may be a device to reinforce themes </w:t>
      </w:r>
      <w:r w:rsidRPr="000D3414">
        <w:rPr>
          <w:sz w:val="24"/>
          <w:szCs w:val="24"/>
        </w:rPr>
        <w:t xml:space="preserve">due to it being a textbook aimed at </w:t>
      </w:r>
      <w:r w:rsidR="00EA0249">
        <w:rPr>
          <w:sz w:val="24"/>
          <w:szCs w:val="24"/>
        </w:rPr>
        <w:t>those</w:t>
      </w:r>
      <w:r w:rsidRPr="000D3414">
        <w:rPr>
          <w:sz w:val="24"/>
          <w:szCs w:val="24"/>
        </w:rPr>
        <w:t xml:space="preserve"> who are learning the discipline.</w:t>
      </w:r>
      <w:r w:rsidRPr="00530918">
        <w:rPr>
          <w:color w:val="FF0000"/>
          <w:sz w:val="24"/>
          <w:szCs w:val="24"/>
        </w:rPr>
        <w:t xml:space="preserve"> </w:t>
      </w:r>
      <w:r w:rsidR="00FC6096">
        <w:rPr>
          <w:sz w:val="24"/>
          <w:szCs w:val="24"/>
        </w:rPr>
        <w:t>Overall,</w:t>
      </w:r>
      <w:r w:rsidR="00320BB1">
        <w:rPr>
          <w:sz w:val="24"/>
          <w:szCs w:val="24"/>
        </w:rPr>
        <w:t xml:space="preserve"> I</w:t>
      </w:r>
      <w:r w:rsidR="00FC6096">
        <w:rPr>
          <w:sz w:val="24"/>
          <w:szCs w:val="24"/>
        </w:rPr>
        <w:t xml:space="preserve"> </w:t>
      </w:r>
      <w:r w:rsidR="00EA0249">
        <w:rPr>
          <w:sz w:val="24"/>
          <w:szCs w:val="24"/>
        </w:rPr>
        <w:t>found little</w:t>
      </w:r>
      <w:bookmarkStart w:id="0" w:name="_GoBack"/>
      <w:bookmarkEnd w:id="0"/>
      <w:r w:rsidR="00FC6096">
        <w:rPr>
          <w:sz w:val="24"/>
          <w:szCs w:val="24"/>
        </w:rPr>
        <w:t xml:space="preserve"> about the book </w:t>
      </w:r>
      <w:r w:rsidR="00EA0249">
        <w:rPr>
          <w:sz w:val="24"/>
          <w:szCs w:val="24"/>
        </w:rPr>
        <w:t>on which to offer any serious criticism</w:t>
      </w:r>
      <w:r w:rsidR="00320BB1">
        <w:rPr>
          <w:sz w:val="24"/>
          <w:szCs w:val="24"/>
        </w:rPr>
        <w:t>; Davies makes her intended arguments in a balanced and thorough manner</w:t>
      </w:r>
      <w:r w:rsidR="00EA0249">
        <w:rPr>
          <w:sz w:val="24"/>
          <w:szCs w:val="24"/>
        </w:rPr>
        <w:t xml:space="preserve"> and her </w:t>
      </w:r>
      <w:r w:rsidR="00320BB1">
        <w:rPr>
          <w:sz w:val="24"/>
          <w:szCs w:val="24"/>
        </w:rPr>
        <w:t xml:space="preserve">subsequent guidance to the reader </w:t>
      </w:r>
      <w:r w:rsidR="00EA0249">
        <w:rPr>
          <w:sz w:val="24"/>
          <w:szCs w:val="24"/>
        </w:rPr>
        <w:t xml:space="preserve">is </w:t>
      </w:r>
      <w:r w:rsidR="00320BB1">
        <w:rPr>
          <w:sz w:val="24"/>
          <w:szCs w:val="24"/>
        </w:rPr>
        <w:t xml:space="preserve">cohesive and practical. </w:t>
      </w:r>
      <w:r w:rsidR="00FC6096">
        <w:rPr>
          <w:i/>
          <w:iCs/>
          <w:sz w:val="24"/>
          <w:szCs w:val="24"/>
        </w:rPr>
        <w:t xml:space="preserve">Reflexive Ethnography </w:t>
      </w:r>
      <w:r w:rsidR="00FC6096">
        <w:rPr>
          <w:sz w:val="24"/>
          <w:szCs w:val="24"/>
        </w:rPr>
        <w:t xml:space="preserve">is </w:t>
      </w:r>
      <w:r w:rsidR="00EA0249">
        <w:rPr>
          <w:sz w:val="24"/>
          <w:szCs w:val="24"/>
        </w:rPr>
        <w:t xml:space="preserve">overall </w:t>
      </w:r>
      <w:r w:rsidR="00FC6096">
        <w:rPr>
          <w:sz w:val="24"/>
          <w:szCs w:val="24"/>
        </w:rPr>
        <w:t xml:space="preserve">an informative and engaging read </w:t>
      </w:r>
      <w:r w:rsidR="00EA0249">
        <w:rPr>
          <w:sz w:val="24"/>
          <w:szCs w:val="24"/>
        </w:rPr>
        <w:t xml:space="preserve">and one </w:t>
      </w:r>
      <w:r w:rsidR="00FC6096">
        <w:rPr>
          <w:sz w:val="24"/>
          <w:szCs w:val="24"/>
        </w:rPr>
        <w:t>which has prompted me to think critically and reflexively about my own future fieldwork endeavours.</w:t>
      </w:r>
    </w:p>
    <w:p w14:paraId="713902AA" w14:textId="6A80DCF1" w:rsidR="008F2456" w:rsidRDefault="008F2456" w:rsidP="00BE4A45">
      <w:pPr>
        <w:spacing w:after="0"/>
        <w:rPr>
          <w:sz w:val="24"/>
          <w:szCs w:val="24"/>
        </w:rPr>
      </w:pPr>
    </w:p>
    <w:p w14:paraId="6CA906AE" w14:textId="6086DBFA" w:rsidR="000D3414" w:rsidRDefault="000D3414" w:rsidP="00BE4A45">
      <w:pPr>
        <w:spacing w:after="0"/>
        <w:rPr>
          <w:sz w:val="24"/>
          <w:szCs w:val="24"/>
        </w:rPr>
      </w:pPr>
    </w:p>
    <w:p w14:paraId="30B1F2C4" w14:textId="35BB2717" w:rsidR="00A73369" w:rsidRDefault="00A73369" w:rsidP="00BE4A45">
      <w:pPr>
        <w:spacing w:after="0"/>
        <w:rPr>
          <w:sz w:val="24"/>
          <w:szCs w:val="24"/>
        </w:rPr>
      </w:pPr>
    </w:p>
    <w:p w14:paraId="67D767AF" w14:textId="4DB1859B" w:rsidR="00A73369" w:rsidRDefault="00A73369" w:rsidP="00BE4A45">
      <w:pPr>
        <w:spacing w:after="0"/>
        <w:rPr>
          <w:sz w:val="24"/>
          <w:szCs w:val="24"/>
        </w:rPr>
      </w:pPr>
    </w:p>
    <w:p w14:paraId="2E5F6DC4" w14:textId="77777777" w:rsidR="00A73369" w:rsidRPr="008F2456" w:rsidRDefault="00A73369" w:rsidP="00BE4A45">
      <w:pPr>
        <w:spacing w:after="0"/>
        <w:rPr>
          <w:sz w:val="24"/>
          <w:szCs w:val="24"/>
        </w:rPr>
      </w:pPr>
    </w:p>
    <w:p w14:paraId="48B11D7C" w14:textId="03944753" w:rsidR="00BE4A45" w:rsidRPr="000D3414" w:rsidRDefault="000D3414" w:rsidP="00BE4A45">
      <w:pPr>
        <w:spacing w:after="0"/>
        <w:rPr>
          <w:b/>
          <w:bCs/>
          <w:i/>
          <w:iCs/>
          <w:sz w:val="24"/>
          <w:szCs w:val="24"/>
        </w:rPr>
      </w:pPr>
      <w:r>
        <w:rPr>
          <w:b/>
          <w:bCs/>
          <w:i/>
          <w:iCs/>
          <w:sz w:val="24"/>
          <w:szCs w:val="24"/>
        </w:rPr>
        <w:t>References</w:t>
      </w:r>
    </w:p>
    <w:p w14:paraId="18E7EB52" w14:textId="1E02C59B" w:rsidR="00BE4A45" w:rsidRDefault="00BE4A45" w:rsidP="00BE4A45">
      <w:pPr>
        <w:spacing w:after="0"/>
        <w:rPr>
          <w:sz w:val="24"/>
          <w:szCs w:val="24"/>
        </w:rPr>
      </w:pPr>
    </w:p>
    <w:p w14:paraId="6B639722" w14:textId="3F5EB597" w:rsidR="00A73369" w:rsidRDefault="00A73369" w:rsidP="00BE4A45">
      <w:pPr>
        <w:spacing w:after="0"/>
        <w:rPr>
          <w:sz w:val="24"/>
          <w:szCs w:val="24"/>
        </w:rPr>
      </w:pPr>
      <w:r>
        <w:rPr>
          <w:sz w:val="24"/>
          <w:szCs w:val="24"/>
        </w:rPr>
        <w:t xml:space="preserve">Asad, T. </w:t>
      </w:r>
      <w:r w:rsidR="00532528">
        <w:rPr>
          <w:sz w:val="24"/>
          <w:szCs w:val="24"/>
        </w:rPr>
        <w:t xml:space="preserve">(ed.) </w:t>
      </w:r>
      <w:r>
        <w:rPr>
          <w:sz w:val="24"/>
          <w:szCs w:val="24"/>
        </w:rPr>
        <w:t>(1973)</w:t>
      </w:r>
      <w:r w:rsidR="00532528">
        <w:rPr>
          <w:sz w:val="24"/>
          <w:szCs w:val="24"/>
        </w:rPr>
        <w:t xml:space="preserve"> </w:t>
      </w:r>
      <w:r w:rsidR="00532528">
        <w:rPr>
          <w:i/>
          <w:iCs/>
          <w:sz w:val="24"/>
          <w:szCs w:val="24"/>
        </w:rPr>
        <w:t xml:space="preserve">Anthropology and the Colonial Encounter. </w:t>
      </w:r>
      <w:r w:rsidR="00532528">
        <w:rPr>
          <w:sz w:val="24"/>
          <w:szCs w:val="24"/>
        </w:rPr>
        <w:t>London: Ithaca Press.</w:t>
      </w:r>
    </w:p>
    <w:p w14:paraId="2F692C7C" w14:textId="77777777" w:rsidR="00532528" w:rsidRPr="00532528" w:rsidRDefault="00532528" w:rsidP="00BE4A45">
      <w:pPr>
        <w:spacing w:after="0"/>
        <w:rPr>
          <w:sz w:val="24"/>
          <w:szCs w:val="24"/>
        </w:rPr>
      </w:pPr>
    </w:p>
    <w:p w14:paraId="5FE6C31E" w14:textId="014825B4" w:rsidR="00A73369" w:rsidRDefault="00A73369" w:rsidP="00BE4A45">
      <w:pPr>
        <w:spacing w:after="0"/>
        <w:rPr>
          <w:sz w:val="24"/>
          <w:szCs w:val="24"/>
        </w:rPr>
      </w:pPr>
      <w:r>
        <w:rPr>
          <w:sz w:val="24"/>
          <w:szCs w:val="24"/>
        </w:rPr>
        <w:t xml:space="preserve">Davies, C. A. (2008) </w:t>
      </w:r>
      <w:r>
        <w:rPr>
          <w:i/>
          <w:iCs/>
          <w:sz w:val="24"/>
          <w:szCs w:val="24"/>
        </w:rPr>
        <w:t xml:space="preserve">Reflexive Ethnography: A Guide to Researching Selves and Others. </w:t>
      </w:r>
      <w:r>
        <w:rPr>
          <w:sz w:val="24"/>
          <w:szCs w:val="24"/>
        </w:rPr>
        <w:t>2</w:t>
      </w:r>
      <w:r w:rsidRPr="00A73369">
        <w:rPr>
          <w:sz w:val="24"/>
          <w:szCs w:val="24"/>
          <w:vertAlign w:val="superscript"/>
        </w:rPr>
        <w:t>nd</w:t>
      </w:r>
      <w:r>
        <w:rPr>
          <w:sz w:val="24"/>
          <w:szCs w:val="24"/>
        </w:rPr>
        <w:t xml:space="preserve"> Ed. London: Routledge.</w:t>
      </w:r>
    </w:p>
    <w:p w14:paraId="47DB1181" w14:textId="77777777" w:rsidR="00532528" w:rsidRDefault="00532528" w:rsidP="00BE4A45">
      <w:pPr>
        <w:spacing w:after="0"/>
        <w:rPr>
          <w:sz w:val="24"/>
          <w:szCs w:val="24"/>
        </w:rPr>
      </w:pPr>
    </w:p>
    <w:p w14:paraId="527EDDD4" w14:textId="3A3B54A9" w:rsidR="00532528" w:rsidRDefault="00532528" w:rsidP="00BE4A45">
      <w:pPr>
        <w:spacing w:after="0"/>
        <w:rPr>
          <w:sz w:val="24"/>
          <w:szCs w:val="24"/>
        </w:rPr>
      </w:pPr>
      <w:r>
        <w:rPr>
          <w:sz w:val="24"/>
          <w:szCs w:val="24"/>
        </w:rPr>
        <w:t xml:space="preserve">Kendall, L. (1999) ‘Recontextualizing “Cyberspace”: Methodological Considerations for On-line Research’ in S. Jones (ed.) </w:t>
      </w:r>
      <w:r>
        <w:rPr>
          <w:i/>
          <w:iCs/>
          <w:sz w:val="24"/>
          <w:szCs w:val="24"/>
        </w:rPr>
        <w:t xml:space="preserve">Doing Internet Research: Critical Issues and Methods for Examining the Net. </w:t>
      </w:r>
      <w:r>
        <w:rPr>
          <w:sz w:val="24"/>
          <w:szCs w:val="24"/>
        </w:rPr>
        <w:t>Thousand Oaks: Sage.</w:t>
      </w:r>
    </w:p>
    <w:p w14:paraId="112BB1B0" w14:textId="544C5BB1" w:rsidR="00532528" w:rsidRDefault="00532528" w:rsidP="00BE4A45">
      <w:pPr>
        <w:spacing w:after="0"/>
        <w:rPr>
          <w:sz w:val="24"/>
          <w:szCs w:val="24"/>
        </w:rPr>
      </w:pPr>
    </w:p>
    <w:p w14:paraId="10667C55" w14:textId="35B71124" w:rsidR="00532528" w:rsidRDefault="00532528" w:rsidP="00BE4A45">
      <w:pPr>
        <w:spacing w:after="0"/>
        <w:rPr>
          <w:sz w:val="24"/>
          <w:szCs w:val="24"/>
        </w:rPr>
      </w:pPr>
      <w:r>
        <w:rPr>
          <w:sz w:val="24"/>
          <w:szCs w:val="24"/>
        </w:rPr>
        <w:t xml:space="preserve">Mead, M. (1969) ‘Research with Human Beings: A Model Derived from Anthropological Field Practice’ </w:t>
      </w:r>
      <w:r>
        <w:rPr>
          <w:i/>
          <w:iCs/>
          <w:sz w:val="24"/>
          <w:szCs w:val="24"/>
        </w:rPr>
        <w:t xml:space="preserve">Daedalus. </w:t>
      </w:r>
      <w:r>
        <w:rPr>
          <w:sz w:val="24"/>
          <w:szCs w:val="24"/>
        </w:rPr>
        <w:t xml:space="preserve">No. 98, pp. 361-386. Michigan: The Academy. </w:t>
      </w:r>
    </w:p>
    <w:p w14:paraId="4B196613" w14:textId="286DB222" w:rsidR="00D84A64" w:rsidRDefault="00D84A64" w:rsidP="00BE4A45">
      <w:pPr>
        <w:spacing w:after="0"/>
        <w:rPr>
          <w:sz w:val="24"/>
          <w:szCs w:val="24"/>
        </w:rPr>
      </w:pPr>
    </w:p>
    <w:p w14:paraId="135783EB" w14:textId="0402318A" w:rsidR="00D84A64" w:rsidRPr="00D84A64" w:rsidRDefault="00D84A64" w:rsidP="00BE4A45">
      <w:pPr>
        <w:spacing w:after="0"/>
        <w:rPr>
          <w:sz w:val="24"/>
          <w:szCs w:val="24"/>
        </w:rPr>
      </w:pPr>
      <w:r>
        <w:rPr>
          <w:sz w:val="24"/>
          <w:szCs w:val="24"/>
        </w:rPr>
        <w:t xml:space="preserve">Okely, J. (1983) </w:t>
      </w:r>
      <w:r>
        <w:rPr>
          <w:i/>
          <w:iCs/>
          <w:sz w:val="24"/>
          <w:szCs w:val="24"/>
        </w:rPr>
        <w:t xml:space="preserve">The Traveller-Gypsies. </w:t>
      </w:r>
      <w:r>
        <w:rPr>
          <w:sz w:val="24"/>
          <w:szCs w:val="24"/>
        </w:rPr>
        <w:t xml:space="preserve">Cambridge: Cambridge University Press. </w:t>
      </w:r>
    </w:p>
    <w:p w14:paraId="566BD145" w14:textId="77777777" w:rsidR="00532528" w:rsidRPr="00532528" w:rsidRDefault="00532528" w:rsidP="00BE4A45">
      <w:pPr>
        <w:spacing w:after="0"/>
        <w:rPr>
          <w:sz w:val="24"/>
          <w:szCs w:val="24"/>
        </w:rPr>
      </w:pPr>
    </w:p>
    <w:p w14:paraId="45328429" w14:textId="0D7EE41E" w:rsidR="00BE4A45" w:rsidRPr="009E666A" w:rsidRDefault="00FC6096" w:rsidP="00BE4A45">
      <w:pPr>
        <w:spacing w:after="0"/>
        <w:rPr>
          <w:sz w:val="24"/>
          <w:szCs w:val="24"/>
        </w:rPr>
      </w:pPr>
      <w:r>
        <w:t xml:space="preserve">University of Wales Press (2019) </w:t>
      </w:r>
      <w:r>
        <w:rPr>
          <w:i/>
          <w:iCs/>
        </w:rPr>
        <w:t xml:space="preserve">Charlotte Aull Davies. </w:t>
      </w:r>
      <w:r>
        <w:t xml:space="preserve">Available at: </w:t>
      </w:r>
      <w:hyperlink r:id="rId6" w:history="1">
        <w:r w:rsidRPr="004401DB">
          <w:rPr>
            <w:rStyle w:val="Hyperlink"/>
          </w:rPr>
          <w:t>https://www.uwp.co.uk/author/charlotte-davies-431/</w:t>
        </w:r>
      </w:hyperlink>
      <w:r>
        <w:t xml:space="preserve"> (Accessed</w:t>
      </w:r>
      <w:r w:rsidR="00A73369">
        <w:t xml:space="preserve"> 23</w:t>
      </w:r>
      <w:r w:rsidR="00A73369" w:rsidRPr="00A73369">
        <w:rPr>
          <w:vertAlign w:val="superscript"/>
        </w:rPr>
        <w:t>rd</w:t>
      </w:r>
      <w:r w:rsidR="00A73369">
        <w:t xml:space="preserve"> September 2019)</w:t>
      </w:r>
    </w:p>
    <w:sectPr w:rsidR="00BE4A45" w:rsidRPr="009E666A">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39FF9A" w14:textId="77777777" w:rsidR="00A0746B" w:rsidRDefault="00A0746B" w:rsidP="00650E4D">
      <w:pPr>
        <w:spacing w:after="0" w:line="240" w:lineRule="auto"/>
      </w:pPr>
      <w:r>
        <w:separator/>
      </w:r>
    </w:p>
  </w:endnote>
  <w:endnote w:type="continuationSeparator" w:id="0">
    <w:p w14:paraId="5C4C4B09" w14:textId="77777777" w:rsidR="00A0746B" w:rsidRDefault="00A0746B" w:rsidP="00650E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AFAEC5" w14:textId="77777777" w:rsidR="00A0746B" w:rsidRDefault="00A0746B" w:rsidP="00650E4D">
      <w:pPr>
        <w:spacing w:after="0" w:line="240" w:lineRule="auto"/>
      </w:pPr>
      <w:r>
        <w:separator/>
      </w:r>
    </w:p>
  </w:footnote>
  <w:footnote w:type="continuationSeparator" w:id="0">
    <w:p w14:paraId="5A619617" w14:textId="77777777" w:rsidR="00A0746B" w:rsidRDefault="00A0746B" w:rsidP="00650E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511F56" w14:textId="4329C1F4" w:rsidR="00B80015" w:rsidRDefault="00B80015" w:rsidP="00650E4D">
    <w:pPr>
      <w:pStyle w:val="Header"/>
      <w:jc w:val="right"/>
    </w:pPr>
    <w:r>
      <w:t>Student No. 1801935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650E4D"/>
    <w:rsid w:val="000D3414"/>
    <w:rsid w:val="000E2DD5"/>
    <w:rsid w:val="001B5352"/>
    <w:rsid w:val="002547E2"/>
    <w:rsid w:val="002B7638"/>
    <w:rsid w:val="00312C6A"/>
    <w:rsid w:val="00320BB1"/>
    <w:rsid w:val="00400CCC"/>
    <w:rsid w:val="00403CC4"/>
    <w:rsid w:val="00445C3C"/>
    <w:rsid w:val="004A37B7"/>
    <w:rsid w:val="00530918"/>
    <w:rsid w:val="00532528"/>
    <w:rsid w:val="0063380E"/>
    <w:rsid w:val="00650E4D"/>
    <w:rsid w:val="00833C1A"/>
    <w:rsid w:val="008F2456"/>
    <w:rsid w:val="00982DF2"/>
    <w:rsid w:val="009842A8"/>
    <w:rsid w:val="009E666A"/>
    <w:rsid w:val="00A0746B"/>
    <w:rsid w:val="00A73369"/>
    <w:rsid w:val="00A90479"/>
    <w:rsid w:val="00B62DDD"/>
    <w:rsid w:val="00B665F6"/>
    <w:rsid w:val="00B80015"/>
    <w:rsid w:val="00BA7453"/>
    <w:rsid w:val="00BE4A45"/>
    <w:rsid w:val="00CA700B"/>
    <w:rsid w:val="00CC6459"/>
    <w:rsid w:val="00CE5991"/>
    <w:rsid w:val="00D84A64"/>
    <w:rsid w:val="00EA0249"/>
    <w:rsid w:val="00EC356E"/>
    <w:rsid w:val="00F6732E"/>
    <w:rsid w:val="00FC2172"/>
    <w:rsid w:val="00FC6096"/>
    <w:rsid w:val="00FF32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88C94"/>
  <w15:chartTrackingRefBased/>
  <w15:docId w15:val="{B7AC1312-8AC0-45EE-84E6-F91FFE1286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50E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0E4D"/>
  </w:style>
  <w:style w:type="paragraph" w:styleId="Footer">
    <w:name w:val="footer"/>
    <w:basedOn w:val="Normal"/>
    <w:link w:val="FooterChar"/>
    <w:uiPriority w:val="99"/>
    <w:unhideWhenUsed/>
    <w:rsid w:val="00650E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0E4D"/>
  </w:style>
  <w:style w:type="character" w:styleId="Hyperlink">
    <w:name w:val="Hyperlink"/>
    <w:basedOn w:val="DefaultParagraphFont"/>
    <w:uiPriority w:val="99"/>
    <w:unhideWhenUsed/>
    <w:rsid w:val="00BE4A45"/>
    <w:rPr>
      <w:color w:val="0000FF"/>
      <w:u w:val="single"/>
    </w:rPr>
  </w:style>
  <w:style w:type="character" w:styleId="UnresolvedMention">
    <w:name w:val="Unresolved Mention"/>
    <w:basedOn w:val="DefaultParagraphFont"/>
    <w:uiPriority w:val="99"/>
    <w:semiHidden/>
    <w:unhideWhenUsed/>
    <w:rsid w:val="00FC60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uwp.co.uk/author/charlotte-davies-431/"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4709</TotalTime>
  <Pages>3</Pages>
  <Words>1068</Words>
  <Characters>6083</Characters>
  <Application>Microsoft Office Word</Application>
  <DocSecurity>0</DocSecurity>
  <Lines>98</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Cathy Jewson</dc:creator>
  <cp:keywords/>
  <dc:description/>
  <cp:lastModifiedBy>Cathy Jewson</cp:lastModifiedBy>
  <cp:revision>9</cp:revision>
  <dcterms:created xsi:type="dcterms:W3CDTF">2019-09-18T11:24:00Z</dcterms:created>
  <dcterms:modified xsi:type="dcterms:W3CDTF">2019-09-25T15:08:00Z</dcterms:modified>
</cp:coreProperties>
</file>