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106764648" w:displacedByCustomXml="next"/>
    <w:sdt>
      <w:sdtPr>
        <w:rPr>
          <w:rFonts w:asciiTheme="majorHAnsi" w:eastAsiaTheme="majorEastAsia" w:hAnsiTheme="majorHAnsi" w:cstheme="majorBidi"/>
          <w:b/>
          <w:bCs/>
          <w:color w:val="365F91" w:themeColor="accent1" w:themeShade="BF"/>
          <w:sz w:val="48"/>
          <w:szCs w:val="48"/>
        </w:rPr>
        <w:id w:val="33192641"/>
        <w:docPartObj>
          <w:docPartGallery w:val="Cover Pages"/>
          <w:docPartUnique/>
        </w:docPartObj>
      </w:sdtPr>
      <w:sdtEndPr>
        <w:rPr>
          <w:rFonts w:ascii="Arial" w:eastAsiaTheme="minorHAnsi" w:hAnsi="Arial" w:cs="Arial"/>
          <w:b w:val="0"/>
          <w:color w:val="7BA0CD" w:themeColor="accent1" w:themeTint="BF"/>
          <w:spacing w:val="60"/>
          <w:sz w:val="22"/>
          <w:szCs w:val="22"/>
        </w:rPr>
      </w:sdtEndPr>
      <w:sdtContent>
        <w:tbl>
          <w:tblPr>
            <w:tblpPr w:leftFromText="187" w:rightFromText="187" w:horzAnchor="margin" w:tblpYSpec="bottom"/>
            <w:tblW w:w="3000" w:type="pct"/>
            <w:tblLook w:val="04A0"/>
          </w:tblPr>
          <w:tblGrid>
            <w:gridCol w:w="6178"/>
          </w:tblGrid>
          <w:tr w:rsidR="00D047C2">
            <w:sdt>
              <w:sdtPr>
                <w:rPr>
                  <w:rFonts w:asciiTheme="majorHAnsi" w:eastAsiaTheme="majorEastAsia" w:hAnsiTheme="majorHAnsi" w:cstheme="majorBidi"/>
                  <w:b/>
                  <w:bCs/>
                  <w:color w:val="365F91" w:themeColor="accent1" w:themeShade="BF"/>
                  <w:sz w:val="48"/>
                  <w:szCs w:val="48"/>
                </w:rPr>
                <w:alias w:val="Title"/>
                <w:id w:val="703864190"/>
                <w:placeholder>
                  <w:docPart w:val="DA6D37550ACE48FDB8AD244524166137"/>
                </w:placeholder>
                <w:dataBinding w:prefixMappings="xmlns:ns0='http://schemas.openxmlformats.org/package/2006/metadata/core-properties' xmlns:ns1='http://purl.org/dc/elements/1.1/'" w:xpath="/ns0:coreProperties[1]/ns1:title[1]" w:storeItemID="{6C3C8BC8-F283-45AE-878A-BAB7291924A1}"/>
                <w:text/>
              </w:sdtPr>
              <w:sdtContent>
                <w:tc>
                  <w:tcPr>
                    <w:tcW w:w="5746" w:type="dxa"/>
                  </w:tcPr>
                  <w:p w:rsidR="00D047C2" w:rsidRDefault="00D047C2">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lang w:val="en-GB"/>
                      </w:rPr>
                      <w:t>BSc Health and Social Care</w:t>
                    </w:r>
                  </w:p>
                </w:tc>
              </w:sdtContent>
            </w:sdt>
          </w:tr>
          <w:tr w:rsidR="00D047C2">
            <w:sdt>
              <w:sdtPr>
                <w:rPr>
                  <w:color w:val="484329" w:themeColor="background2" w:themeShade="3F"/>
                  <w:sz w:val="28"/>
                  <w:szCs w:val="28"/>
                </w:rPr>
                <w:alias w:val="Subtitle"/>
                <w:id w:val="703864195"/>
                <w:placeholder>
                  <w:docPart w:val="EA0E0B87FBB44CA6A71F5BD9E04A09F5"/>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D047C2" w:rsidRDefault="00D047C2" w:rsidP="00D047C2">
                    <w:pPr>
                      <w:pStyle w:val="NoSpacing"/>
                      <w:rPr>
                        <w:color w:val="484329" w:themeColor="background2" w:themeShade="3F"/>
                        <w:sz w:val="28"/>
                        <w:szCs w:val="28"/>
                      </w:rPr>
                    </w:pPr>
                    <w:r>
                      <w:rPr>
                        <w:color w:val="484329" w:themeColor="background2" w:themeShade="3F"/>
                        <w:sz w:val="28"/>
                        <w:szCs w:val="28"/>
                      </w:rPr>
                      <w:t>Students Name:  Petea-Kaye Davis</w:t>
                    </w:r>
                  </w:p>
                </w:tc>
              </w:sdtContent>
            </w:sdt>
          </w:tr>
          <w:tr w:rsidR="00D047C2">
            <w:tc>
              <w:tcPr>
                <w:tcW w:w="5746" w:type="dxa"/>
              </w:tcPr>
              <w:p w:rsidR="00D047C2" w:rsidRDefault="00D047C2">
                <w:pPr>
                  <w:pStyle w:val="NoSpacing"/>
                  <w:rPr>
                    <w:color w:val="484329" w:themeColor="background2" w:themeShade="3F"/>
                    <w:sz w:val="28"/>
                    <w:szCs w:val="28"/>
                  </w:rPr>
                </w:pPr>
              </w:p>
            </w:tc>
          </w:tr>
          <w:tr w:rsidR="00D047C2" w:rsidTr="00D047C2">
            <w:trPr>
              <w:trHeight w:val="456"/>
            </w:trPr>
            <w:tc>
              <w:tcPr>
                <w:tcW w:w="5746" w:type="dxa"/>
              </w:tcPr>
              <w:p w:rsidR="00D047C2" w:rsidRDefault="00D047C2" w:rsidP="00D047C2">
                <w:pPr>
                  <w:pStyle w:val="NoSpacing"/>
                </w:pPr>
                <w:r>
                  <w:t>Students ID: 1911491</w:t>
                </w:r>
              </w:p>
              <w:p w:rsidR="00D047C2" w:rsidRDefault="00D047C2" w:rsidP="00D047C2">
                <w:pPr>
                  <w:pStyle w:val="NoSpacing"/>
                </w:pPr>
                <w:r>
                  <w:t>Module code: BMHP6006_BIRM</w:t>
                </w:r>
              </w:p>
              <w:p w:rsidR="00D047C2" w:rsidRDefault="00D047C2" w:rsidP="00D047C2">
                <w:pPr>
                  <w:pStyle w:val="NoSpacing"/>
                </w:pPr>
                <w:r>
                  <w:t>Assigment Title: Annotated Bibliography</w:t>
                </w:r>
              </w:p>
              <w:p w:rsidR="00D047C2" w:rsidRDefault="00D047C2" w:rsidP="00D047C2">
                <w:pPr>
                  <w:pStyle w:val="NoSpacing"/>
                </w:pPr>
                <w:r>
                  <w:t>Lecturer:  Chloe Harries</w:t>
                </w:r>
              </w:p>
            </w:tc>
          </w:tr>
          <w:tr w:rsidR="00D047C2">
            <w:sdt>
              <w:sdtPr>
                <w:rPr>
                  <w:b/>
                  <w:bCs/>
                </w:rPr>
                <w:alias w:val="Date"/>
                <w:id w:val="703864210"/>
                <w:placeholder>
                  <w:docPart w:val="7EC31CF804B747D18A62A135E43BBDE0"/>
                </w:placeholder>
                <w:dataBinding w:prefixMappings="xmlns:ns0='http://schemas.microsoft.com/office/2006/coverPageProps'" w:xpath="/ns0:CoverPageProperties[1]/ns0:PublishDate[1]" w:storeItemID="{55AF091B-3C7A-41E3-B477-F2FDAA23CFDA}"/>
                <w:date w:fullDate="2022-07-20T00:00:00Z">
                  <w:dateFormat w:val="M/d/yyyy"/>
                  <w:lid w:val="en-US"/>
                  <w:storeMappedDataAs w:val="dateTime"/>
                  <w:calendar w:val="gregorian"/>
                </w:date>
              </w:sdtPr>
              <w:sdtContent>
                <w:tc>
                  <w:tcPr>
                    <w:tcW w:w="5746" w:type="dxa"/>
                  </w:tcPr>
                  <w:p w:rsidR="00D047C2" w:rsidRDefault="00D047C2">
                    <w:pPr>
                      <w:pStyle w:val="NoSpacing"/>
                      <w:rPr>
                        <w:b/>
                        <w:bCs/>
                      </w:rPr>
                    </w:pPr>
                    <w:r>
                      <w:rPr>
                        <w:b/>
                        <w:bCs/>
                      </w:rPr>
                      <w:t>7/20/2022</w:t>
                    </w:r>
                  </w:p>
                </w:tc>
              </w:sdtContent>
            </w:sdt>
          </w:tr>
          <w:tr w:rsidR="00D047C2">
            <w:tc>
              <w:tcPr>
                <w:tcW w:w="5746" w:type="dxa"/>
              </w:tcPr>
              <w:p w:rsidR="00D047C2" w:rsidRDefault="00D047C2">
                <w:pPr>
                  <w:pStyle w:val="NoSpacing"/>
                  <w:rPr>
                    <w:b/>
                    <w:bCs/>
                  </w:rPr>
                </w:pPr>
              </w:p>
            </w:tc>
          </w:tr>
        </w:tbl>
        <w:p w:rsidR="00D047C2" w:rsidRDefault="00D047C2">
          <w:r>
            <w:rPr>
              <w:noProof/>
              <w:lang w:eastAsia="zh-TW"/>
            </w:rPr>
            <w:pict>
              <v:group id="_x0000_s1050" style="position:absolute;left:0;text-align:left;margin-left:1347.8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51" type="#_x0000_t32" style="position:absolute;left:6519;top:1258;width:4303;height:10040;flip:x" o:connectortype="straight" strokecolor="#a7bfde [1620]"/>
                <v:group id="_x0000_s1052" style="position:absolute;left:5531;top:9226;width:5291;height:5845" coordorigin="5531,9226" coordsize="5291,5845">
                  <v:shape id="_x0000_s1053"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54" style="position:absolute;left:6117;top:10212;width:4526;height:4258;rotation:41366637fd;flip:y" fillcolor="#d3dfee [820]" stroked="f" strokecolor="#a7bfde [1620]"/>
                  <v:oval id="_x0000_s1055" style="position:absolute;left:6217;top:10481;width:3424;height:3221;rotation:41366637fd;flip:y" fillcolor="#7ba0cd [2420]" stroked="f" strokecolor="#a7bfde [1620]"/>
                </v:group>
                <w10:wrap anchorx="page" anchory="page"/>
              </v:group>
            </w:pict>
          </w:r>
          <w:r>
            <w:rPr>
              <w:noProof/>
              <w:lang w:eastAsia="zh-TW"/>
            </w:rPr>
            <w:pict>
              <v:group id="_x0000_s1061" style="position:absolute;left:0;text-align:left;margin-left:0;margin-top:0;width:464.8pt;height:380.95pt;z-index:251662336;mso-position-horizontal:left;mso-position-horizontal-relative:page;mso-position-vertical:top;mso-position-vertical-relative:page" coordorigin="15,15" coordsize="9296,7619" o:allowincell="f">
                <v:shape id="_x0000_s1062" type="#_x0000_t32" style="position:absolute;left:15;top:15;width:7512;height:7386" o:connectortype="straight" strokecolor="#a7bfde [1620]"/>
                <v:group id="_x0000_s1063" style="position:absolute;left:7095;top:5418;width:2216;height:2216" coordorigin="7907,4350" coordsize="2216,2216">
                  <v:oval id="_x0000_s1064" style="position:absolute;left:7907;top:4350;width:2216;height:2216" fillcolor="#a7bfde [1620]" stroked="f"/>
                  <v:oval id="_x0000_s1065" style="position:absolute;left:7961;top:4684;width:1813;height:1813" fillcolor="#d3dfee [820]" stroked="f"/>
                  <v:oval id="_x0000_s1066" style="position:absolute;left:8006;top:5027;width:1375;height:1375" fillcolor="#7ba0cd [2420]" stroked="f"/>
                </v:group>
                <w10:wrap anchorx="page" anchory="page"/>
              </v:group>
            </w:pict>
          </w:r>
          <w:r>
            <w:rPr>
              <w:noProof/>
              <w:lang w:eastAsia="zh-TW"/>
            </w:rPr>
            <w:pict>
              <v:group id="_x0000_s1056" style="position:absolute;left:0;text-align:left;margin-left:2183.7pt;margin-top:0;width:332.7pt;height:227.25pt;z-index:251661312;mso-position-horizontal:right;mso-position-horizontal-relative:margin;mso-position-vertical:top;mso-position-vertical-relative:page" coordorigin="4136,15" coordsize="6654,4545" o:allowincell="f">
                <v:shape id="_x0000_s1057" type="#_x0000_t32" style="position:absolute;left:4136;top:15;width:3058;height:3855" o:connectortype="straight" strokecolor="#a7bfde [1620]"/>
                <v:oval id="_x0000_s1058" style="position:absolute;left:6674;top:444;width:4116;height:4116" fillcolor="#a7bfde [1620]" stroked="f"/>
                <v:oval id="_x0000_s1059" style="position:absolute;left:6773;top:1058;width:3367;height:3367" fillcolor="#d3dfee [820]" stroked="f"/>
                <v:oval id="_x0000_s1060" style="position:absolute;left:6856;top:1709;width:2553;height:2553" fillcolor="#7ba0cd [2420]" stroked="f"/>
                <w10:wrap anchorx="margin" anchory="page"/>
              </v:group>
            </w:pict>
          </w:r>
        </w:p>
        <w:p w:rsidR="00D047C2" w:rsidRDefault="00D047C2">
          <w:pPr>
            <w:spacing w:after="200" w:line="276" w:lineRule="auto"/>
            <w:ind w:firstLine="0"/>
            <w:rPr>
              <w:rFonts w:ascii="Arial" w:hAnsi="Arial" w:cs="Arial"/>
              <w:b/>
              <w:bCs/>
              <w:color w:val="7BA0CD" w:themeColor="accent1" w:themeTint="BF"/>
              <w:spacing w:val="60"/>
              <w:sz w:val="22"/>
            </w:rPr>
          </w:pPr>
          <w:r>
            <w:rPr>
              <w:rFonts w:ascii="Arial" w:hAnsi="Arial" w:cs="Arial"/>
              <w:bCs/>
              <w:color w:val="7BA0CD" w:themeColor="accent1" w:themeTint="BF"/>
              <w:spacing w:val="60"/>
              <w:sz w:val="22"/>
            </w:rPr>
            <w:br w:type="page"/>
          </w:r>
        </w:p>
      </w:sdtContent>
    </w:sdt>
    <w:p w:rsidR="000621C9" w:rsidRPr="000621C9" w:rsidRDefault="000621C9" w:rsidP="00D047C2">
      <w:pPr>
        <w:pStyle w:val="Heading1"/>
        <w:spacing w:line="360" w:lineRule="auto"/>
        <w:jc w:val="center"/>
        <w:rPr>
          <w:rFonts w:ascii="Arial" w:hAnsi="Arial" w:cs="Arial"/>
          <w:color w:val="auto"/>
          <w:sz w:val="22"/>
          <w:szCs w:val="22"/>
          <w:lang w:val="en-GB"/>
        </w:rPr>
      </w:pPr>
      <w:r w:rsidRPr="000621C9">
        <w:rPr>
          <w:rFonts w:ascii="Arial" w:hAnsi="Arial" w:cs="Arial"/>
          <w:color w:val="auto"/>
          <w:sz w:val="22"/>
          <w:szCs w:val="22"/>
          <w:lang w:val="en-GB"/>
        </w:rPr>
        <w:lastRenderedPageBreak/>
        <w:t>Annotated Bibliography</w:t>
      </w:r>
      <w:bookmarkEnd w:id="0"/>
    </w:p>
    <w:p w:rsidR="000621C9" w:rsidRPr="000621C9" w:rsidRDefault="000621C9" w:rsidP="000621C9">
      <w:pPr>
        <w:spacing w:line="360" w:lineRule="auto"/>
        <w:ind w:firstLine="0"/>
        <w:rPr>
          <w:rFonts w:ascii="Arial" w:hAnsi="Arial" w:cs="Arial"/>
          <w:sz w:val="22"/>
          <w:lang w:val="en-GB"/>
        </w:rPr>
      </w:pPr>
    </w:p>
    <w:p w:rsidR="000621C9" w:rsidRPr="000621C9" w:rsidRDefault="000621C9" w:rsidP="000621C9">
      <w:pPr>
        <w:spacing w:line="360" w:lineRule="auto"/>
        <w:ind w:firstLine="0"/>
        <w:rPr>
          <w:rFonts w:ascii="Arial" w:hAnsi="Arial" w:cs="Arial"/>
          <w:b/>
          <w:bCs/>
          <w:sz w:val="22"/>
        </w:rPr>
      </w:pPr>
      <w:r w:rsidRPr="000621C9">
        <w:rPr>
          <w:rFonts w:ascii="Arial" w:hAnsi="Arial" w:cs="Arial"/>
          <w:b/>
          <w:bCs/>
          <w:sz w:val="22"/>
        </w:rPr>
        <w:t>“</w:t>
      </w:r>
      <w:r w:rsidRPr="000621C9">
        <w:rPr>
          <w:rFonts w:ascii="Arial" w:hAnsi="Arial" w:cs="Arial"/>
          <w:b/>
          <w:bCs/>
          <w:sz w:val="22"/>
          <w:lang w:val="en-GB"/>
        </w:rPr>
        <w:t>K</w:t>
      </w:r>
      <w:r w:rsidRPr="000621C9">
        <w:rPr>
          <w:rFonts w:ascii="Arial" w:hAnsi="Arial" w:cs="Arial"/>
          <w:b/>
          <w:bCs/>
          <w:sz w:val="22"/>
        </w:rPr>
        <w:t xml:space="preserve"> Dixon, J., Laing, J. and Valentine, C., 2020. A human rights approach to advocacy for people with dementia: A review of current provision in England and Wales. </w:t>
      </w:r>
      <w:r w:rsidRPr="000621C9">
        <w:rPr>
          <w:rFonts w:ascii="Arial" w:hAnsi="Arial" w:cs="Arial"/>
          <w:b/>
          <w:bCs/>
          <w:i/>
          <w:iCs/>
          <w:sz w:val="22"/>
        </w:rPr>
        <w:t>Dementia</w:t>
      </w:r>
      <w:r w:rsidRPr="000621C9">
        <w:rPr>
          <w:rFonts w:ascii="Arial" w:hAnsi="Arial" w:cs="Arial"/>
          <w:b/>
          <w:bCs/>
          <w:sz w:val="22"/>
        </w:rPr>
        <w:t>, </w:t>
      </w:r>
      <w:r w:rsidRPr="000621C9">
        <w:rPr>
          <w:rFonts w:ascii="Arial" w:hAnsi="Arial" w:cs="Arial"/>
          <w:b/>
          <w:bCs/>
          <w:i/>
          <w:iCs/>
          <w:sz w:val="22"/>
        </w:rPr>
        <w:t>19</w:t>
      </w:r>
      <w:r w:rsidRPr="000621C9">
        <w:rPr>
          <w:rFonts w:ascii="Arial" w:hAnsi="Arial" w:cs="Arial"/>
          <w:b/>
          <w:bCs/>
          <w:sz w:val="22"/>
        </w:rPr>
        <w:t>(2), pp.221-236”</w:t>
      </w:r>
    </w:p>
    <w:p w:rsidR="000621C9" w:rsidRPr="000621C9" w:rsidRDefault="000621C9" w:rsidP="000621C9">
      <w:pPr>
        <w:spacing w:line="360" w:lineRule="auto"/>
        <w:ind w:firstLine="0"/>
        <w:rPr>
          <w:rFonts w:ascii="Arial" w:hAnsi="Arial" w:cs="Arial"/>
          <w:sz w:val="22"/>
        </w:rPr>
      </w:pPr>
      <w:r w:rsidRPr="000621C9">
        <w:rPr>
          <w:rFonts w:ascii="Arial" w:hAnsi="Arial" w:cs="Arial"/>
          <w:sz w:val="22"/>
        </w:rPr>
        <w:t>Article focuses on ways in which advocacy support could be made to be a universal right in order for the Convention on the Rights of Persons with Disabilities (CRPD) aims to be achieved, as well as on educating people about how advocacy can help protect the rights of those who suffer from Alzheimer's and other forms of dementia.</w:t>
      </w:r>
    </w:p>
    <w:p w:rsidR="000621C9" w:rsidRPr="000621C9" w:rsidRDefault="000621C9" w:rsidP="000621C9">
      <w:pPr>
        <w:spacing w:line="360" w:lineRule="auto"/>
        <w:ind w:firstLine="0"/>
        <w:rPr>
          <w:rFonts w:ascii="Arial" w:hAnsi="Arial" w:cs="Arial"/>
          <w:sz w:val="22"/>
        </w:rPr>
      </w:pPr>
    </w:p>
    <w:p w:rsidR="000621C9" w:rsidRPr="000621C9" w:rsidRDefault="000621C9" w:rsidP="000621C9">
      <w:pPr>
        <w:spacing w:line="360" w:lineRule="auto"/>
        <w:ind w:firstLine="0"/>
        <w:rPr>
          <w:rFonts w:ascii="Arial" w:hAnsi="Arial" w:cs="Arial"/>
          <w:b/>
          <w:bCs/>
          <w:sz w:val="22"/>
        </w:rPr>
      </w:pPr>
      <w:r w:rsidRPr="000621C9">
        <w:rPr>
          <w:rFonts w:ascii="Arial" w:hAnsi="Arial" w:cs="Arial"/>
          <w:b/>
          <w:bCs/>
          <w:sz w:val="22"/>
        </w:rPr>
        <w:t>“Singleton, D., Mukadam, N., Livingston, G. and Sommerlad, A., 2017. How people with dementia and carers understand and react to social functioning changes in mild dementia: a UK-based qualitative study. </w:t>
      </w:r>
      <w:r w:rsidRPr="000621C9">
        <w:rPr>
          <w:rFonts w:ascii="Arial" w:hAnsi="Arial" w:cs="Arial"/>
          <w:b/>
          <w:bCs/>
          <w:i/>
          <w:iCs/>
          <w:sz w:val="22"/>
        </w:rPr>
        <w:t>BMJ open</w:t>
      </w:r>
      <w:r w:rsidRPr="000621C9">
        <w:rPr>
          <w:rFonts w:ascii="Arial" w:hAnsi="Arial" w:cs="Arial"/>
          <w:b/>
          <w:bCs/>
          <w:sz w:val="22"/>
        </w:rPr>
        <w:t>, </w:t>
      </w:r>
      <w:r w:rsidRPr="000621C9">
        <w:rPr>
          <w:rFonts w:ascii="Arial" w:hAnsi="Arial" w:cs="Arial"/>
          <w:b/>
          <w:bCs/>
          <w:i/>
          <w:iCs/>
          <w:sz w:val="22"/>
        </w:rPr>
        <w:t>7</w:t>
      </w:r>
      <w:r w:rsidRPr="000621C9">
        <w:rPr>
          <w:rFonts w:ascii="Arial" w:hAnsi="Arial" w:cs="Arial"/>
          <w:b/>
          <w:bCs/>
          <w:sz w:val="22"/>
        </w:rPr>
        <w:t>(7), p.e016740.”</w:t>
      </w:r>
    </w:p>
    <w:p w:rsidR="000621C9" w:rsidRPr="000621C9" w:rsidRDefault="000621C9" w:rsidP="000621C9">
      <w:pPr>
        <w:spacing w:line="360" w:lineRule="auto"/>
        <w:ind w:firstLine="0"/>
        <w:rPr>
          <w:rFonts w:ascii="Arial" w:hAnsi="Arial" w:cs="Arial"/>
          <w:sz w:val="22"/>
        </w:rPr>
      </w:pPr>
      <w:r w:rsidRPr="000621C9">
        <w:rPr>
          <w:rFonts w:ascii="Arial" w:hAnsi="Arial" w:cs="Arial"/>
          <w:sz w:val="22"/>
        </w:rPr>
        <w:t>People with dementia and their family caregivers' attributions of social changes in dementia have been examined in this study, as well as the repercussions of these attributions. While this research acknowledges the direct influence of dementia symptoms on people’s capacity to socially interact, it also found that some people choose to stop participating in social activities after they learned they had dementia. As a result of societal changes being ascribed to variables like choice rather than dementia, there were detrimental effects. Based on analysis I have found that physicians should inquire about patients' social changes while diagnosing dementia. It may be helpful to explain that these symptoms might be caused by dementia and to think about possible solutions.</w:t>
      </w:r>
    </w:p>
    <w:p w:rsidR="000621C9" w:rsidRDefault="000621C9" w:rsidP="000621C9">
      <w:pPr>
        <w:spacing w:line="360" w:lineRule="auto"/>
        <w:ind w:firstLine="0"/>
        <w:rPr>
          <w:rFonts w:ascii="Arial" w:hAnsi="Arial" w:cs="Arial"/>
          <w:sz w:val="22"/>
        </w:rPr>
      </w:pPr>
    </w:p>
    <w:p w:rsidR="000621C9" w:rsidRPr="000621C9" w:rsidRDefault="000621C9" w:rsidP="000621C9">
      <w:pPr>
        <w:spacing w:line="360" w:lineRule="auto"/>
        <w:ind w:firstLine="0"/>
        <w:rPr>
          <w:rFonts w:ascii="Arial" w:hAnsi="Arial" w:cs="Arial"/>
          <w:b/>
          <w:bCs/>
          <w:sz w:val="22"/>
        </w:rPr>
      </w:pPr>
      <w:r w:rsidRPr="000621C9">
        <w:rPr>
          <w:rFonts w:ascii="Arial" w:hAnsi="Arial" w:cs="Arial"/>
          <w:b/>
          <w:bCs/>
          <w:sz w:val="22"/>
        </w:rPr>
        <w:t>“Thomas, C. and Milligan, C., 2018. Dementia, disability rights and disablism: understanding the social position of people living with dementia. </w:t>
      </w:r>
      <w:r w:rsidRPr="000621C9">
        <w:rPr>
          <w:rFonts w:ascii="Arial" w:hAnsi="Arial" w:cs="Arial"/>
          <w:b/>
          <w:bCs/>
          <w:i/>
          <w:iCs/>
          <w:sz w:val="22"/>
        </w:rPr>
        <w:t>Disability &amp; Society</w:t>
      </w:r>
      <w:r w:rsidRPr="000621C9">
        <w:rPr>
          <w:rFonts w:ascii="Arial" w:hAnsi="Arial" w:cs="Arial"/>
          <w:b/>
          <w:bCs/>
          <w:sz w:val="22"/>
        </w:rPr>
        <w:t>, </w:t>
      </w:r>
      <w:r w:rsidRPr="000621C9">
        <w:rPr>
          <w:rFonts w:ascii="Arial" w:hAnsi="Arial" w:cs="Arial"/>
          <w:b/>
          <w:bCs/>
          <w:i/>
          <w:iCs/>
          <w:sz w:val="22"/>
        </w:rPr>
        <w:t>33</w:t>
      </w:r>
      <w:r w:rsidRPr="000621C9">
        <w:rPr>
          <w:rFonts w:ascii="Arial" w:hAnsi="Arial" w:cs="Arial"/>
          <w:b/>
          <w:bCs/>
          <w:sz w:val="22"/>
        </w:rPr>
        <w:t>(1), pp.115-131.”</w:t>
      </w:r>
    </w:p>
    <w:p w:rsidR="000621C9" w:rsidRPr="000621C9" w:rsidRDefault="000621C9" w:rsidP="000621C9">
      <w:pPr>
        <w:ind w:firstLine="0"/>
        <w:rPr>
          <w:rFonts w:ascii="Arial" w:hAnsi="Arial" w:cs="Arial"/>
          <w:sz w:val="22"/>
        </w:rPr>
      </w:pPr>
      <w:r w:rsidRPr="000621C9">
        <w:rPr>
          <w:rFonts w:ascii="Arial" w:hAnsi="Arial" w:cs="Arial"/>
          <w:sz w:val="22"/>
        </w:rPr>
        <w:t>An examination of the recent history and consequences of designating people with dementia as handicapped is the focus of this study. Geopolitical attention is focused on the United Kingdom and the North. Dementia activism and research are fueling a growing trend of equating "dementia" with "disability," which is the focus of the first section. I have learned that dementia patients have been studied using the social model of impairment in the second half. Researchers and theorists in the field of dementia and disability will benefit from the concluding</w:t>
      </w:r>
      <w:r>
        <w:rPr>
          <w:rFonts w:ascii="Arial" w:hAnsi="Arial" w:cs="Arial"/>
          <w:sz w:val="22"/>
        </w:rPr>
        <w:t xml:space="preserve"> </w:t>
      </w:r>
      <w:r w:rsidRPr="000621C9">
        <w:rPr>
          <w:rFonts w:ascii="Arial" w:hAnsi="Arial" w:cs="Arial"/>
          <w:sz w:val="22"/>
        </w:rPr>
        <w:t xml:space="preserve">section, which addresses three key conceptual difficulties. A number of difficulties, such as defining "abuse" in the context of a dementia care facility, need to be addressed. </w:t>
      </w:r>
    </w:p>
    <w:p w:rsidR="000621C9" w:rsidRPr="000621C9" w:rsidRDefault="000621C9" w:rsidP="000621C9">
      <w:pPr>
        <w:spacing w:line="360" w:lineRule="auto"/>
        <w:ind w:firstLine="0"/>
        <w:jc w:val="both"/>
        <w:rPr>
          <w:rFonts w:ascii="Arial" w:hAnsi="Arial" w:cs="Arial"/>
          <w:sz w:val="22"/>
        </w:rPr>
      </w:pPr>
    </w:p>
    <w:p w:rsidR="000621C9" w:rsidRPr="000621C9" w:rsidRDefault="000621C9" w:rsidP="000621C9">
      <w:pPr>
        <w:spacing w:line="360" w:lineRule="auto"/>
        <w:ind w:firstLine="0"/>
        <w:jc w:val="both"/>
        <w:rPr>
          <w:rFonts w:ascii="Arial" w:hAnsi="Arial" w:cs="Arial"/>
          <w:b/>
          <w:bCs/>
          <w:sz w:val="22"/>
        </w:rPr>
      </w:pPr>
      <w:r w:rsidRPr="000621C9">
        <w:rPr>
          <w:rFonts w:ascii="Arial" w:hAnsi="Arial" w:cs="Arial"/>
          <w:b/>
          <w:bCs/>
          <w:sz w:val="22"/>
        </w:rPr>
        <w:t>“Hossain, M.Z. and Khan, H.T., 2020. Barriers to access and ways to improve dementia services for a minority ethnic group in England. </w:t>
      </w:r>
      <w:r w:rsidRPr="000621C9">
        <w:rPr>
          <w:rFonts w:ascii="Arial" w:hAnsi="Arial" w:cs="Arial"/>
          <w:b/>
          <w:bCs/>
          <w:i/>
          <w:iCs/>
          <w:sz w:val="22"/>
        </w:rPr>
        <w:t>Journal of evaluation in clinical practice</w:t>
      </w:r>
      <w:r w:rsidRPr="000621C9">
        <w:rPr>
          <w:rFonts w:ascii="Arial" w:hAnsi="Arial" w:cs="Arial"/>
          <w:b/>
          <w:bCs/>
          <w:sz w:val="22"/>
        </w:rPr>
        <w:t>, </w:t>
      </w:r>
      <w:r w:rsidRPr="000621C9">
        <w:rPr>
          <w:rFonts w:ascii="Arial" w:hAnsi="Arial" w:cs="Arial"/>
          <w:b/>
          <w:bCs/>
          <w:i/>
          <w:iCs/>
          <w:sz w:val="22"/>
        </w:rPr>
        <w:t>26</w:t>
      </w:r>
      <w:r w:rsidRPr="000621C9">
        <w:rPr>
          <w:rFonts w:ascii="Arial" w:hAnsi="Arial" w:cs="Arial"/>
          <w:b/>
          <w:bCs/>
          <w:sz w:val="22"/>
        </w:rPr>
        <w:t>(6), pp.1629-1637.”</w:t>
      </w:r>
    </w:p>
    <w:p w:rsidR="000621C9" w:rsidRPr="000621C9" w:rsidRDefault="000621C9" w:rsidP="000621C9">
      <w:pPr>
        <w:spacing w:line="360" w:lineRule="auto"/>
        <w:ind w:firstLine="0"/>
        <w:jc w:val="both"/>
        <w:rPr>
          <w:rFonts w:ascii="Arial" w:hAnsi="Arial" w:cs="Arial"/>
          <w:sz w:val="22"/>
        </w:rPr>
      </w:pPr>
      <w:r w:rsidRPr="000621C9">
        <w:rPr>
          <w:rFonts w:ascii="Arial" w:hAnsi="Arial" w:cs="Arial"/>
          <w:sz w:val="22"/>
        </w:rPr>
        <w:t>Religious and cultural customs were found to be a barrier for some individuals, while the complexity of the UK health care system was shown to be another. Health care services that are religiously suitable have been judged critical to ensuring that such services are available to people who need them most. Based on research outcomes I have identified that the Bangladeshi community's experiences while attempting to utilise mainstream UK health care systems may be better understood and may suggest beneficial recommendations for future research.</w:t>
      </w:r>
    </w:p>
    <w:p w:rsidR="000621C9" w:rsidRPr="000621C9" w:rsidRDefault="000621C9" w:rsidP="000621C9">
      <w:pPr>
        <w:spacing w:line="360" w:lineRule="auto"/>
        <w:ind w:firstLine="0"/>
        <w:jc w:val="both"/>
        <w:rPr>
          <w:rFonts w:ascii="Arial" w:hAnsi="Arial" w:cs="Arial"/>
          <w:sz w:val="22"/>
        </w:rPr>
      </w:pPr>
    </w:p>
    <w:p w:rsidR="000621C9" w:rsidRPr="000621C9" w:rsidRDefault="000621C9" w:rsidP="000621C9">
      <w:pPr>
        <w:spacing w:line="360" w:lineRule="auto"/>
        <w:ind w:firstLine="0"/>
        <w:jc w:val="both"/>
        <w:rPr>
          <w:rFonts w:ascii="Arial" w:hAnsi="Arial" w:cs="Arial"/>
          <w:b/>
          <w:bCs/>
          <w:sz w:val="22"/>
        </w:rPr>
      </w:pPr>
      <w:r w:rsidRPr="000621C9">
        <w:rPr>
          <w:rFonts w:ascii="Arial" w:hAnsi="Arial" w:cs="Arial"/>
          <w:b/>
          <w:bCs/>
          <w:sz w:val="22"/>
        </w:rPr>
        <w:t>“James, T., Mukadam, N., Sommerlad, A., Pour, H.R., Knowles, M., Azocar, I. and Livingston, G., 2022. Protection against discrimination in national dementia guideline recommendations: A systematic review. </w:t>
      </w:r>
      <w:r w:rsidRPr="000621C9">
        <w:rPr>
          <w:rFonts w:ascii="Arial" w:hAnsi="Arial" w:cs="Arial"/>
          <w:b/>
          <w:bCs/>
          <w:i/>
          <w:iCs/>
          <w:sz w:val="22"/>
        </w:rPr>
        <w:t>PLoS medicine</w:t>
      </w:r>
      <w:r w:rsidRPr="000621C9">
        <w:rPr>
          <w:rFonts w:ascii="Arial" w:hAnsi="Arial" w:cs="Arial"/>
          <w:b/>
          <w:bCs/>
          <w:sz w:val="22"/>
        </w:rPr>
        <w:t>, </w:t>
      </w:r>
      <w:r w:rsidRPr="000621C9">
        <w:rPr>
          <w:rFonts w:ascii="Arial" w:hAnsi="Arial" w:cs="Arial"/>
          <w:b/>
          <w:bCs/>
          <w:i/>
          <w:iCs/>
          <w:sz w:val="22"/>
        </w:rPr>
        <w:t>19</w:t>
      </w:r>
      <w:r w:rsidRPr="000621C9">
        <w:rPr>
          <w:rFonts w:ascii="Arial" w:hAnsi="Arial" w:cs="Arial"/>
          <w:b/>
          <w:bCs/>
          <w:sz w:val="22"/>
        </w:rPr>
        <w:t>(1), p.e1003860.”</w:t>
      </w:r>
    </w:p>
    <w:p w:rsidR="000621C9" w:rsidRPr="000621C9" w:rsidRDefault="000621C9" w:rsidP="000621C9">
      <w:pPr>
        <w:spacing w:line="360" w:lineRule="auto"/>
        <w:ind w:firstLine="0"/>
        <w:jc w:val="both"/>
        <w:rPr>
          <w:rFonts w:ascii="Arial" w:hAnsi="Arial" w:cs="Arial"/>
          <w:sz w:val="22"/>
        </w:rPr>
      </w:pPr>
      <w:r w:rsidRPr="000621C9">
        <w:rPr>
          <w:rFonts w:ascii="Arial" w:hAnsi="Arial" w:cs="Arial"/>
          <w:sz w:val="22"/>
        </w:rPr>
        <w:t>Different countries' rules for dementia differ when it comes to protecting protected features. About one-fifth of the nations in the world have dementia treatment standards, according to recent research. New guidelines should include particular evidence-based suggestions for minority groups, as well as examples of how to apply them, according to the findings of this research. I have learned from the study that it would assist guarantee that persons with protected characteristics get high-quality clinical services while also promoting equality in the care of those suffering from dementia.</w:t>
      </w:r>
    </w:p>
    <w:p w:rsidR="000621C9" w:rsidRPr="000621C9" w:rsidRDefault="000621C9" w:rsidP="000621C9">
      <w:pPr>
        <w:spacing w:line="360" w:lineRule="auto"/>
        <w:ind w:firstLine="0"/>
        <w:jc w:val="both"/>
        <w:rPr>
          <w:rFonts w:ascii="Arial" w:hAnsi="Arial" w:cs="Arial"/>
          <w:sz w:val="22"/>
        </w:rPr>
      </w:pPr>
    </w:p>
    <w:p w:rsidR="000621C9" w:rsidRDefault="000621C9" w:rsidP="000621C9">
      <w:pPr>
        <w:spacing w:line="360" w:lineRule="auto"/>
        <w:ind w:firstLine="0"/>
        <w:jc w:val="both"/>
        <w:rPr>
          <w:rFonts w:ascii="Arial" w:hAnsi="Arial" w:cs="Arial"/>
          <w:b/>
          <w:bCs/>
          <w:sz w:val="22"/>
        </w:rPr>
      </w:pPr>
      <w:r w:rsidRPr="000621C9">
        <w:rPr>
          <w:rFonts w:ascii="Arial" w:hAnsi="Arial" w:cs="Arial"/>
          <w:b/>
          <w:bCs/>
          <w:sz w:val="22"/>
        </w:rPr>
        <w:t>“Gove, D., Nielsen, T.R., Smits, C., Plejert, C., Rauf, M.A., Parveen, S., Jaakson, S., Golan</w:t>
      </w:r>
      <w:r w:rsidRPr="000621C9">
        <w:rPr>
          <w:rFonts w:ascii="Cambria Math" w:hAnsi="Cambria Math" w:cs="Arial"/>
          <w:b/>
          <w:bCs/>
          <w:sz w:val="22"/>
        </w:rPr>
        <w:t>‐</w:t>
      </w:r>
      <w:r w:rsidRPr="000621C9">
        <w:rPr>
          <w:rFonts w:ascii="Arial" w:hAnsi="Arial" w:cs="Arial"/>
          <w:b/>
          <w:bCs/>
          <w:sz w:val="22"/>
        </w:rPr>
        <w:t>Shemesh, D., Lahav, D., Kaur, R. and Herz, M.K., 2021. The challenges of achieving timely diagnosis and culturally appropriate care of people with dementia from minority ethnic groups in Europe. </w:t>
      </w:r>
      <w:r w:rsidRPr="000621C9">
        <w:rPr>
          <w:rFonts w:ascii="Arial" w:hAnsi="Arial" w:cs="Arial"/>
          <w:b/>
          <w:bCs/>
          <w:i/>
          <w:iCs/>
          <w:sz w:val="22"/>
        </w:rPr>
        <w:t>International journal of geriatric psychiatry</w:t>
      </w:r>
      <w:r w:rsidRPr="000621C9">
        <w:rPr>
          <w:rFonts w:ascii="Arial" w:hAnsi="Arial" w:cs="Arial"/>
          <w:b/>
          <w:bCs/>
          <w:sz w:val="22"/>
        </w:rPr>
        <w:t>, </w:t>
      </w:r>
      <w:r w:rsidRPr="000621C9">
        <w:rPr>
          <w:rFonts w:ascii="Arial" w:hAnsi="Arial" w:cs="Arial"/>
          <w:b/>
          <w:bCs/>
          <w:i/>
          <w:iCs/>
          <w:sz w:val="22"/>
        </w:rPr>
        <w:t>36</w:t>
      </w:r>
      <w:r w:rsidRPr="000621C9">
        <w:rPr>
          <w:rFonts w:ascii="Arial" w:hAnsi="Arial" w:cs="Arial"/>
          <w:b/>
          <w:bCs/>
          <w:sz w:val="22"/>
        </w:rPr>
        <w:t>(12), pp.1823-1828.”</w:t>
      </w:r>
    </w:p>
    <w:p w:rsidR="000621C9" w:rsidRPr="00462033" w:rsidRDefault="000621C9" w:rsidP="000621C9">
      <w:pPr>
        <w:spacing w:line="360" w:lineRule="auto"/>
        <w:jc w:val="both"/>
        <w:rPr>
          <w:rFonts w:asciiTheme="minorBidi" w:hAnsiTheme="minorBidi"/>
          <w:sz w:val="22"/>
        </w:rPr>
      </w:pPr>
      <w:r w:rsidRPr="00462033">
        <w:rPr>
          <w:rFonts w:asciiTheme="minorBidi" w:hAnsiTheme="minorBidi"/>
          <w:sz w:val="22"/>
        </w:rPr>
        <w:t>Preventive, diagnostic, therapeutic, and care services should be made available to everyone, regardless of their financial situation. In Europe, there is a wide range of cultures and backgrounds. Elderly people have made the move themselves. Dementia diagnosis and treatment may not always be as successful for those with equal access to resources, according to research. A study, a policy brief, and recommendations were produced by Alzheimer Europe's ethical working group. I have learned that to help healthcare providers quickly and efficiently identify and treat people with dementia from all ethnic backgrounds, the authors/members of the expert working group have written this short review.</w:t>
      </w:r>
    </w:p>
    <w:p w:rsidR="000621C9" w:rsidRPr="00462033" w:rsidRDefault="000621C9" w:rsidP="000621C9">
      <w:pPr>
        <w:spacing w:line="360" w:lineRule="auto"/>
        <w:ind w:firstLine="0"/>
        <w:jc w:val="both"/>
        <w:rPr>
          <w:rFonts w:asciiTheme="minorBidi" w:hAnsiTheme="minorBidi"/>
          <w:sz w:val="22"/>
        </w:rPr>
      </w:pPr>
    </w:p>
    <w:p w:rsidR="000621C9" w:rsidRPr="00462033" w:rsidRDefault="000621C9" w:rsidP="000621C9">
      <w:pPr>
        <w:spacing w:line="360" w:lineRule="auto"/>
        <w:ind w:firstLine="0"/>
        <w:jc w:val="both"/>
        <w:rPr>
          <w:rFonts w:asciiTheme="minorBidi" w:hAnsiTheme="minorBidi"/>
          <w:b/>
          <w:bCs/>
          <w:sz w:val="22"/>
        </w:rPr>
      </w:pPr>
      <w:r w:rsidRPr="00462033">
        <w:rPr>
          <w:rFonts w:asciiTheme="minorBidi" w:hAnsiTheme="minorBidi"/>
          <w:b/>
          <w:bCs/>
          <w:sz w:val="22"/>
        </w:rPr>
        <w:lastRenderedPageBreak/>
        <w:t>“Pennington, C., Davey, K., Ter Meulen, R., Coulthard, E. and Kehoe, P.G., 2018. Tools for testing decision-making capacity in dementia. </w:t>
      </w:r>
      <w:r w:rsidRPr="00462033">
        <w:rPr>
          <w:rFonts w:asciiTheme="minorBidi" w:hAnsiTheme="minorBidi"/>
          <w:b/>
          <w:bCs/>
          <w:i/>
          <w:iCs/>
          <w:sz w:val="22"/>
        </w:rPr>
        <w:t>Age and ageing</w:t>
      </w:r>
      <w:r w:rsidRPr="00462033">
        <w:rPr>
          <w:rFonts w:asciiTheme="minorBidi" w:hAnsiTheme="minorBidi"/>
          <w:b/>
          <w:bCs/>
          <w:sz w:val="22"/>
        </w:rPr>
        <w:t>, </w:t>
      </w:r>
      <w:r w:rsidRPr="00462033">
        <w:rPr>
          <w:rFonts w:asciiTheme="minorBidi" w:hAnsiTheme="minorBidi"/>
          <w:b/>
          <w:bCs/>
          <w:i/>
          <w:iCs/>
          <w:sz w:val="22"/>
        </w:rPr>
        <w:t>47</w:t>
      </w:r>
      <w:r w:rsidRPr="00462033">
        <w:rPr>
          <w:rFonts w:asciiTheme="minorBidi" w:hAnsiTheme="minorBidi"/>
          <w:b/>
          <w:bCs/>
          <w:sz w:val="22"/>
        </w:rPr>
        <w:t>(6), pp.778-784.”</w:t>
      </w:r>
    </w:p>
    <w:p w:rsidR="000621C9" w:rsidRPr="00462033" w:rsidRDefault="000621C9" w:rsidP="000621C9">
      <w:pPr>
        <w:spacing w:line="360" w:lineRule="auto"/>
        <w:jc w:val="both"/>
        <w:rPr>
          <w:rFonts w:asciiTheme="minorBidi" w:hAnsiTheme="minorBidi"/>
          <w:sz w:val="22"/>
        </w:rPr>
      </w:pPr>
    </w:p>
    <w:p w:rsidR="000621C9" w:rsidRPr="00462033" w:rsidRDefault="000621C9" w:rsidP="000621C9">
      <w:pPr>
        <w:spacing w:line="360" w:lineRule="auto"/>
        <w:jc w:val="both"/>
        <w:rPr>
          <w:rFonts w:asciiTheme="minorBidi" w:hAnsiTheme="minorBidi"/>
          <w:sz w:val="22"/>
        </w:rPr>
      </w:pPr>
      <w:r w:rsidRPr="00462033">
        <w:rPr>
          <w:rFonts w:asciiTheme="minorBidi" w:hAnsiTheme="minorBidi"/>
          <w:sz w:val="22"/>
        </w:rPr>
        <w:t>Alterations in one's ability to make sound judgments are typical in people with dementia. Evaluating someone's decision-making capacity may be difficult for both physicians and researchers. Nine tools were found to meet the legal standards in the United Kingdom. Design and structure varied, as did the reliability and validity data that could be accessed for each one. Certain decision-making scenarios need the development of instrumentation adapted to specific patient populations.</w:t>
      </w:r>
    </w:p>
    <w:p w:rsidR="000621C9" w:rsidRPr="00462033" w:rsidRDefault="000621C9" w:rsidP="000621C9">
      <w:pPr>
        <w:spacing w:line="360" w:lineRule="auto"/>
        <w:ind w:firstLine="0"/>
        <w:jc w:val="both"/>
        <w:rPr>
          <w:rFonts w:asciiTheme="minorBidi" w:hAnsiTheme="minorBidi"/>
          <w:sz w:val="22"/>
        </w:rPr>
      </w:pPr>
    </w:p>
    <w:p w:rsidR="000621C9" w:rsidRPr="00462033" w:rsidRDefault="000621C9" w:rsidP="000621C9">
      <w:pPr>
        <w:spacing w:line="360" w:lineRule="auto"/>
        <w:ind w:firstLine="0"/>
        <w:jc w:val="both"/>
        <w:rPr>
          <w:rFonts w:asciiTheme="minorBidi" w:hAnsiTheme="minorBidi"/>
          <w:b/>
          <w:bCs/>
          <w:sz w:val="22"/>
        </w:rPr>
      </w:pPr>
      <w:r w:rsidRPr="00462033">
        <w:rPr>
          <w:rFonts w:asciiTheme="minorBidi" w:hAnsiTheme="minorBidi"/>
          <w:b/>
          <w:bCs/>
          <w:sz w:val="22"/>
        </w:rPr>
        <w:t>“Harrison Dening, K., Sampson, E.L. and De Vries, K., 2019. Advance care planning in dementia: recommendations for healthcare professionals. </w:t>
      </w:r>
      <w:r w:rsidRPr="00462033">
        <w:rPr>
          <w:rFonts w:asciiTheme="minorBidi" w:hAnsiTheme="minorBidi"/>
          <w:b/>
          <w:bCs/>
          <w:i/>
          <w:iCs/>
          <w:sz w:val="22"/>
        </w:rPr>
        <w:t>Palliative Care: Research and Treatment</w:t>
      </w:r>
      <w:r w:rsidRPr="00462033">
        <w:rPr>
          <w:rFonts w:asciiTheme="minorBidi" w:hAnsiTheme="minorBidi"/>
          <w:b/>
          <w:bCs/>
          <w:sz w:val="22"/>
        </w:rPr>
        <w:t>, </w:t>
      </w:r>
      <w:r w:rsidRPr="00462033">
        <w:rPr>
          <w:rFonts w:asciiTheme="minorBidi" w:hAnsiTheme="minorBidi"/>
          <w:b/>
          <w:bCs/>
          <w:i/>
          <w:iCs/>
          <w:sz w:val="22"/>
        </w:rPr>
        <w:t>12</w:t>
      </w:r>
      <w:r w:rsidRPr="00462033">
        <w:rPr>
          <w:rFonts w:asciiTheme="minorBidi" w:hAnsiTheme="minorBidi"/>
          <w:b/>
          <w:bCs/>
          <w:sz w:val="22"/>
        </w:rPr>
        <w:t>, p.1178224219826579.”</w:t>
      </w:r>
    </w:p>
    <w:p w:rsidR="000621C9" w:rsidRPr="00462033" w:rsidRDefault="000621C9" w:rsidP="000621C9">
      <w:pPr>
        <w:spacing w:line="360" w:lineRule="auto"/>
        <w:jc w:val="both"/>
        <w:rPr>
          <w:rFonts w:asciiTheme="minorBidi" w:hAnsiTheme="minorBidi"/>
          <w:sz w:val="22"/>
        </w:rPr>
      </w:pPr>
    </w:p>
    <w:p w:rsidR="000621C9" w:rsidRPr="00462033" w:rsidRDefault="000621C9" w:rsidP="000621C9">
      <w:pPr>
        <w:spacing w:line="360" w:lineRule="auto"/>
        <w:jc w:val="both"/>
        <w:rPr>
          <w:rFonts w:asciiTheme="minorBidi" w:hAnsiTheme="minorBidi"/>
          <w:sz w:val="22"/>
        </w:rPr>
      </w:pPr>
      <w:r w:rsidRPr="00462033">
        <w:rPr>
          <w:rFonts w:asciiTheme="minorBidi" w:hAnsiTheme="minorBidi"/>
          <w:sz w:val="22"/>
        </w:rPr>
        <w:t>The process of advance care planning in dementia is far from uncomplicated; as dementia advances, the capacity to anticipate future thoughts and actions becomes hampered, therefore impairing decision-making skills. Family caregivers find themselves increasingly in a situation where they need to inform, or directly make, choices on behalf of the person with dementia. I have  explores the context and necessity of a palliative care approach and suggests rationales and techniques for healthcare providers to enable families affected by dementia to better prepare for their future care.</w:t>
      </w:r>
    </w:p>
    <w:p w:rsidR="000621C9" w:rsidRPr="00462033" w:rsidRDefault="000621C9" w:rsidP="000621C9">
      <w:pPr>
        <w:spacing w:line="360" w:lineRule="auto"/>
        <w:ind w:firstLine="0"/>
        <w:jc w:val="both"/>
        <w:rPr>
          <w:rFonts w:asciiTheme="minorBidi" w:hAnsiTheme="minorBidi"/>
          <w:sz w:val="22"/>
        </w:rPr>
      </w:pPr>
    </w:p>
    <w:p w:rsidR="000621C9" w:rsidRPr="00462033" w:rsidRDefault="000621C9" w:rsidP="000621C9">
      <w:pPr>
        <w:spacing w:line="360" w:lineRule="auto"/>
        <w:ind w:firstLine="0"/>
        <w:jc w:val="both"/>
        <w:rPr>
          <w:rFonts w:asciiTheme="minorBidi" w:hAnsiTheme="minorBidi"/>
          <w:b/>
          <w:bCs/>
          <w:sz w:val="22"/>
        </w:rPr>
      </w:pPr>
      <w:r w:rsidRPr="00462033">
        <w:rPr>
          <w:rFonts w:asciiTheme="minorBidi" w:hAnsiTheme="minorBidi"/>
          <w:b/>
          <w:bCs/>
          <w:sz w:val="22"/>
        </w:rPr>
        <w:t>“Riachi, R., 2018. Person-centred communication in dementia care: a qualitative study of the use of the SPECAL® method by care workers in the UK. </w:t>
      </w:r>
      <w:r w:rsidRPr="00462033">
        <w:rPr>
          <w:rFonts w:asciiTheme="minorBidi" w:hAnsiTheme="minorBidi"/>
          <w:b/>
          <w:bCs/>
          <w:i/>
          <w:iCs/>
          <w:sz w:val="22"/>
        </w:rPr>
        <w:t>Journal of Social Work Practice</w:t>
      </w:r>
      <w:r w:rsidRPr="00462033">
        <w:rPr>
          <w:rFonts w:asciiTheme="minorBidi" w:hAnsiTheme="minorBidi"/>
          <w:b/>
          <w:bCs/>
          <w:sz w:val="22"/>
        </w:rPr>
        <w:t>, </w:t>
      </w:r>
      <w:r w:rsidRPr="00462033">
        <w:rPr>
          <w:rFonts w:asciiTheme="minorBidi" w:hAnsiTheme="minorBidi"/>
          <w:b/>
          <w:bCs/>
          <w:i/>
          <w:iCs/>
          <w:sz w:val="22"/>
        </w:rPr>
        <w:t>32</w:t>
      </w:r>
      <w:r w:rsidRPr="00462033">
        <w:rPr>
          <w:rFonts w:asciiTheme="minorBidi" w:hAnsiTheme="minorBidi"/>
          <w:b/>
          <w:bCs/>
          <w:sz w:val="22"/>
        </w:rPr>
        <w:t>(3), pp.303-321.”</w:t>
      </w:r>
    </w:p>
    <w:p w:rsidR="000621C9" w:rsidRDefault="000621C9" w:rsidP="000621C9">
      <w:pPr>
        <w:spacing w:line="360" w:lineRule="auto"/>
        <w:ind w:firstLine="0"/>
        <w:jc w:val="both"/>
        <w:rPr>
          <w:rFonts w:ascii="Arial" w:hAnsi="Arial" w:cs="Arial"/>
          <w:sz w:val="22"/>
        </w:rPr>
      </w:pPr>
      <w:r w:rsidRPr="000621C9">
        <w:rPr>
          <w:rFonts w:ascii="Arial" w:hAnsi="Arial" w:cs="Arial"/>
          <w:sz w:val="22"/>
        </w:rPr>
        <w:t>A consensus has emerged on the best ways to communicate with patients with dementia. This qualitative research examined the communication practices of dementia care professionals in the United Kingdom (UK). Semi-structured interviews with SPECAL® carers were conducted. The data were analysed using grounded theory. As a result of data themes, a hypothesis was formed. The study emphasis that compassionates, and comforting, staff increased the well-being of their clients. The study has made learn Customers who are more relaxed and content. Caring connections, worker and client well-being and client personhood may be enhanced by the employment of SPECAL® communication approaches, reinforced by supervision.</w:t>
      </w:r>
    </w:p>
    <w:p w:rsidR="000621C9" w:rsidRDefault="000621C9" w:rsidP="000621C9">
      <w:pPr>
        <w:spacing w:line="360" w:lineRule="auto"/>
        <w:ind w:firstLine="0"/>
        <w:rPr>
          <w:rFonts w:ascii="Arial" w:hAnsi="Arial" w:cs="Arial"/>
          <w:b/>
          <w:bCs/>
          <w:sz w:val="22"/>
        </w:rPr>
      </w:pPr>
    </w:p>
    <w:p w:rsidR="000621C9" w:rsidRPr="000621C9" w:rsidRDefault="000621C9" w:rsidP="000621C9">
      <w:pPr>
        <w:spacing w:line="360" w:lineRule="auto"/>
        <w:ind w:firstLine="0"/>
        <w:rPr>
          <w:rFonts w:ascii="Arial" w:hAnsi="Arial" w:cs="Arial"/>
          <w:b/>
          <w:bCs/>
          <w:sz w:val="22"/>
        </w:rPr>
      </w:pPr>
      <w:r w:rsidRPr="000621C9">
        <w:rPr>
          <w:rFonts w:ascii="Arial" w:hAnsi="Arial" w:cs="Arial"/>
          <w:b/>
          <w:bCs/>
          <w:sz w:val="22"/>
        </w:rPr>
        <w:t>“Shakespeare, T., Zeilig, H. and Mittler, P., 2019. Rights in mind: Thinking differently about dementia and disability. </w:t>
      </w:r>
      <w:r w:rsidRPr="000621C9">
        <w:rPr>
          <w:rFonts w:ascii="Arial" w:hAnsi="Arial" w:cs="Arial"/>
          <w:b/>
          <w:bCs/>
          <w:i/>
          <w:iCs/>
          <w:sz w:val="22"/>
        </w:rPr>
        <w:t>Dementia</w:t>
      </w:r>
      <w:r w:rsidRPr="000621C9">
        <w:rPr>
          <w:rFonts w:ascii="Arial" w:hAnsi="Arial" w:cs="Arial"/>
          <w:b/>
          <w:bCs/>
          <w:sz w:val="22"/>
        </w:rPr>
        <w:t>, </w:t>
      </w:r>
      <w:r w:rsidRPr="000621C9">
        <w:rPr>
          <w:rFonts w:ascii="Arial" w:hAnsi="Arial" w:cs="Arial"/>
          <w:b/>
          <w:bCs/>
          <w:i/>
          <w:iCs/>
          <w:sz w:val="22"/>
        </w:rPr>
        <w:t>18</w:t>
      </w:r>
      <w:r w:rsidRPr="000621C9">
        <w:rPr>
          <w:rFonts w:ascii="Arial" w:hAnsi="Arial" w:cs="Arial"/>
          <w:b/>
          <w:bCs/>
          <w:sz w:val="22"/>
        </w:rPr>
        <w:t>(3), pp.1075-1088.”</w:t>
      </w:r>
    </w:p>
    <w:p w:rsidR="000621C9" w:rsidRPr="000621C9" w:rsidRDefault="000621C9" w:rsidP="000621C9">
      <w:pPr>
        <w:spacing w:line="360" w:lineRule="auto"/>
        <w:ind w:firstLine="0"/>
        <w:rPr>
          <w:rFonts w:ascii="Arial" w:hAnsi="Arial" w:cs="Arial"/>
          <w:sz w:val="22"/>
        </w:rPr>
      </w:pPr>
      <w:r w:rsidRPr="000621C9">
        <w:rPr>
          <w:rFonts w:ascii="Arial" w:hAnsi="Arial" w:cs="Arial"/>
          <w:sz w:val="22"/>
        </w:rPr>
        <w:lastRenderedPageBreak/>
        <w:t>In order to better understand dementia, this study proposes a relational model of disability. It analyses whether or not dementia should be regarded as a handicap and whether or not people with dementia believe they are impaired. People with dementia's political participation was examined in the research. Study analysed at whether or not the use of certain languages raises one's chance of developing dementia. I have understood that environmental factors in dementia were examined in one research. A human rights approach to dementia is built on collaborative partnerships between individuals with dementia and those with disabilities, according to a relational model of dementia.</w:t>
      </w:r>
    </w:p>
    <w:p w:rsidR="000621C9" w:rsidRPr="000621C9" w:rsidRDefault="000621C9" w:rsidP="000621C9">
      <w:pPr>
        <w:spacing w:line="360" w:lineRule="auto"/>
        <w:ind w:firstLine="0"/>
        <w:rPr>
          <w:rFonts w:ascii="Arial" w:hAnsi="Arial" w:cs="Arial"/>
          <w:sz w:val="22"/>
        </w:rPr>
      </w:pPr>
    </w:p>
    <w:p w:rsidR="000621C9" w:rsidRPr="000621C9" w:rsidRDefault="000621C9" w:rsidP="000621C9">
      <w:pPr>
        <w:spacing w:line="360" w:lineRule="auto"/>
        <w:ind w:firstLine="0"/>
        <w:rPr>
          <w:rFonts w:ascii="Arial" w:hAnsi="Arial" w:cs="Arial"/>
          <w:b/>
          <w:bCs/>
          <w:sz w:val="22"/>
        </w:rPr>
      </w:pPr>
      <w:r w:rsidRPr="000621C9">
        <w:rPr>
          <w:rFonts w:ascii="Arial" w:hAnsi="Arial" w:cs="Arial"/>
          <w:b/>
          <w:bCs/>
          <w:sz w:val="22"/>
        </w:rPr>
        <w:t>“Egdell, V., Stavert, J. and McGregor, R., 2018. The legal implications of dementia in the workplace: establishing a cross-disciplinary research agenda. </w:t>
      </w:r>
      <w:r w:rsidRPr="000621C9">
        <w:rPr>
          <w:rFonts w:ascii="Arial" w:hAnsi="Arial" w:cs="Arial"/>
          <w:b/>
          <w:bCs/>
          <w:i/>
          <w:iCs/>
          <w:sz w:val="22"/>
        </w:rPr>
        <w:t>Ageing &amp; Society</w:t>
      </w:r>
      <w:r w:rsidRPr="000621C9">
        <w:rPr>
          <w:rFonts w:ascii="Arial" w:hAnsi="Arial" w:cs="Arial"/>
          <w:b/>
          <w:bCs/>
          <w:sz w:val="22"/>
        </w:rPr>
        <w:t>, </w:t>
      </w:r>
      <w:r w:rsidRPr="000621C9">
        <w:rPr>
          <w:rFonts w:ascii="Arial" w:hAnsi="Arial" w:cs="Arial"/>
          <w:b/>
          <w:bCs/>
          <w:i/>
          <w:iCs/>
          <w:sz w:val="22"/>
        </w:rPr>
        <w:t>38</w:t>
      </w:r>
      <w:r w:rsidRPr="000621C9">
        <w:rPr>
          <w:rFonts w:ascii="Arial" w:hAnsi="Arial" w:cs="Arial"/>
          <w:b/>
          <w:bCs/>
          <w:sz w:val="22"/>
        </w:rPr>
        <w:t>(11), pp.2181-2196.”</w:t>
      </w:r>
    </w:p>
    <w:p w:rsidR="000621C9" w:rsidRPr="00462033" w:rsidRDefault="000621C9" w:rsidP="000621C9">
      <w:pPr>
        <w:spacing w:line="360" w:lineRule="auto"/>
        <w:jc w:val="both"/>
        <w:rPr>
          <w:rFonts w:asciiTheme="minorBidi" w:hAnsiTheme="minorBidi"/>
          <w:sz w:val="22"/>
        </w:rPr>
      </w:pPr>
      <w:r w:rsidRPr="000621C9">
        <w:rPr>
          <w:rFonts w:ascii="Arial" w:hAnsi="Arial" w:cs="Arial"/>
          <w:sz w:val="22"/>
        </w:rPr>
        <w:t>Dementia affects 800,000 people in the United Kingdom. 40,000 people are under the age of 65. Working dementia is a regular occurrence. Dementia's influence may increase as people's working lives lengthen. There is no study on dementia in the workplace. According to research, dementia professionals are underfunded. Based on this research I have learned that dementia is considered a disability under the 2010 Equality Act. As a result, the Act may provide employees with the authority to seek reasonable changes from their employers. Improvements might be aided by international human rights legislation. The legal context must be addressed</w:t>
      </w:r>
      <w:r>
        <w:rPr>
          <w:rFonts w:ascii="Arial" w:hAnsi="Arial" w:cs="Arial"/>
          <w:sz w:val="22"/>
        </w:rPr>
        <w:t xml:space="preserve"> </w:t>
      </w:r>
      <w:r w:rsidRPr="00462033">
        <w:rPr>
          <w:rFonts w:asciiTheme="minorBidi" w:hAnsiTheme="minorBidi"/>
          <w:sz w:val="22"/>
        </w:rPr>
        <w:t xml:space="preserve">while investigating dementia at work, according to the article. This study examines dementia literature and legislation in order to develop a multidisciplinary research strategy. </w:t>
      </w:r>
    </w:p>
    <w:p w:rsidR="000621C9" w:rsidRPr="00462033" w:rsidRDefault="000621C9" w:rsidP="000621C9">
      <w:pPr>
        <w:spacing w:line="360" w:lineRule="auto"/>
        <w:ind w:firstLine="0"/>
        <w:jc w:val="both"/>
        <w:rPr>
          <w:rFonts w:asciiTheme="minorBidi" w:hAnsiTheme="minorBidi"/>
          <w:sz w:val="22"/>
        </w:rPr>
      </w:pPr>
    </w:p>
    <w:p w:rsidR="000621C9" w:rsidRPr="00462033" w:rsidRDefault="000621C9" w:rsidP="000621C9">
      <w:pPr>
        <w:spacing w:line="360" w:lineRule="auto"/>
        <w:ind w:firstLine="0"/>
        <w:jc w:val="both"/>
        <w:rPr>
          <w:rFonts w:asciiTheme="minorBidi" w:hAnsiTheme="minorBidi"/>
          <w:b/>
          <w:bCs/>
          <w:sz w:val="22"/>
        </w:rPr>
      </w:pPr>
      <w:r w:rsidRPr="00462033">
        <w:rPr>
          <w:rFonts w:asciiTheme="minorBidi" w:hAnsiTheme="minorBidi"/>
          <w:b/>
          <w:bCs/>
          <w:sz w:val="22"/>
        </w:rPr>
        <w:t>“Newbigging, K., Ridley, J. and Sadd, J., 2020. Realising the right to equal recognition for disabled people: commissioning statutory advocacy in England. </w:t>
      </w:r>
      <w:r w:rsidRPr="00462033">
        <w:rPr>
          <w:rFonts w:asciiTheme="minorBidi" w:hAnsiTheme="minorBidi"/>
          <w:b/>
          <w:bCs/>
          <w:i/>
          <w:iCs/>
          <w:sz w:val="22"/>
        </w:rPr>
        <w:t>Disability &amp; Society</w:t>
      </w:r>
      <w:r w:rsidRPr="00462033">
        <w:rPr>
          <w:rFonts w:asciiTheme="minorBidi" w:hAnsiTheme="minorBidi"/>
          <w:b/>
          <w:bCs/>
          <w:sz w:val="22"/>
        </w:rPr>
        <w:t>, </w:t>
      </w:r>
      <w:r w:rsidRPr="00462033">
        <w:rPr>
          <w:rFonts w:asciiTheme="minorBidi" w:hAnsiTheme="minorBidi"/>
          <w:b/>
          <w:bCs/>
          <w:i/>
          <w:iCs/>
          <w:sz w:val="22"/>
        </w:rPr>
        <w:t>36</w:t>
      </w:r>
      <w:r w:rsidRPr="00462033">
        <w:rPr>
          <w:rFonts w:asciiTheme="minorBidi" w:hAnsiTheme="minorBidi"/>
          <w:b/>
          <w:bCs/>
          <w:sz w:val="22"/>
        </w:rPr>
        <w:t>(3), pp.420-442.”</w:t>
      </w:r>
    </w:p>
    <w:p w:rsidR="000621C9" w:rsidRDefault="000621C9" w:rsidP="000621C9">
      <w:pPr>
        <w:spacing w:line="360" w:lineRule="auto"/>
        <w:ind w:firstLine="0"/>
        <w:rPr>
          <w:rFonts w:asciiTheme="minorBidi" w:hAnsiTheme="minorBidi"/>
          <w:sz w:val="22"/>
        </w:rPr>
      </w:pPr>
      <w:r w:rsidRPr="00462033">
        <w:rPr>
          <w:rFonts w:asciiTheme="minorBidi" w:hAnsiTheme="minorBidi"/>
          <w:sz w:val="22"/>
        </w:rPr>
        <w:t>UNCRPD Article 12 protects equality and nondiscrimination. Countries must support this right. This transitions from 'substituted' to 'supported' decision-making. The Care Act 2014 in England gave social care recipients the right to independent advocacy. Using local authority commissioners and advocacy providers to examine the early execution of this legal obligation. Legitimizing advocacy was praised. Our findings raise questions about its commissioning and implementation as a paradigm for supported decision-making and if it guarantees disabled person's fair respect.</w:t>
      </w:r>
    </w:p>
    <w:p w:rsidR="007B63B4" w:rsidRPr="00462033" w:rsidRDefault="007B63B4" w:rsidP="000621C9">
      <w:pPr>
        <w:spacing w:line="360" w:lineRule="auto"/>
        <w:ind w:firstLine="0"/>
        <w:rPr>
          <w:rFonts w:asciiTheme="minorBidi" w:hAnsiTheme="minorBidi"/>
          <w:sz w:val="22"/>
        </w:rPr>
      </w:pPr>
    </w:p>
    <w:p w:rsidR="007B63B4" w:rsidRDefault="007B63B4" w:rsidP="007B63B4">
      <w:pPr>
        <w:pStyle w:val="Heading1"/>
        <w:spacing w:line="360" w:lineRule="auto"/>
        <w:jc w:val="both"/>
        <w:rPr>
          <w:rFonts w:asciiTheme="minorBidi" w:hAnsiTheme="minorBidi" w:cstheme="minorBidi"/>
          <w:color w:val="auto"/>
          <w:sz w:val="22"/>
          <w:szCs w:val="22"/>
          <w:lang w:val="en-GB"/>
        </w:rPr>
      </w:pPr>
      <w:bookmarkStart w:id="1" w:name="_Toc106764649"/>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Default="007B63B4" w:rsidP="007B63B4">
      <w:pPr>
        <w:pStyle w:val="Heading1"/>
        <w:spacing w:line="360" w:lineRule="auto"/>
        <w:jc w:val="both"/>
        <w:rPr>
          <w:rFonts w:asciiTheme="minorBidi" w:hAnsiTheme="minorBidi" w:cstheme="minorBidi"/>
          <w:color w:val="auto"/>
          <w:sz w:val="22"/>
          <w:szCs w:val="22"/>
          <w:lang w:val="en-GB"/>
        </w:rPr>
      </w:pPr>
    </w:p>
    <w:p w:rsidR="007B63B4" w:rsidRPr="007B63B4" w:rsidRDefault="007B63B4" w:rsidP="00DC45A2">
      <w:pPr>
        <w:pStyle w:val="Heading1"/>
        <w:spacing w:line="360" w:lineRule="auto"/>
        <w:jc w:val="center"/>
        <w:rPr>
          <w:rFonts w:ascii="Arial" w:hAnsi="Arial" w:cs="Arial"/>
          <w:color w:val="auto"/>
          <w:sz w:val="22"/>
          <w:szCs w:val="22"/>
          <w:lang w:val="en-GB"/>
        </w:rPr>
      </w:pPr>
      <w:r w:rsidRPr="007B63B4">
        <w:rPr>
          <w:rFonts w:ascii="Arial" w:hAnsi="Arial" w:cs="Arial"/>
          <w:color w:val="auto"/>
          <w:sz w:val="22"/>
          <w:szCs w:val="22"/>
          <w:lang w:val="en-GB"/>
        </w:rPr>
        <w:lastRenderedPageBreak/>
        <w:t>References</w:t>
      </w:r>
      <w:bookmarkEnd w:id="1"/>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Adriaenssens, J., Benahmed, N. and Ricour, C., 2019. Improving mental healthcare for the elderly in Belgium. </w:t>
      </w:r>
      <w:r w:rsidRPr="007B63B4">
        <w:rPr>
          <w:rFonts w:ascii="Arial" w:hAnsi="Arial" w:cs="Arial"/>
          <w:i/>
          <w:iCs/>
          <w:sz w:val="22"/>
        </w:rPr>
        <w:t>The International Journal of Health Planning and Management</w:t>
      </w:r>
      <w:r w:rsidRPr="007B63B4">
        <w:rPr>
          <w:rFonts w:ascii="Arial" w:hAnsi="Arial" w:cs="Arial"/>
          <w:sz w:val="22"/>
        </w:rPr>
        <w:t>, </w:t>
      </w:r>
      <w:r w:rsidRPr="007B63B4">
        <w:rPr>
          <w:rFonts w:ascii="Arial" w:hAnsi="Arial" w:cs="Arial"/>
          <w:i/>
          <w:iCs/>
          <w:sz w:val="22"/>
        </w:rPr>
        <w:t>34</w:t>
      </w:r>
      <w:r w:rsidRPr="007B63B4">
        <w:rPr>
          <w:rFonts w:ascii="Arial" w:hAnsi="Arial" w:cs="Arial"/>
          <w:sz w:val="22"/>
        </w:rPr>
        <w:t>(4), pp.e1948-e1960.</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‌Afkhami, A.A., Fatollahi, J.J., Peace, M.A. and Yadgar, R</w:t>
      </w:r>
      <w:r>
        <w:rPr>
          <w:rFonts w:ascii="Arial" w:hAnsi="Arial" w:cs="Arial"/>
          <w:sz w:val="22"/>
        </w:rPr>
        <w:t xml:space="preserve">.J., 2022. Spinning lobotomy: A </w:t>
      </w:r>
      <w:r w:rsidRPr="007B63B4">
        <w:rPr>
          <w:rFonts w:ascii="Arial" w:hAnsi="Arial" w:cs="Arial"/>
          <w:sz w:val="22"/>
        </w:rPr>
        <w:t>conventional content analysis of articles by the pioneers of the procedure in the United States. </w:t>
      </w:r>
      <w:r w:rsidRPr="007B63B4">
        <w:rPr>
          <w:rFonts w:ascii="Arial" w:hAnsi="Arial" w:cs="Arial"/>
          <w:i/>
          <w:iCs/>
          <w:sz w:val="22"/>
        </w:rPr>
        <w:t>SSM-Mental Health</w:t>
      </w:r>
      <w:r w:rsidRPr="007B63B4">
        <w:rPr>
          <w:rFonts w:ascii="Arial" w:hAnsi="Arial" w:cs="Arial"/>
          <w:sz w:val="22"/>
        </w:rPr>
        <w:t>, p.100123.</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ageuk.org.uk., n.d. [online] Available at: https://www.ageuk.org.uk/globalassets/age-scotland/documents/ia---factsheets/dementia/dem-10-dementia-and-the-workplace-apr-2021.pdf.</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‌Alzheimer’s Society, 2022. </w:t>
      </w:r>
      <w:r w:rsidRPr="007B63B4">
        <w:rPr>
          <w:rFonts w:ascii="Arial" w:hAnsi="Arial" w:cs="Arial"/>
          <w:i/>
          <w:iCs/>
          <w:sz w:val="22"/>
        </w:rPr>
        <w:t>Dementia and the Mental Capacity Act 2005</w:t>
      </w:r>
      <w:r w:rsidRPr="007B63B4">
        <w:rPr>
          <w:rFonts w:ascii="Arial" w:hAnsi="Arial" w:cs="Arial"/>
          <w:sz w:val="22"/>
        </w:rPr>
        <w:t>. [online] Available at: https://www.alzheimers.org.uk/get-support/legal-financial/dementia-mental-capacity-act#:~:text=People%20with%20dementia%20may%20lose,capacity%20to%20make%20a%20decision.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‌Anon, 2022. </w:t>
      </w:r>
      <w:r w:rsidRPr="007B63B4">
        <w:rPr>
          <w:rFonts w:ascii="Arial" w:hAnsi="Arial" w:cs="Arial"/>
          <w:i/>
          <w:iCs/>
          <w:sz w:val="22"/>
        </w:rPr>
        <w:t>About Mental Health</w:t>
      </w:r>
      <w:r w:rsidRPr="007B63B4">
        <w:rPr>
          <w:rFonts w:ascii="Arial" w:hAnsi="Arial" w:cs="Arial"/>
          <w:sz w:val="22"/>
        </w:rPr>
        <w:t>. [online] Available at: https://www.cdc.gov/mentalhealth/learn/index.htm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Anon, 2022. </w:t>
      </w:r>
      <w:r w:rsidRPr="007B63B4">
        <w:rPr>
          <w:rFonts w:ascii="Arial" w:hAnsi="Arial" w:cs="Arial"/>
          <w:i/>
          <w:iCs/>
          <w:sz w:val="22"/>
        </w:rPr>
        <w:t>What Is Dementia?</w:t>
      </w:r>
      <w:r w:rsidRPr="007B63B4">
        <w:rPr>
          <w:rFonts w:ascii="Arial" w:hAnsi="Arial" w:cs="Arial"/>
          <w:sz w:val="22"/>
        </w:rPr>
        <w:t> [online] Available at: https://www.cdc.gov/aging/dementia/index.html#:~:text=Dementia%20is%20not%20a%20specific,a%20part%20of%20normal%20aging.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‌Choi, J., Price, J., Ryder, S., Siskind, D., Solmi, M. and Kisely, S., 2021. Prevalence of dental disorders among people with mental illness: An umbrella review. </w:t>
      </w:r>
      <w:r w:rsidRPr="007B63B4">
        <w:rPr>
          <w:rFonts w:ascii="Arial" w:hAnsi="Arial" w:cs="Arial"/>
          <w:i/>
          <w:iCs/>
          <w:sz w:val="22"/>
        </w:rPr>
        <w:t>Australian &amp; New Zealand Journal of Psychiatry</w:t>
      </w:r>
      <w:r w:rsidRPr="007B63B4">
        <w:rPr>
          <w:rFonts w:ascii="Arial" w:hAnsi="Arial" w:cs="Arial"/>
          <w:sz w:val="22"/>
        </w:rPr>
        <w:t>, p.00048674211042239.</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Churchwell, K., Elkind, M.S., Benjamin, R.M., Carson, A.P., Chang, E.K., Lawrence, W., Mills, A., Odom, T.M., Rodriguez, C.J., Rodriguez, F. and Sanchez, E., 2020. Call to action: structural racism as a fundamental driver of health disparities: a presidential advisory from the American Heart Association. </w:t>
      </w:r>
      <w:r w:rsidRPr="007B63B4">
        <w:rPr>
          <w:rFonts w:ascii="Arial" w:hAnsi="Arial" w:cs="Arial"/>
          <w:i/>
          <w:iCs/>
          <w:sz w:val="22"/>
        </w:rPr>
        <w:t>Circulation</w:t>
      </w:r>
      <w:r w:rsidRPr="007B63B4">
        <w:rPr>
          <w:rFonts w:ascii="Arial" w:hAnsi="Arial" w:cs="Arial"/>
          <w:sz w:val="22"/>
        </w:rPr>
        <w:t>, </w:t>
      </w:r>
      <w:r w:rsidRPr="007B63B4">
        <w:rPr>
          <w:rFonts w:ascii="Arial" w:hAnsi="Arial" w:cs="Arial"/>
          <w:i/>
          <w:iCs/>
          <w:sz w:val="22"/>
        </w:rPr>
        <w:t>142</w:t>
      </w:r>
      <w:r w:rsidRPr="007B63B4">
        <w:rPr>
          <w:rFonts w:ascii="Arial" w:hAnsi="Arial" w:cs="Arial"/>
          <w:sz w:val="22"/>
        </w:rPr>
        <w:t>(24), pp.e454-e468.</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Coffman, R., 2022. Local Lunacy: A Legal, Political, and Spatial History of the Early British Psychiatric System and the Causes for the Lunacy and County Asylums Acts of 1845.</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Connolly, G.  2017. </w:t>
      </w:r>
      <w:r w:rsidRPr="007B63B4">
        <w:rPr>
          <w:rFonts w:ascii="Arial" w:hAnsi="Arial" w:cs="Arial"/>
          <w:i/>
          <w:iCs/>
          <w:sz w:val="22"/>
        </w:rPr>
        <w:t>The Mental Health Act</w:t>
      </w:r>
      <w:r w:rsidRPr="007B63B4">
        <w:rPr>
          <w:rFonts w:ascii="Arial" w:hAnsi="Arial" w:cs="Arial"/>
          <w:sz w:val="22"/>
        </w:rPr>
        <w:t>. [online] Ashtons Hospital Pharmacy. Available at: https://www.ashtonshospitalpharmacy.com/blog/2017/01/the-mental-health-act/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Cummins, I., 2018. The impact of austerity on mental health service provision: a UK perspective. </w:t>
      </w:r>
      <w:r w:rsidRPr="007B63B4">
        <w:rPr>
          <w:rFonts w:ascii="Arial" w:hAnsi="Arial" w:cs="Arial"/>
          <w:i/>
          <w:iCs/>
          <w:sz w:val="22"/>
        </w:rPr>
        <w:t>International journal of environmental research and public health</w:t>
      </w:r>
      <w:r w:rsidRPr="007B63B4">
        <w:rPr>
          <w:rFonts w:ascii="Arial" w:hAnsi="Arial" w:cs="Arial"/>
          <w:sz w:val="22"/>
        </w:rPr>
        <w:t>, </w:t>
      </w:r>
      <w:r w:rsidRPr="007B63B4">
        <w:rPr>
          <w:rFonts w:ascii="Arial" w:hAnsi="Arial" w:cs="Arial"/>
          <w:i/>
          <w:iCs/>
          <w:sz w:val="22"/>
        </w:rPr>
        <w:t>15</w:t>
      </w:r>
      <w:r w:rsidRPr="007B63B4">
        <w:rPr>
          <w:rFonts w:ascii="Arial" w:hAnsi="Arial" w:cs="Arial"/>
          <w:sz w:val="22"/>
        </w:rPr>
        <w:t>(6), p.1145.</w:t>
      </w:r>
    </w:p>
    <w:p w:rsidR="000621C9" w:rsidRPr="007B63B4" w:rsidRDefault="000621C9" w:rsidP="007B63B4">
      <w:pPr>
        <w:spacing w:line="360" w:lineRule="auto"/>
        <w:ind w:firstLine="0"/>
        <w:rPr>
          <w:rFonts w:ascii="Arial" w:hAnsi="Arial" w:cs="Arial"/>
          <w:sz w:val="22"/>
          <w:lang w:val="en-GB"/>
        </w:rPr>
      </w:pP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lastRenderedPageBreak/>
        <w:t>Egdell, V., Stavert, J. and McGregor, R., 2018. The legal implications of dementia in the workplace: establishing a cross-disciplinary research agenda. </w:t>
      </w:r>
      <w:r w:rsidRPr="007B63B4">
        <w:rPr>
          <w:rFonts w:ascii="Arial" w:hAnsi="Arial" w:cs="Arial"/>
          <w:i/>
          <w:iCs/>
          <w:sz w:val="22"/>
        </w:rPr>
        <w:t>Ageing &amp; Society</w:t>
      </w:r>
      <w:r w:rsidRPr="007B63B4">
        <w:rPr>
          <w:rFonts w:ascii="Arial" w:hAnsi="Arial" w:cs="Arial"/>
          <w:sz w:val="22"/>
        </w:rPr>
        <w:t>, </w:t>
      </w:r>
      <w:r w:rsidRPr="007B63B4">
        <w:rPr>
          <w:rFonts w:ascii="Arial" w:hAnsi="Arial" w:cs="Arial"/>
          <w:i/>
          <w:iCs/>
          <w:sz w:val="22"/>
        </w:rPr>
        <w:t>38</w:t>
      </w:r>
      <w:r w:rsidRPr="007B63B4">
        <w:rPr>
          <w:rFonts w:ascii="Arial" w:hAnsi="Arial" w:cs="Arial"/>
          <w:sz w:val="22"/>
        </w:rPr>
        <w:t>(11), pp.2181-2196.</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‌England, N. 2022. </w:t>
      </w:r>
      <w:r w:rsidRPr="007B63B4">
        <w:rPr>
          <w:rFonts w:ascii="Arial" w:hAnsi="Arial" w:cs="Arial"/>
          <w:i/>
          <w:iCs/>
          <w:sz w:val="22"/>
        </w:rPr>
        <w:t>NHS England» Dementia</w:t>
      </w:r>
      <w:r w:rsidRPr="007B63B4">
        <w:rPr>
          <w:rFonts w:ascii="Arial" w:hAnsi="Arial" w:cs="Arial"/>
          <w:sz w:val="22"/>
        </w:rPr>
        <w:t xml:space="preserve">. [online] England.nhs.uk. Available at: </w:t>
      </w:r>
      <w:hyperlink r:id="rId7" w:history="1">
        <w:r w:rsidRPr="007B63B4">
          <w:rPr>
            <w:rStyle w:val="Hyperlink"/>
            <w:rFonts w:ascii="Arial" w:hAnsi="Arial" w:cs="Arial"/>
            <w:sz w:val="22"/>
          </w:rPr>
          <w:t>https://www.england.nhs.uk/mental</w:t>
        </w:r>
      </w:hyperlink>
      <w:r w:rsidRPr="007B63B4">
        <w:rPr>
          <w:rFonts w:ascii="Arial" w:hAnsi="Arial" w:cs="Arial"/>
          <w:sz w:val="22"/>
        </w:rPr>
        <w:t xml:space="preserve"> health/dementia/#:~:text=Dementia%20is%20a%20growing%20challenge,dementia%20is%20estimated%20at%20850%2C000.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Fisher, M., Newton, C. and Sainsbury, E., 2021. </w:t>
      </w:r>
      <w:r w:rsidRPr="007B63B4">
        <w:rPr>
          <w:rFonts w:ascii="Arial" w:hAnsi="Arial" w:cs="Arial"/>
          <w:i/>
          <w:iCs/>
          <w:sz w:val="22"/>
        </w:rPr>
        <w:t>Mental health social work observed</w:t>
      </w:r>
      <w:r w:rsidRPr="007B63B4">
        <w:rPr>
          <w:rFonts w:ascii="Arial" w:hAnsi="Arial" w:cs="Arial"/>
          <w:sz w:val="22"/>
        </w:rPr>
        <w:t>. Routledge.</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GOV.UK, 2017. </w:t>
      </w:r>
      <w:r w:rsidRPr="007B63B4">
        <w:rPr>
          <w:rFonts w:ascii="Arial" w:hAnsi="Arial" w:cs="Arial"/>
          <w:i/>
          <w:iCs/>
          <w:sz w:val="22"/>
        </w:rPr>
        <w:t>Health matters: midlife approaches to reduce dementia risk</w:t>
      </w:r>
      <w:r w:rsidRPr="007B63B4">
        <w:rPr>
          <w:rFonts w:ascii="Arial" w:hAnsi="Arial" w:cs="Arial"/>
          <w:sz w:val="22"/>
        </w:rPr>
        <w:t>. [online] GOV.UK. Available at: https://www.gov.uk/government/publications/health-matters-midlife-approaches-to-reduce-dementia-risk/health-matters-midlife-approaches-to-reduce-dementia-risk [Accessed 21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Gove, D., Nielsen, T.R., Smits, C., Plejert, C., Rauf, M.A., Parveen, S., Jaakson, S., Golan</w:t>
      </w:r>
      <w:r w:rsidRPr="007B63B4">
        <w:rPr>
          <w:rFonts w:ascii="Cambria Math" w:hAnsi="Cambria Math" w:cs="Arial"/>
          <w:sz w:val="22"/>
        </w:rPr>
        <w:t>‐</w:t>
      </w:r>
      <w:r w:rsidRPr="007B63B4">
        <w:rPr>
          <w:rFonts w:ascii="Arial" w:hAnsi="Arial" w:cs="Arial"/>
          <w:sz w:val="22"/>
        </w:rPr>
        <w:t>Shemesh, D., Lahav, D., Kaur, R. and Herz, M.K., 2021. The challenges of achieving timely diagnosis and culturally appropriate care of people with dementia from minority ethnic groups in Europe. </w:t>
      </w:r>
      <w:r w:rsidRPr="007B63B4">
        <w:rPr>
          <w:rFonts w:ascii="Arial" w:hAnsi="Arial" w:cs="Arial"/>
          <w:i/>
          <w:iCs/>
          <w:sz w:val="22"/>
        </w:rPr>
        <w:t>International journal of geriatric psychiatry</w:t>
      </w:r>
      <w:r w:rsidRPr="007B63B4">
        <w:rPr>
          <w:rFonts w:ascii="Arial" w:hAnsi="Arial" w:cs="Arial"/>
          <w:sz w:val="22"/>
        </w:rPr>
        <w:t>, </w:t>
      </w:r>
      <w:r w:rsidRPr="007B63B4">
        <w:rPr>
          <w:rFonts w:ascii="Arial" w:hAnsi="Arial" w:cs="Arial"/>
          <w:i/>
          <w:iCs/>
          <w:sz w:val="22"/>
        </w:rPr>
        <w:t>36</w:t>
      </w:r>
      <w:r w:rsidRPr="007B63B4">
        <w:rPr>
          <w:rFonts w:ascii="Arial" w:hAnsi="Arial" w:cs="Arial"/>
          <w:sz w:val="22"/>
        </w:rPr>
        <w:t>(12), pp.1823-1828.</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Hackett, R.A., Steptoe, A., Lang, R.P. and Jackson, S.E., 2020. Disability discrimination and well-being in the United Kingdom: a prospective cohort study. </w:t>
      </w:r>
      <w:r w:rsidRPr="007B63B4">
        <w:rPr>
          <w:rFonts w:ascii="Arial" w:hAnsi="Arial" w:cs="Arial"/>
          <w:i/>
          <w:iCs/>
          <w:sz w:val="22"/>
        </w:rPr>
        <w:t>BMJ Open</w:t>
      </w:r>
      <w:r w:rsidRPr="007B63B4">
        <w:rPr>
          <w:rFonts w:ascii="Arial" w:hAnsi="Arial" w:cs="Arial"/>
          <w:sz w:val="22"/>
        </w:rPr>
        <w:t>, [online] 10(3), p.e035714. doi:10.1136/bmjopen-2019-035714.</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Harrison Dening, K., Sampson, E.L. and De Vries, K., 2019. Advance care planning in dementia: recommendations for healthcare professionals. </w:t>
      </w:r>
      <w:r w:rsidRPr="007B63B4">
        <w:rPr>
          <w:rFonts w:ascii="Arial" w:hAnsi="Arial" w:cs="Arial"/>
          <w:i/>
          <w:iCs/>
          <w:sz w:val="22"/>
        </w:rPr>
        <w:t>Palliative Care: Research and Treatment</w:t>
      </w:r>
      <w:r w:rsidRPr="007B63B4">
        <w:rPr>
          <w:rFonts w:ascii="Arial" w:hAnsi="Arial" w:cs="Arial"/>
          <w:sz w:val="22"/>
        </w:rPr>
        <w:t>, </w:t>
      </w:r>
      <w:r w:rsidRPr="007B63B4">
        <w:rPr>
          <w:rFonts w:ascii="Arial" w:hAnsi="Arial" w:cs="Arial"/>
          <w:i/>
          <w:iCs/>
          <w:sz w:val="22"/>
        </w:rPr>
        <w:t>12</w:t>
      </w:r>
      <w:r w:rsidRPr="007B63B4">
        <w:rPr>
          <w:rFonts w:ascii="Arial" w:hAnsi="Arial" w:cs="Arial"/>
          <w:sz w:val="22"/>
        </w:rPr>
        <w:t>, p.1178224219826579.</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Hossain, M.Z. and Khan, H.T., 2020. Barriers to access and ways to improve dementia services for a minority ethnic group in England. </w:t>
      </w:r>
      <w:r w:rsidRPr="007B63B4">
        <w:rPr>
          <w:rFonts w:ascii="Arial" w:hAnsi="Arial" w:cs="Arial"/>
          <w:i/>
          <w:iCs/>
          <w:sz w:val="22"/>
        </w:rPr>
        <w:t>Journal of evaluation in clinical practice</w:t>
      </w:r>
      <w:r w:rsidRPr="007B63B4">
        <w:rPr>
          <w:rFonts w:ascii="Arial" w:hAnsi="Arial" w:cs="Arial"/>
          <w:sz w:val="22"/>
        </w:rPr>
        <w:t>, </w:t>
      </w:r>
      <w:r w:rsidRPr="007B63B4">
        <w:rPr>
          <w:rFonts w:ascii="Arial" w:hAnsi="Arial" w:cs="Arial"/>
          <w:i/>
          <w:iCs/>
          <w:sz w:val="22"/>
        </w:rPr>
        <w:t>26</w:t>
      </w:r>
      <w:r w:rsidRPr="007B63B4">
        <w:rPr>
          <w:rFonts w:ascii="Arial" w:hAnsi="Arial" w:cs="Arial"/>
          <w:sz w:val="22"/>
        </w:rPr>
        <w:t>(6), pp.1629-1637.</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James, T., Mukadam, N., Sommerlad, A., Pour, H.R., Knowles, M., Azocar, I. and Livingston, G., 2022. Protection against discrimination in national dementia guideline recommendations: A systematic review. </w:t>
      </w:r>
      <w:r w:rsidRPr="007B63B4">
        <w:rPr>
          <w:rFonts w:ascii="Arial" w:hAnsi="Arial" w:cs="Arial"/>
          <w:i/>
          <w:iCs/>
          <w:sz w:val="22"/>
        </w:rPr>
        <w:t>PLoS medicine</w:t>
      </w:r>
      <w:r w:rsidRPr="007B63B4">
        <w:rPr>
          <w:rFonts w:ascii="Arial" w:hAnsi="Arial" w:cs="Arial"/>
          <w:sz w:val="22"/>
        </w:rPr>
        <w:t>, </w:t>
      </w:r>
      <w:r w:rsidRPr="007B63B4">
        <w:rPr>
          <w:rFonts w:ascii="Arial" w:hAnsi="Arial" w:cs="Arial"/>
          <w:i/>
          <w:iCs/>
          <w:sz w:val="22"/>
        </w:rPr>
        <w:t>19</w:t>
      </w:r>
      <w:r w:rsidRPr="007B63B4">
        <w:rPr>
          <w:rFonts w:ascii="Arial" w:hAnsi="Arial" w:cs="Arial"/>
          <w:sz w:val="22"/>
        </w:rPr>
        <w:t>(1), p.e1003860.</w:t>
      </w:r>
    </w:p>
    <w:p w:rsidR="007B63B4" w:rsidRDefault="007B63B4" w:rsidP="007B63B4">
      <w:pPr>
        <w:spacing w:line="360" w:lineRule="auto"/>
        <w:ind w:firstLine="0"/>
        <w:rPr>
          <w:rFonts w:ascii="Arial" w:hAnsi="Arial" w:cs="Arial"/>
          <w:sz w:val="22"/>
        </w:rPr>
      </w:pPr>
      <w:r w:rsidRPr="007B63B4">
        <w:rPr>
          <w:rFonts w:ascii="Arial" w:hAnsi="Arial" w:cs="Arial"/>
          <w:sz w:val="22"/>
          <w:lang w:val="en-GB"/>
        </w:rPr>
        <w:t>K</w:t>
      </w:r>
      <w:r w:rsidRPr="007B63B4">
        <w:rPr>
          <w:rFonts w:ascii="Arial" w:hAnsi="Arial" w:cs="Arial"/>
          <w:sz w:val="22"/>
        </w:rPr>
        <w:t xml:space="preserve"> Dixon, J., Laing, J. and Valentine, C., 2020. A human rights approach to advocacy for people with dementia: A review of current provision in England and Wales. </w:t>
      </w:r>
      <w:r w:rsidRPr="007B63B4">
        <w:rPr>
          <w:rFonts w:ascii="Arial" w:hAnsi="Arial" w:cs="Arial"/>
          <w:i/>
          <w:iCs/>
          <w:sz w:val="22"/>
        </w:rPr>
        <w:t>Dementia</w:t>
      </w:r>
      <w:r w:rsidRPr="007B63B4">
        <w:rPr>
          <w:rFonts w:ascii="Arial" w:hAnsi="Arial" w:cs="Arial"/>
          <w:sz w:val="22"/>
        </w:rPr>
        <w:t>, </w:t>
      </w:r>
      <w:r w:rsidRPr="007B63B4">
        <w:rPr>
          <w:rFonts w:ascii="Arial" w:hAnsi="Arial" w:cs="Arial"/>
          <w:i/>
          <w:iCs/>
          <w:sz w:val="22"/>
        </w:rPr>
        <w:t>19</w:t>
      </w:r>
      <w:r w:rsidRPr="007B63B4">
        <w:rPr>
          <w:rFonts w:ascii="Arial" w:hAnsi="Arial" w:cs="Arial"/>
          <w:sz w:val="22"/>
        </w:rPr>
        <w:t>(2), pp.221-236.</w:t>
      </w:r>
      <w:r>
        <w:rPr>
          <w:rFonts w:ascii="Arial" w:hAnsi="Arial" w:cs="Arial"/>
          <w:sz w:val="22"/>
        </w:rPr>
        <w:t xml:space="preserve"> </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Keown, P., Murphy, H., McKenna, D. and McKinnon, I., 2018. Changes in the use of the Mental Health Act 1983 in England 1984/85 to 2015/16. </w:t>
      </w:r>
      <w:r w:rsidRPr="007B63B4">
        <w:rPr>
          <w:rFonts w:ascii="Arial" w:hAnsi="Arial" w:cs="Arial"/>
          <w:i/>
          <w:iCs/>
          <w:sz w:val="22"/>
        </w:rPr>
        <w:t>The British Journal of Psychiatry</w:t>
      </w:r>
      <w:r w:rsidRPr="007B63B4">
        <w:rPr>
          <w:rFonts w:ascii="Arial" w:hAnsi="Arial" w:cs="Arial"/>
          <w:sz w:val="22"/>
        </w:rPr>
        <w:t>, </w:t>
      </w:r>
      <w:r w:rsidRPr="007B63B4">
        <w:rPr>
          <w:rFonts w:ascii="Arial" w:hAnsi="Arial" w:cs="Arial"/>
          <w:i/>
          <w:iCs/>
          <w:sz w:val="22"/>
        </w:rPr>
        <w:t>213</w:t>
      </w:r>
      <w:r w:rsidRPr="007B63B4">
        <w:rPr>
          <w:rFonts w:ascii="Arial" w:hAnsi="Arial" w:cs="Arial"/>
          <w:sz w:val="22"/>
        </w:rPr>
        <w:t>(4), pp.595-599.</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Kułak-Bejda, A., Bejda, G. and Waszkiewicz, N., 2021. Mental disorders, cognitive impairment and the risk of suicide in older adults. </w:t>
      </w:r>
      <w:r w:rsidRPr="007B63B4">
        <w:rPr>
          <w:rFonts w:ascii="Arial" w:hAnsi="Arial" w:cs="Arial"/>
          <w:i/>
          <w:iCs/>
          <w:sz w:val="22"/>
        </w:rPr>
        <w:t>Frontiers in psychiatry</w:t>
      </w:r>
      <w:r w:rsidRPr="007B63B4">
        <w:rPr>
          <w:rFonts w:ascii="Arial" w:hAnsi="Arial" w:cs="Arial"/>
          <w:sz w:val="22"/>
        </w:rPr>
        <w:t>, </w:t>
      </w:r>
      <w:r w:rsidRPr="007B63B4">
        <w:rPr>
          <w:rFonts w:ascii="Arial" w:hAnsi="Arial" w:cs="Arial"/>
          <w:i/>
          <w:iCs/>
          <w:sz w:val="22"/>
        </w:rPr>
        <w:t>12</w:t>
      </w:r>
      <w:r w:rsidRPr="007B63B4">
        <w:rPr>
          <w:rFonts w:ascii="Arial" w:hAnsi="Arial" w:cs="Arial"/>
          <w:sz w:val="22"/>
        </w:rPr>
        <w:t>, p.695286.</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Larkin, M., Henwood, M. and Milne, A., 2022. Older carers and carers of people with dementia: improving and developing effective support. </w:t>
      </w:r>
      <w:r w:rsidRPr="007B63B4">
        <w:rPr>
          <w:rFonts w:ascii="Arial" w:hAnsi="Arial" w:cs="Arial"/>
          <w:i/>
          <w:iCs/>
          <w:sz w:val="22"/>
        </w:rPr>
        <w:t>Social Policy and Society</w:t>
      </w:r>
      <w:r w:rsidRPr="007B63B4">
        <w:rPr>
          <w:rFonts w:ascii="Arial" w:hAnsi="Arial" w:cs="Arial"/>
          <w:sz w:val="22"/>
        </w:rPr>
        <w:t>, </w:t>
      </w:r>
      <w:r w:rsidRPr="007B63B4">
        <w:rPr>
          <w:rFonts w:ascii="Arial" w:hAnsi="Arial" w:cs="Arial"/>
          <w:i/>
          <w:iCs/>
          <w:sz w:val="22"/>
        </w:rPr>
        <w:t>21</w:t>
      </w:r>
      <w:r w:rsidRPr="007B63B4">
        <w:rPr>
          <w:rFonts w:ascii="Arial" w:hAnsi="Arial" w:cs="Arial"/>
          <w:sz w:val="22"/>
        </w:rPr>
        <w:t>(2), pp.242-256.</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lastRenderedPageBreak/>
        <w:t>Latoo, J., Haddad, P.M., Mistry, M., Wadoo, O., Islam, S.M.S., Jan, F., Iqbal, Y., Howseman, T., Riley, D. and Alabdulla, M., 2021. The COVID-19 pandemic: an opportunity to make mental health a higher public health priority. </w:t>
      </w:r>
      <w:r w:rsidRPr="007B63B4">
        <w:rPr>
          <w:rFonts w:ascii="Arial" w:hAnsi="Arial" w:cs="Arial"/>
          <w:i/>
          <w:iCs/>
          <w:sz w:val="22"/>
        </w:rPr>
        <w:t>BJPsych open</w:t>
      </w:r>
      <w:r w:rsidRPr="007B63B4">
        <w:rPr>
          <w:rFonts w:ascii="Arial" w:hAnsi="Arial" w:cs="Arial"/>
          <w:sz w:val="22"/>
        </w:rPr>
        <w:t>, </w:t>
      </w:r>
      <w:r w:rsidRPr="007B63B4">
        <w:rPr>
          <w:rFonts w:ascii="Arial" w:hAnsi="Arial" w:cs="Arial"/>
          <w:i/>
          <w:iCs/>
          <w:sz w:val="22"/>
        </w:rPr>
        <w:t>7</w:t>
      </w:r>
      <w:r w:rsidRPr="007B63B4">
        <w:rPr>
          <w:rFonts w:ascii="Arial" w:hAnsi="Arial" w:cs="Arial"/>
          <w:sz w:val="22"/>
        </w:rPr>
        <w:t>(5).</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MacKenzie, C., 2018. Social factors in the admission, discharge, and continuing stay of patients at Ticehurst Asylum, 1845–1917. In </w:t>
      </w:r>
      <w:r w:rsidRPr="007B63B4">
        <w:rPr>
          <w:rFonts w:ascii="Arial" w:hAnsi="Arial" w:cs="Arial"/>
          <w:i/>
          <w:iCs/>
          <w:sz w:val="22"/>
        </w:rPr>
        <w:t>The anatomy of madness</w:t>
      </w:r>
      <w:r w:rsidRPr="007B63B4">
        <w:rPr>
          <w:rFonts w:ascii="Arial" w:hAnsi="Arial" w:cs="Arial"/>
          <w:sz w:val="22"/>
        </w:rPr>
        <w:t> (pp. 147-174). Routledge.</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‌Marlin-Tackie, F.A., Polunci, S.A. and Smith, J.M., 2020. Fracking controversies: enhancing public trust in local government through energy justice. </w:t>
      </w:r>
      <w:r w:rsidRPr="007B63B4">
        <w:rPr>
          <w:rFonts w:ascii="Arial" w:hAnsi="Arial" w:cs="Arial"/>
          <w:i/>
          <w:iCs/>
          <w:sz w:val="22"/>
        </w:rPr>
        <w:t>Energy Research &amp; Social Science</w:t>
      </w:r>
      <w:r w:rsidRPr="007B63B4">
        <w:rPr>
          <w:rFonts w:ascii="Arial" w:hAnsi="Arial" w:cs="Arial"/>
          <w:sz w:val="22"/>
        </w:rPr>
        <w:t>, </w:t>
      </w:r>
      <w:r w:rsidRPr="007B63B4">
        <w:rPr>
          <w:rFonts w:ascii="Arial" w:hAnsi="Arial" w:cs="Arial"/>
          <w:i/>
          <w:iCs/>
          <w:sz w:val="22"/>
        </w:rPr>
        <w:t>65</w:t>
      </w:r>
      <w:r w:rsidRPr="007B63B4">
        <w:rPr>
          <w:rFonts w:ascii="Arial" w:hAnsi="Arial" w:cs="Arial"/>
          <w:sz w:val="22"/>
        </w:rPr>
        <w:t>, p.101440.</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Mayo Clinic, 2019. </w:t>
      </w:r>
      <w:r w:rsidRPr="007B63B4">
        <w:rPr>
          <w:rFonts w:ascii="Arial" w:hAnsi="Arial" w:cs="Arial"/>
          <w:i/>
          <w:iCs/>
          <w:sz w:val="22"/>
        </w:rPr>
        <w:t>Mental illness - Symptoms and causes</w:t>
      </w:r>
      <w:r w:rsidRPr="007B63B4">
        <w:rPr>
          <w:rFonts w:ascii="Arial" w:hAnsi="Arial" w:cs="Arial"/>
          <w:sz w:val="22"/>
        </w:rPr>
        <w:t>. [online] Available at: https://www.mayoclinic.org/diseases-conditions/mental-illness/symptoms-causes/syc-20374968#:~:text=Mental%20illness%2C%20also%20called%20mental,eating%20disorders%20and%20addictive%20behaviors.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Mental Health Foundation, 2021. </w:t>
      </w:r>
      <w:r w:rsidRPr="007B63B4">
        <w:rPr>
          <w:rFonts w:ascii="Arial" w:hAnsi="Arial" w:cs="Arial"/>
          <w:i/>
          <w:iCs/>
          <w:sz w:val="22"/>
        </w:rPr>
        <w:t>Dementia Rights Policy Discussion</w:t>
      </w:r>
      <w:r w:rsidRPr="007B63B4">
        <w:rPr>
          <w:rFonts w:ascii="Arial" w:hAnsi="Arial" w:cs="Arial"/>
          <w:sz w:val="22"/>
        </w:rPr>
        <w:t>. [online] Available at: https://www.mentalhealth.org.uk/sites/default/files/dementia-rights-policy-discussion.pdf.</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Mudholkar, S., 2021. The Mental Health Act 1983 (as amended in 2007) reform–How proposed changes potentially impact personality disorder services.</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Newbigging, K., Ridley, J. and Sadd, J., 2020. Realising the right to equal recognition for disabled people: commissioning statutory advocacy in England. </w:t>
      </w:r>
      <w:r w:rsidRPr="007B63B4">
        <w:rPr>
          <w:rFonts w:ascii="Arial" w:hAnsi="Arial" w:cs="Arial"/>
          <w:i/>
          <w:iCs/>
          <w:sz w:val="22"/>
        </w:rPr>
        <w:t>Disability &amp; Society</w:t>
      </w:r>
      <w:r w:rsidRPr="007B63B4">
        <w:rPr>
          <w:rFonts w:ascii="Arial" w:hAnsi="Arial" w:cs="Arial"/>
          <w:sz w:val="22"/>
        </w:rPr>
        <w:t>, </w:t>
      </w:r>
      <w:r w:rsidRPr="007B63B4">
        <w:rPr>
          <w:rFonts w:ascii="Arial" w:hAnsi="Arial" w:cs="Arial"/>
          <w:i/>
          <w:iCs/>
          <w:sz w:val="22"/>
        </w:rPr>
        <w:t>36</w:t>
      </w:r>
      <w:r w:rsidRPr="007B63B4">
        <w:rPr>
          <w:rFonts w:ascii="Arial" w:hAnsi="Arial" w:cs="Arial"/>
          <w:sz w:val="22"/>
        </w:rPr>
        <w:t>(3), pp.420-442.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NHS Choices, 2022. </w:t>
      </w:r>
      <w:r w:rsidRPr="007B63B4">
        <w:rPr>
          <w:rFonts w:ascii="Arial" w:hAnsi="Arial" w:cs="Arial"/>
          <w:i/>
          <w:iCs/>
          <w:sz w:val="22"/>
        </w:rPr>
        <w:t>What to do if you’ve just been diagnosed with dementia - Dementia guide</w:t>
      </w:r>
      <w:r w:rsidRPr="007B63B4">
        <w:rPr>
          <w:rFonts w:ascii="Arial" w:hAnsi="Arial" w:cs="Arial"/>
          <w:sz w:val="22"/>
        </w:rPr>
        <w:t>. [online] Available at: https://www.nhs.uk/conditions/dementia/diagnosis-plan/ [Accessed 21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‌Nhsinform.scot, 2020. </w:t>
      </w:r>
      <w:r w:rsidRPr="007B63B4">
        <w:rPr>
          <w:rFonts w:ascii="Arial" w:hAnsi="Arial" w:cs="Arial"/>
          <w:i/>
          <w:iCs/>
          <w:sz w:val="22"/>
        </w:rPr>
        <w:t>Dementia care and support</w:t>
      </w:r>
      <w:r w:rsidRPr="007B63B4">
        <w:rPr>
          <w:rFonts w:ascii="Arial" w:hAnsi="Arial" w:cs="Arial"/>
          <w:sz w:val="22"/>
        </w:rPr>
        <w:t>. [online] Available at: https://www.nhsinform.scot/illnesses-and-conditions/brain-nerves-and-spinal-cord/dementia/dementia-care-and-support/dementia-care-and-support [Accessed 21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‌Nice.org.uk. (2019). </w:t>
      </w:r>
      <w:r w:rsidRPr="007B63B4">
        <w:rPr>
          <w:rFonts w:ascii="Arial" w:hAnsi="Arial" w:cs="Arial"/>
          <w:i/>
          <w:iCs/>
          <w:sz w:val="22"/>
        </w:rPr>
        <w:t>Mental health and the NHS</w:t>
      </w:r>
      <w:r w:rsidRPr="007B63B4">
        <w:rPr>
          <w:rFonts w:ascii="Arial" w:hAnsi="Arial" w:cs="Arial"/>
          <w:sz w:val="22"/>
        </w:rPr>
        <w:t>. [online] Available at: https://indepth.nice.org.uk/mental-health-and-the-nhs/index.html#:~:text=The%20Mental%20Health%20Act%20of,care%20with%20the%20wider%20NHS. [Accessed 20 Jun. 2022].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Pennington, C., Davey, K., Ter Meulen, R., Coulthard, E. and Kehoe, P.G., 2018. Tools for testing decision-making capacity in dementia. </w:t>
      </w:r>
      <w:r w:rsidRPr="007B63B4">
        <w:rPr>
          <w:rFonts w:ascii="Arial" w:hAnsi="Arial" w:cs="Arial"/>
          <w:i/>
          <w:iCs/>
          <w:sz w:val="22"/>
        </w:rPr>
        <w:t>Age and ageing</w:t>
      </w:r>
      <w:r w:rsidRPr="007B63B4">
        <w:rPr>
          <w:rFonts w:ascii="Arial" w:hAnsi="Arial" w:cs="Arial"/>
          <w:sz w:val="22"/>
        </w:rPr>
        <w:t>, </w:t>
      </w:r>
      <w:r w:rsidRPr="007B63B4">
        <w:rPr>
          <w:rFonts w:ascii="Arial" w:hAnsi="Arial" w:cs="Arial"/>
          <w:i/>
          <w:iCs/>
          <w:sz w:val="22"/>
        </w:rPr>
        <w:t>47</w:t>
      </w:r>
      <w:r w:rsidRPr="007B63B4">
        <w:rPr>
          <w:rFonts w:ascii="Arial" w:hAnsi="Arial" w:cs="Arial"/>
          <w:sz w:val="22"/>
        </w:rPr>
        <w:t>(6), pp.778-784.</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‌Pentaris, P., Willis, P., Ray, M., Deusdad, B., Lonbay, S., Niemi, M. and Donnelly, S., 2020. Older people in the context of COVID-19: A European perspective. </w:t>
      </w:r>
      <w:r w:rsidRPr="007B63B4">
        <w:rPr>
          <w:rFonts w:ascii="Arial" w:hAnsi="Arial" w:cs="Arial"/>
          <w:i/>
          <w:iCs/>
          <w:sz w:val="22"/>
        </w:rPr>
        <w:t>Journal of Gerontological Social Work</w:t>
      </w:r>
      <w:r w:rsidRPr="007B63B4">
        <w:rPr>
          <w:rFonts w:ascii="Arial" w:hAnsi="Arial" w:cs="Arial"/>
          <w:sz w:val="22"/>
        </w:rPr>
        <w:t>, </w:t>
      </w:r>
      <w:r w:rsidRPr="007B63B4">
        <w:rPr>
          <w:rFonts w:ascii="Arial" w:hAnsi="Arial" w:cs="Arial"/>
          <w:i/>
          <w:iCs/>
          <w:sz w:val="22"/>
        </w:rPr>
        <w:t>63</w:t>
      </w:r>
      <w:r w:rsidRPr="007B63B4">
        <w:rPr>
          <w:rFonts w:ascii="Arial" w:hAnsi="Arial" w:cs="Arial"/>
          <w:sz w:val="22"/>
        </w:rPr>
        <w:t>(8), pp.736-742.</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‌Pollard, T. and Howard, N., 2021. Mental healthcare for asylum-seekers and refugees residing in the United Kingdom: a scoping review of policies, barriers, and enablers. </w:t>
      </w:r>
      <w:r w:rsidRPr="007B63B4">
        <w:rPr>
          <w:rFonts w:ascii="Arial" w:hAnsi="Arial" w:cs="Arial"/>
          <w:i/>
          <w:iCs/>
          <w:sz w:val="22"/>
        </w:rPr>
        <w:t>International journal of mental health systems</w:t>
      </w:r>
      <w:r w:rsidRPr="007B63B4">
        <w:rPr>
          <w:rFonts w:ascii="Arial" w:hAnsi="Arial" w:cs="Arial"/>
          <w:sz w:val="22"/>
        </w:rPr>
        <w:t>, </w:t>
      </w:r>
      <w:r w:rsidRPr="007B63B4">
        <w:rPr>
          <w:rFonts w:ascii="Arial" w:hAnsi="Arial" w:cs="Arial"/>
          <w:i/>
          <w:iCs/>
          <w:sz w:val="22"/>
        </w:rPr>
        <w:t>15</w:t>
      </w:r>
      <w:r w:rsidRPr="007B63B4">
        <w:rPr>
          <w:rFonts w:ascii="Arial" w:hAnsi="Arial" w:cs="Arial"/>
          <w:sz w:val="22"/>
        </w:rPr>
        <w:t>(1), pp.1-15.</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lastRenderedPageBreak/>
        <w:t>Riachi, R., 2018. Person-centred communication in dementia care: a qualitative study of the use of the SPECAL® method by care workers in the UK. </w:t>
      </w:r>
      <w:r w:rsidRPr="007B63B4">
        <w:rPr>
          <w:rFonts w:ascii="Arial" w:hAnsi="Arial" w:cs="Arial"/>
          <w:i/>
          <w:iCs/>
          <w:sz w:val="22"/>
        </w:rPr>
        <w:t>Journal of Social Work Practice</w:t>
      </w:r>
      <w:r w:rsidRPr="007B63B4">
        <w:rPr>
          <w:rFonts w:ascii="Arial" w:hAnsi="Arial" w:cs="Arial"/>
          <w:sz w:val="22"/>
        </w:rPr>
        <w:t>, </w:t>
      </w:r>
      <w:r w:rsidRPr="007B63B4">
        <w:rPr>
          <w:rFonts w:ascii="Arial" w:hAnsi="Arial" w:cs="Arial"/>
          <w:i/>
          <w:iCs/>
          <w:sz w:val="22"/>
        </w:rPr>
        <w:t>32</w:t>
      </w:r>
      <w:r w:rsidRPr="007B63B4">
        <w:rPr>
          <w:rFonts w:ascii="Arial" w:hAnsi="Arial" w:cs="Arial"/>
          <w:sz w:val="22"/>
        </w:rPr>
        <w:t>(3), pp.303-321.</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Saunders, P.T. and Horne, A.W., 2021. Endometriosis: Etiology, pathobiology, and therapeutic prospects. </w:t>
      </w:r>
      <w:r w:rsidRPr="007B63B4">
        <w:rPr>
          <w:rFonts w:ascii="Arial" w:hAnsi="Arial" w:cs="Arial"/>
          <w:i/>
          <w:iCs/>
          <w:sz w:val="22"/>
        </w:rPr>
        <w:t>Cell</w:t>
      </w:r>
      <w:r w:rsidRPr="007B63B4">
        <w:rPr>
          <w:rFonts w:ascii="Arial" w:hAnsi="Arial" w:cs="Arial"/>
          <w:sz w:val="22"/>
        </w:rPr>
        <w:t>, </w:t>
      </w:r>
      <w:r w:rsidRPr="007B63B4">
        <w:rPr>
          <w:rFonts w:ascii="Arial" w:hAnsi="Arial" w:cs="Arial"/>
          <w:i/>
          <w:iCs/>
          <w:sz w:val="22"/>
        </w:rPr>
        <w:t>184</w:t>
      </w:r>
      <w:r w:rsidRPr="007B63B4">
        <w:rPr>
          <w:rFonts w:ascii="Arial" w:hAnsi="Arial" w:cs="Arial"/>
          <w:sz w:val="22"/>
        </w:rPr>
        <w:t>(11), pp.2807-2824.</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Shakespeare, T., Zeilig, H. and Mittler, P., 2019. Rights in mind: Thinking differently about dementia and disability. </w:t>
      </w:r>
      <w:r w:rsidRPr="007B63B4">
        <w:rPr>
          <w:rFonts w:ascii="Arial" w:hAnsi="Arial" w:cs="Arial"/>
          <w:i/>
          <w:iCs/>
          <w:sz w:val="22"/>
        </w:rPr>
        <w:t>Dementia</w:t>
      </w:r>
      <w:r w:rsidRPr="007B63B4">
        <w:rPr>
          <w:rFonts w:ascii="Arial" w:hAnsi="Arial" w:cs="Arial"/>
          <w:sz w:val="22"/>
        </w:rPr>
        <w:t>, </w:t>
      </w:r>
      <w:r w:rsidRPr="007B63B4">
        <w:rPr>
          <w:rFonts w:ascii="Arial" w:hAnsi="Arial" w:cs="Arial"/>
          <w:i/>
          <w:iCs/>
          <w:sz w:val="22"/>
        </w:rPr>
        <w:t>18</w:t>
      </w:r>
      <w:r w:rsidRPr="007B63B4">
        <w:rPr>
          <w:rFonts w:ascii="Arial" w:hAnsi="Arial" w:cs="Arial"/>
          <w:sz w:val="22"/>
        </w:rPr>
        <w:t>(3), pp.1075-1088.</w:t>
      </w:r>
    </w:p>
    <w:p w:rsidR="007B63B4" w:rsidRPr="007B63B4" w:rsidRDefault="007B63B4" w:rsidP="007B63B4">
      <w:pPr>
        <w:spacing w:line="360" w:lineRule="auto"/>
        <w:ind w:firstLine="0"/>
        <w:rPr>
          <w:rFonts w:ascii="Arial" w:hAnsi="Arial" w:cs="Arial"/>
          <w:sz w:val="22"/>
        </w:rPr>
      </w:pPr>
      <w:r w:rsidRPr="007B63B4">
        <w:rPr>
          <w:rFonts w:ascii="Arial" w:hAnsi="Arial" w:cs="Arial"/>
          <w:sz w:val="22"/>
        </w:rPr>
        <w:t>Singleton, D., Mukadam, N., Livingston, G. and Sommerlad, A., 2017. How people with dementia and carers understand and react to social functioning changes in mild dementia: a UK-based qualitative study. </w:t>
      </w:r>
      <w:r w:rsidRPr="007B63B4">
        <w:rPr>
          <w:rFonts w:ascii="Arial" w:hAnsi="Arial" w:cs="Arial"/>
          <w:i/>
          <w:iCs/>
          <w:sz w:val="22"/>
        </w:rPr>
        <w:t>BMJ open</w:t>
      </w:r>
      <w:r w:rsidRPr="007B63B4">
        <w:rPr>
          <w:rFonts w:ascii="Arial" w:hAnsi="Arial" w:cs="Arial"/>
          <w:sz w:val="22"/>
        </w:rPr>
        <w:t>, </w:t>
      </w:r>
      <w:r w:rsidRPr="007B63B4">
        <w:rPr>
          <w:rFonts w:ascii="Arial" w:hAnsi="Arial" w:cs="Arial"/>
          <w:i/>
          <w:iCs/>
          <w:sz w:val="22"/>
        </w:rPr>
        <w:t>7</w:t>
      </w:r>
      <w:r w:rsidRPr="007B63B4">
        <w:rPr>
          <w:rFonts w:ascii="Arial" w:hAnsi="Arial" w:cs="Arial"/>
          <w:sz w:val="22"/>
        </w:rPr>
        <w:t>(7), p.e016740.</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Swinton, J., 2020. What comes next? Practical theology, faithful presence, and prophetic witness. </w:t>
      </w:r>
      <w:r w:rsidRPr="007B63B4">
        <w:rPr>
          <w:rFonts w:ascii="Arial" w:hAnsi="Arial" w:cs="Arial"/>
          <w:i/>
          <w:iCs/>
          <w:sz w:val="22"/>
        </w:rPr>
        <w:t>Practical Theology</w:t>
      </w:r>
      <w:r w:rsidRPr="007B63B4">
        <w:rPr>
          <w:rFonts w:ascii="Arial" w:hAnsi="Arial" w:cs="Arial"/>
          <w:sz w:val="22"/>
        </w:rPr>
        <w:t>, </w:t>
      </w:r>
      <w:r w:rsidRPr="007B63B4">
        <w:rPr>
          <w:rFonts w:ascii="Arial" w:hAnsi="Arial" w:cs="Arial"/>
          <w:i/>
          <w:iCs/>
          <w:sz w:val="22"/>
        </w:rPr>
        <w:t>13</w:t>
      </w:r>
      <w:r w:rsidRPr="007B63B4">
        <w:rPr>
          <w:rFonts w:ascii="Arial" w:hAnsi="Arial" w:cs="Arial"/>
          <w:sz w:val="22"/>
        </w:rPr>
        <w:t>(1-2), pp.162-173.</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Szmukler, G. and Gostin, L.O., Mental Health Law:‘Legalism’and ‘Medicalism’–‘Old’and ‘New’.</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Thomas, C. and Milligan, C., 2018. Dementia, disability rights and disablism: understanding the social position of people living with dementia. </w:t>
      </w:r>
      <w:r w:rsidRPr="007B63B4">
        <w:rPr>
          <w:rFonts w:ascii="Arial" w:hAnsi="Arial" w:cs="Arial"/>
          <w:i/>
          <w:iCs/>
          <w:sz w:val="22"/>
        </w:rPr>
        <w:t>Disability &amp; Society</w:t>
      </w:r>
      <w:r w:rsidRPr="007B63B4">
        <w:rPr>
          <w:rFonts w:ascii="Arial" w:hAnsi="Arial" w:cs="Arial"/>
          <w:sz w:val="22"/>
        </w:rPr>
        <w:t>, </w:t>
      </w:r>
      <w:r w:rsidRPr="007B63B4">
        <w:rPr>
          <w:rFonts w:ascii="Arial" w:hAnsi="Arial" w:cs="Arial"/>
          <w:i/>
          <w:iCs/>
          <w:sz w:val="22"/>
        </w:rPr>
        <w:t>33</w:t>
      </w:r>
      <w:r w:rsidRPr="007B63B4">
        <w:rPr>
          <w:rFonts w:ascii="Arial" w:hAnsi="Arial" w:cs="Arial"/>
          <w:sz w:val="22"/>
        </w:rPr>
        <w:t>(1), pp.115-131.</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Valentine, S.E. and Shipherd, J.C., 2018. A systematic review of social stress and mental health among transgender and gender non-conforming people in the United States. </w:t>
      </w:r>
      <w:r w:rsidRPr="007B63B4">
        <w:rPr>
          <w:rFonts w:ascii="Arial" w:hAnsi="Arial" w:cs="Arial"/>
          <w:i/>
          <w:iCs/>
          <w:sz w:val="22"/>
        </w:rPr>
        <w:t>Clinical psychology review</w:t>
      </w:r>
      <w:r w:rsidRPr="007B63B4">
        <w:rPr>
          <w:rFonts w:ascii="Arial" w:hAnsi="Arial" w:cs="Arial"/>
          <w:sz w:val="22"/>
        </w:rPr>
        <w:t>, </w:t>
      </w:r>
      <w:r w:rsidRPr="007B63B4">
        <w:rPr>
          <w:rFonts w:ascii="Arial" w:hAnsi="Arial" w:cs="Arial"/>
          <w:i/>
          <w:iCs/>
          <w:sz w:val="22"/>
        </w:rPr>
        <w:t>66</w:t>
      </w:r>
      <w:r w:rsidRPr="007B63B4">
        <w:rPr>
          <w:rFonts w:ascii="Arial" w:hAnsi="Arial" w:cs="Arial"/>
          <w:sz w:val="22"/>
        </w:rPr>
        <w:t>, pp.24-38.</w:t>
      </w:r>
    </w:p>
    <w:p w:rsidR="007B63B4" w:rsidRPr="007B63B4" w:rsidRDefault="007B63B4" w:rsidP="007B63B4">
      <w:pPr>
        <w:spacing w:line="360" w:lineRule="auto"/>
        <w:ind w:left="720" w:hanging="720"/>
        <w:rPr>
          <w:rFonts w:ascii="Arial" w:hAnsi="Arial" w:cs="Arial"/>
          <w:sz w:val="22"/>
        </w:rPr>
      </w:pPr>
      <w:r w:rsidRPr="007B63B4">
        <w:rPr>
          <w:rFonts w:ascii="Arial" w:hAnsi="Arial" w:cs="Arial"/>
          <w:sz w:val="22"/>
        </w:rPr>
        <w:t>‌von Werthern, M., Robjant, K., Chui, Z., Schon, R., Ottisova, L., Mason, C. and Katona, C., 2018. The impact of immigration detention on mental health: a systematic review. </w:t>
      </w:r>
      <w:r w:rsidRPr="007B63B4">
        <w:rPr>
          <w:rFonts w:ascii="Arial" w:hAnsi="Arial" w:cs="Arial"/>
          <w:i/>
          <w:iCs/>
          <w:sz w:val="22"/>
        </w:rPr>
        <w:t>BMC psychiatry</w:t>
      </w:r>
      <w:r w:rsidRPr="007B63B4">
        <w:rPr>
          <w:rFonts w:ascii="Arial" w:hAnsi="Arial" w:cs="Arial"/>
          <w:sz w:val="22"/>
        </w:rPr>
        <w:t>, </w:t>
      </w:r>
      <w:r w:rsidRPr="007B63B4">
        <w:rPr>
          <w:rFonts w:ascii="Arial" w:hAnsi="Arial" w:cs="Arial"/>
          <w:i/>
          <w:iCs/>
          <w:sz w:val="22"/>
        </w:rPr>
        <w:t>18</w:t>
      </w:r>
      <w:r w:rsidRPr="007B63B4">
        <w:rPr>
          <w:rFonts w:ascii="Arial" w:hAnsi="Arial" w:cs="Arial"/>
          <w:sz w:val="22"/>
        </w:rPr>
        <w:t>(1), pp.1-19.</w:t>
      </w:r>
    </w:p>
    <w:p w:rsidR="007B63B4" w:rsidRPr="007B63B4" w:rsidRDefault="007B63B4" w:rsidP="007B63B4">
      <w:pPr>
        <w:spacing w:line="360" w:lineRule="auto"/>
        <w:ind w:firstLine="0"/>
        <w:rPr>
          <w:rFonts w:ascii="Arial" w:hAnsi="Arial" w:cs="Arial"/>
          <w:sz w:val="22"/>
        </w:rPr>
      </w:pPr>
    </w:p>
    <w:p w:rsidR="000621C9" w:rsidRPr="007B63B4" w:rsidRDefault="000621C9" w:rsidP="007B63B4">
      <w:pPr>
        <w:spacing w:line="360" w:lineRule="auto"/>
        <w:ind w:firstLine="0"/>
        <w:rPr>
          <w:rFonts w:ascii="Arial" w:hAnsi="Arial" w:cs="Arial"/>
          <w:sz w:val="22"/>
          <w:lang w:val="en-GB"/>
        </w:rPr>
      </w:pPr>
      <w:r w:rsidRPr="007B63B4">
        <w:rPr>
          <w:rFonts w:ascii="Arial" w:hAnsi="Arial" w:cs="Arial"/>
          <w:sz w:val="22"/>
          <w:lang w:val="en-GB"/>
        </w:rPr>
        <w:br w:type="page"/>
      </w:r>
    </w:p>
    <w:p w:rsidR="000621C9" w:rsidRPr="007B63B4" w:rsidRDefault="000621C9" w:rsidP="007B63B4">
      <w:pPr>
        <w:spacing w:line="360" w:lineRule="auto"/>
        <w:ind w:firstLine="0"/>
        <w:rPr>
          <w:rFonts w:ascii="Arial" w:hAnsi="Arial" w:cs="Arial"/>
          <w:sz w:val="22"/>
        </w:rPr>
      </w:pPr>
    </w:p>
    <w:p w:rsidR="000621C9" w:rsidRPr="000621C9" w:rsidRDefault="000621C9" w:rsidP="000621C9">
      <w:pPr>
        <w:spacing w:line="360" w:lineRule="auto"/>
        <w:ind w:firstLine="0"/>
        <w:rPr>
          <w:rFonts w:ascii="Arial" w:hAnsi="Arial" w:cs="Arial"/>
          <w:sz w:val="22"/>
        </w:rPr>
      </w:pPr>
    </w:p>
    <w:p w:rsidR="000621C9" w:rsidRPr="000621C9" w:rsidRDefault="000621C9" w:rsidP="000621C9">
      <w:pPr>
        <w:spacing w:line="360" w:lineRule="auto"/>
        <w:ind w:firstLine="0"/>
        <w:rPr>
          <w:rFonts w:ascii="Arial" w:hAnsi="Arial" w:cs="Arial"/>
          <w:b/>
          <w:bCs/>
          <w:sz w:val="22"/>
        </w:rPr>
      </w:pPr>
    </w:p>
    <w:p w:rsidR="000621C9" w:rsidRPr="000621C9" w:rsidRDefault="000621C9" w:rsidP="000621C9">
      <w:pPr>
        <w:spacing w:line="360" w:lineRule="auto"/>
        <w:jc w:val="both"/>
        <w:rPr>
          <w:rFonts w:ascii="Arial" w:hAnsi="Arial" w:cs="Arial"/>
          <w:sz w:val="22"/>
        </w:rPr>
      </w:pPr>
    </w:p>
    <w:p w:rsidR="000621C9" w:rsidRPr="000621C9" w:rsidRDefault="000621C9" w:rsidP="000621C9">
      <w:pPr>
        <w:ind w:firstLine="0"/>
        <w:rPr>
          <w:rFonts w:ascii="Arial" w:hAnsi="Arial" w:cs="Arial"/>
          <w:sz w:val="22"/>
        </w:rPr>
      </w:pPr>
    </w:p>
    <w:sectPr w:rsidR="000621C9" w:rsidRPr="000621C9" w:rsidSect="00D047C2">
      <w:footerReference w:type="first" r:id="rId8"/>
      <w:pgSz w:w="12240" w:h="15840"/>
      <w:pgMar w:top="1440" w:right="1080" w:bottom="1440" w:left="108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323A" w:rsidRDefault="00A6323A" w:rsidP="007B63B4">
      <w:pPr>
        <w:spacing w:line="240" w:lineRule="auto"/>
      </w:pPr>
      <w:r>
        <w:separator/>
      </w:r>
    </w:p>
  </w:endnote>
  <w:endnote w:type="continuationSeparator" w:id="1">
    <w:p w:rsidR="00A6323A" w:rsidRDefault="00A6323A" w:rsidP="007B63B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192707"/>
      <w:docPartObj>
        <w:docPartGallery w:val="Page Numbers (Bottom of Page)"/>
        <w:docPartUnique/>
      </w:docPartObj>
    </w:sdtPr>
    <w:sdtContent>
      <w:p w:rsidR="00D047C2" w:rsidRDefault="00D047C2">
        <w:pPr>
          <w:pStyle w:val="Footer"/>
        </w:pPr>
        <w:fldSimple w:instr=" PAGE   \* MERGEFORMAT ">
          <w:r>
            <w:rPr>
              <w:noProof/>
            </w:rPr>
            <w:t>1</w:t>
          </w:r>
        </w:fldSimple>
      </w:p>
    </w:sdtContent>
  </w:sdt>
  <w:p w:rsidR="00D047C2" w:rsidRDefault="00D047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323A" w:rsidRDefault="00A6323A" w:rsidP="007B63B4">
      <w:pPr>
        <w:spacing w:line="240" w:lineRule="auto"/>
      </w:pPr>
      <w:r>
        <w:separator/>
      </w:r>
    </w:p>
  </w:footnote>
  <w:footnote w:type="continuationSeparator" w:id="1">
    <w:p w:rsidR="00A6323A" w:rsidRDefault="00A6323A" w:rsidP="007B63B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0621C9"/>
    <w:rsid w:val="000621C9"/>
    <w:rsid w:val="006B272C"/>
    <w:rsid w:val="006F053A"/>
    <w:rsid w:val="007B63B4"/>
    <w:rsid w:val="00A6323A"/>
    <w:rsid w:val="00D047C2"/>
    <w:rsid w:val="00DC45A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51"/>
        <o:r id="V:Rule2" type="connector" idref="#_x0000_s1062"/>
        <o:r id="V:Rule3" type="connector" idref="#_x0000_s105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21C9"/>
    <w:pPr>
      <w:spacing w:after="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0621C9"/>
    <w:pPr>
      <w:keepNext/>
      <w:keepLines/>
      <w:ind w:firstLine="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621C9"/>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semiHidden/>
    <w:unhideWhenUsed/>
    <w:rsid w:val="007B63B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B63B4"/>
    <w:rPr>
      <w:rFonts w:ascii="Times New Roman" w:hAnsi="Times New Roman"/>
      <w:sz w:val="24"/>
    </w:rPr>
  </w:style>
  <w:style w:type="paragraph" w:styleId="Footer">
    <w:name w:val="footer"/>
    <w:basedOn w:val="Normal"/>
    <w:link w:val="FooterChar"/>
    <w:uiPriority w:val="99"/>
    <w:unhideWhenUsed/>
    <w:rsid w:val="007B63B4"/>
    <w:pPr>
      <w:tabs>
        <w:tab w:val="center" w:pos="4680"/>
        <w:tab w:val="right" w:pos="9360"/>
      </w:tabs>
      <w:spacing w:line="240" w:lineRule="auto"/>
    </w:pPr>
  </w:style>
  <w:style w:type="character" w:customStyle="1" w:styleId="FooterChar">
    <w:name w:val="Footer Char"/>
    <w:basedOn w:val="DefaultParagraphFont"/>
    <w:link w:val="Footer"/>
    <w:uiPriority w:val="99"/>
    <w:rsid w:val="007B63B4"/>
    <w:rPr>
      <w:rFonts w:ascii="Times New Roman" w:hAnsi="Times New Roman"/>
      <w:sz w:val="24"/>
    </w:rPr>
  </w:style>
  <w:style w:type="character" w:styleId="Hyperlink">
    <w:name w:val="Hyperlink"/>
    <w:basedOn w:val="DefaultParagraphFont"/>
    <w:uiPriority w:val="99"/>
    <w:unhideWhenUsed/>
    <w:rsid w:val="007B63B4"/>
    <w:rPr>
      <w:color w:val="0000FF" w:themeColor="hyperlink"/>
      <w:u w:val="single"/>
    </w:rPr>
  </w:style>
  <w:style w:type="paragraph" w:styleId="BalloonText">
    <w:name w:val="Balloon Text"/>
    <w:basedOn w:val="Normal"/>
    <w:link w:val="BalloonTextChar"/>
    <w:uiPriority w:val="99"/>
    <w:semiHidden/>
    <w:unhideWhenUsed/>
    <w:rsid w:val="00D047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7C2"/>
    <w:rPr>
      <w:rFonts w:ascii="Tahoma" w:hAnsi="Tahoma" w:cs="Tahoma"/>
      <w:sz w:val="16"/>
      <w:szCs w:val="16"/>
    </w:rPr>
  </w:style>
  <w:style w:type="paragraph" w:styleId="NoSpacing">
    <w:name w:val="No Spacing"/>
    <w:link w:val="NoSpacingChar"/>
    <w:uiPriority w:val="1"/>
    <w:qFormat/>
    <w:rsid w:val="00D047C2"/>
    <w:pPr>
      <w:spacing w:after="0" w:line="240" w:lineRule="auto"/>
    </w:pPr>
    <w:rPr>
      <w:rFonts w:eastAsiaTheme="minorEastAsia"/>
    </w:rPr>
  </w:style>
  <w:style w:type="character" w:customStyle="1" w:styleId="NoSpacingChar">
    <w:name w:val="No Spacing Char"/>
    <w:basedOn w:val="DefaultParagraphFont"/>
    <w:link w:val="NoSpacing"/>
    <w:uiPriority w:val="1"/>
    <w:rsid w:val="00D047C2"/>
    <w:rPr>
      <w:rFonts w:eastAsiaTheme="minorEastAsi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ngland.nhs.uk/menta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A6D37550ACE48FDB8AD244524166137"/>
        <w:category>
          <w:name w:val="General"/>
          <w:gallery w:val="placeholder"/>
        </w:category>
        <w:types>
          <w:type w:val="bbPlcHdr"/>
        </w:types>
        <w:behaviors>
          <w:behavior w:val="content"/>
        </w:behaviors>
        <w:guid w:val="{E28BD6B1-AC9B-4360-AEA6-060471C25D84}"/>
      </w:docPartPr>
      <w:docPartBody>
        <w:p w:rsidR="00000000" w:rsidRDefault="00EA380D" w:rsidP="00EA380D">
          <w:pPr>
            <w:pStyle w:val="DA6D37550ACE48FDB8AD244524166137"/>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EA0E0B87FBB44CA6A71F5BD9E04A09F5"/>
        <w:category>
          <w:name w:val="General"/>
          <w:gallery w:val="placeholder"/>
        </w:category>
        <w:types>
          <w:type w:val="bbPlcHdr"/>
        </w:types>
        <w:behaviors>
          <w:behavior w:val="content"/>
        </w:behaviors>
        <w:guid w:val="{4197EBED-8183-4552-934C-ACBA4332F9C8}"/>
      </w:docPartPr>
      <w:docPartBody>
        <w:p w:rsidR="00000000" w:rsidRDefault="00EA380D" w:rsidP="00EA380D">
          <w:pPr>
            <w:pStyle w:val="EA0E0B87FBB44CA6A71F5BD9E04A09F5"/>
          </w:pPr>
          <w:r>
            <w:rPr>
              <w:color w:val="484329" w:themeColor="background2" w:themeShade="3F"/>
              <w:sz w:val="28"/>
              <w:szCs w:val="28"/>
            </w:rPr>
            <w:t>[Type the document subtitle]</w:t>
          </w:r>
        </w:p>
      </w:docPartBody>
    </w:docPart>
    <w:docPart>
      <w:docPartPr>
        <w:name w:val="7EC31CF804B747D18A62A135E43BBDE0"/>
        <w:category>
          <w:name w:val="General"/>
          <w:gallery w:val="placeholder"/>
        </w:category>
        <w:types>
          <w:type w:val="bbPlcHdr"/>
        </w:types>
        <w:behaviors>
          <w:behavior w:val="content"/>
        </w:behaviors>
        <w:guid w:val="{18AAD765-20FC-4140-AAD1-9FA2B69BA643}"/>
      </w:docPartPr>
      <w:docPartBody>
        <w:p w:rsidR="00000000" w:rsidRDefault="00EA380D" w:rsidP="00EA380D">
          <w:pPr>
            <w:pStyle w:val="7EC31CF804B747D18A62A135E43BBDE0"/>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A380D"/>
    <w:rsid w:val="00CD74A8"/>
    <w:rsid w:val="00EA380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DB77A4868646BDB5247C53D9FC52F8">
    <w:name w:val="DDDB77A4868646BDB5247C53D9FC52F8"/>
    <w:rsid w:val="00EA380D"/>
  </w:style>
  <w:style w:type="paragraph" w:customStyle="1" w:styleId="D88D4FA9A0344C0D9B776C960078D4FC">
    <w:name w:val="D88D4FA9A0344C0D9B776C960078D4FC"/>
    <w:rsid w:val="00EA380D"/>
  </w:style>
  <w:style w:type="paragraph" w:customStyle="1" w:styleId="E47C2538B89E4EA59073E95FE4368005">
    <w:name w:val="E47C2538B89E4EA59073E95FE4368005"/>
    <w:rsid w:val="00EA380D"/>
  </w:style>
  <w:style w:type="paragraph" w:customStyle="1" w:styleId="C97C36E675B54CDD827F8F1D992A0D6C">
    <w:name w:val="C97C36E675B54CDD827F8F1D992A0D6C"/>
    <w:rsid w:val="00EA380D"/>
  </w:style>
  <w:style w:type="paragraph" w:customStyle="1" w:styleId="38224CB9749E453390FBCB4D4FCD518F">
    <w:name w:val="38224CB9749E453390FBCB4D4FCD518F"/>
    <w:rsid w:val="00EA380D"/>
  </w:style>
  <w:style w:type="paragraph" w:customStyle="1" w:styleId="9489512E6BFA4C00B10BDB41653E756C">
    <w:name w:val="9489512E6BFA4C00B10BDB41653E756C"/>
    <w:rsid w:val="00EA380D"/>
  </w:style>
  <w:style w:type="paragraph" w:customStyle="1" w:styleId="B9DBD7C57A2C40008292509401D3E4D2">
    <w:name w:val="B9DBD7C57A2C40008292509401D3E4D2"/>
    <w:rsid w:val="00EA380D"/>
  </w:style>
  <w:style w:type="paragraph" w:customStyle="1" w:styleId="8059C19FB6594E56913A750C25D007DC">
    <w:name w:val="8059C19FB6594E56913A750C25D007DC"/>
    <w:rsid w:val="00EA380D"/>
  </w:style>
  <w:style w:type="paragraph" w:customStyle="1" w:styleId="DD30EAAA8D3F48968D5B59476A13AFBF">
    <w:name w:val="DD30EAAA8D3F48968D5B59476A13AFBF"/>
    <w:rsid w:val="00EA380D"/>
  </w:style>
  <w:style w:type="paragraph" w:customStyle="1" w:styleId="CEE70C47F8164BA8B2F7BC05E677C6D5">
    <w:name w:val="CEE70C47F8164BA8B2F7BC05E677C6D5"/>
    <w:rsid w:val="00EA380D"/>
  </w:style>
  <w:style w:type="paragraph" w:customStyle="1" w:styleId="D2E17983B222471FBCCC3CD1241E1E69">
    <w:name w:val="D2E17983B222471FBCCC3CD1241E1E69"/>
    <w:rsid w:val="00EA380D"/>
  </w:style>
  <w:style w:type="paragraph" w:customStyle="1" w:styleId="916CD2E14946440290FC036C94941FD6">
    <w:name w:val="916CD2E14946440290FC036C94941FD6"/>
    <w:rsid w:val="00EA380D"/>
  </w:style>
  <w:style w:type="paragraph" w:customStyle="1" w:styleId="60C99D9C1B674E239F2077C6835E3C4B">
    <w:name w:val="60C99D9C1B674E239F2077C6835E3C4B"/>
    <w:rsid w:val="00EA380D"/>
  </w:style>
  <w:style w:type="paragraph" w:customStyle="1" w:styleId="08BF4662AF66419D87FBE439025272F7">
    <w:name w:val="08BF4662AF66419D87FBE439025272F7"/>
    <w:rsid w:val="00EA380D"/>
  </w:style>
  <w:style w:type="paragraph" w:customStyle="1" w:styleId="46B4EA32B7084A89AC1E26E2D6423E26">
    <w:name w:val="46B4EA32B7084A89AC1E26E2D6423E26"/>
    <w:rsid w:val="00EA380D"/>
  </w:style>
  <w:style w:type="paragraph" w:customStyle="1" w:styleId="1861092CCD5B45808D5CDDF712D47832">
    <w:name w:val="1861092CCD5B45808D5CDDF712D47832"/>
    <w:rsid w:val="00EA380D"/>
  </w:style>
  <w:style w:type="paragraph" w:customStyle="1" w:styleId="30611A3201B943588FC1886F088C636E">
    <w:name w:val="30611A3201B943588FC1886F088C636E"/>
    <w:rsid w:val="00EA380D"/>
  </w:style>
  <w:style w:type="paragraph" w:customStyle="1" w:styleId="D6B18C7981814A408EDA0E6575F08216">
    <w:name w:val="D6B18C7981814A408EDA0E6575F08216"/>
    <w:rsid w:val="00EA380D"/>
  </w:style>
  <w:style w:type="paragraph" w:customStyle="1" w:styleId="DA6D37550ACE48FDB8AD244524166137">
    <w:name w:val="DA6D37550ACE48FDB8AD244524166137"/>
    <w:rsid w:val="00EA380D"/>
  </w:style>
  <w:style w:type="paragraph" w:customStyle="1" w:styleId="EA0E0B87FBB44CA6A71F5BD9E04A09F5">
    <w:name w:val="EA0E0B87FBB44CA6A71F5BD9E04A09F5"/>
    <w:rsid w:val="00EA380D"/>
  </w:style>
  <w:style w:type="paragraph" w:customStyle="1" w:styleId="121975B89F8B49569D10321FE194194E">
    <w:name w:val="121975B89F8B49569D10321FE194194E"/>
    <w:rsid w:val="00EA380D"/>
  </w:style>
  <w:style w:type="paragraph" w:customStyle="1" w:styleId="4B98633208F649CBA03BA21371284D01">
    <w:name w:val="4B98633208F649CBA03BA21371284D01"/>
    <w:rsid w:val="00EA380D"/>
  </w:style>
  <w:style w:type="paragraph" w:customStyle="1" w:styleId="7EC31CF804B747D18A62A135E43BBDE0">
    <w:name w:val="7EC31CF804B747D18A62A135E43BBDE0"/>
    <w:rsid w:val="00EA380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2022-07-20T00:00:00</PublishDate>
  <Abstract>Students ID : 1911491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2960</Words>
  <Characters>16875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Students: Petea kaye Davis</Company>
  <LinksUpToDate>false</LinksUpToDate>
  <CharactersWithSpaces>19796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Students Name:  Petea-Kaye Davis</dc:subject>
  <dc:creator>W [Type the abstract of the document here. The abstract is typically a short summary of the contents of the document. Type the abstract of the document here. The abstract is typically a short summary of the contents of the document.] indows User</dc:creator>
  <cp:lastModifiedBy>Windows User</cp:lastModifiedBy>
  <cp:revision>2</cp:revision>
  <dcterms:created xsi:type="dcterms:W3CDTF">2022-07-22T18:20:00Z</dcterms:created>
  <dcterms:modified xsi:type="dcterms:W3CDTF">2022-07-22T18:20:00Z</dcterms:modified>
</cp:coreProperties>
</file>