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3BB2EB" w14:textId="6ADAA9FF" w:rsidR="00C52B40" w:rsidRPr="00B35FA0" w:rsidRDefault="00524CB2" w:rsidP="00B35FA0">
      <w:pPr>
        <w:jc w:val="both"/>
        <w:rPr>
          <w:rFonts w:cstheme="minorHAnsi"/>
          <w:b/>
          <w:sz w:val="24"/>
          <w:szCs w:val="24"/>
        </w:rPr>
      </w:pPr>
      <w:r w:rsidRPr="00B35FA0">
        <w:rPr>
          <w:rFonts w:cstheme="minorHAnsi"/>
          <w:b/>
          <w:sz w:val="24"/>
          <w:szCs w:val="24"/>
        </w:rPr>
        <w:t>MA module</w:t>
      </w:r>
    </w:p>
    <w:p w14:paraId="324BD2BD" w14:textId="77777777" w:rsidR="00F23C9D" w:rsidRPr="00B35FA0" w:rsidRDefault="00F23C9D" w:rsidP="00B35FA0">
      <w:pPr>
        <w:jc w:val="both"/>
        <w:rPr>
          <w:rFonts w:cstheme="minorHAnsi"/>
          <w:b/>
          <w:sz w:val="24"/>
          <w:szCs w:val="24"/>
        </w:rPr>
      </w:pPr>
    </w:p>
    <w:p w14:paraId="21E06FAF" w14:textId="77777777" w:rsidR="00F23C9D" w:rsidRPr="00B35FA0" w:rsidRDefault="00F23C9D" w:rsidP="00B35FA0">
      <w:pPr>
        <w:jc w:val="both"/>
        <w:rPr>
          <w:rFonts w:cstheme="minorHAnsi"/>
          <w:b/>
          <w:sz w:val="24"/>
          <w:szCs w:val="24"/>
        </w:rPr>
      </w:pPr>
      <w:r w:rsidRPr="00B35FA0">
        <w:rPr>
          <w:rFonts w:cstheme="minorHAnsi"/>
          <w:b/>
          <w:sz w:val="24"/>
          <w:szCs w:val="24"/>
        </w:rPr>
        <w:t>Geoarchaeology Project</w:t>
      </w:r>
    </w:p>
    <w:p w14:paraId="3A2949F1" w14:textId="77777777" w:rsidR="00F23C9D" w:rsidRPr="00B35FA0" w:rsidRDefault="00F23C9D" w:rsidP="00B35FA0">
      <w:pPr>
        <w:jc w:val="both"/>
        <w:rPr>
          <w:rFonts w:cstheme="minorHAnsi"/>
          <w:sz w:val="24"/>
          <w:szCs w:val="24"/>
        </w:rPr>
      </w:pPr>
    </w:p>
    <w:p w14:paraId="5D067352" w14:textId="60855E05" w:rsidR="00F23C9D" w:rsidRPr="00B35FA0" w:rsidRDefault="00524CB2" w:rsidP="00B35FA0">
      <w:pPr>
        <w:jc w:val="both"/>
        <w:rPr>
          <w:rFonts w:cstheme="minorHAnsi"/>
          <w:sz w:val="24"/>
          <w:szCs w:val="24"/>
        </w:rPr>
      </w:pPr>
      <w:r w:rsidRPr="00B35FA0">
        <w:rPr>
          <w:rFonts w:cstheme="minorHAnsi"/>
          <w:sz w:val="24"/>
          <w:szCs w:val="24"/>
        </w:rPr>
        <w:t>You are asked to u</w:t>
      </w:r>
      <w:r w:rsidR="00F23C9D" w:rsidRPr="00B35FA0">
        <w:rPr>
          <w:rFonts w:cstheme="minorHAnsi"/>
          <w:sz w:val="24"/>
          <w:szCs w:val="24"/>
        </w:rPr>
        <w:t xml:space="preserve">ndertake a </w:t>
      </w:r>
      <w:r w:rsidRPr="00B35FA0">
        <w:rPr>
          <w:rFonts w:cstheme="minorHAnsi"/>
          <w:sz w:val="24"/>
          <w:szCs w:val="24"/>
        </w:rPr>
        <w:t>field and laboratory a</w:t>
      </w:r>
      <w:r w:rsidR="00F23C9D" w:rsidRPr="00B35FA0">
        <w:rPr>
          <w:rFonts w:cstheme="minorHAnsi"/>
          <w:sz w:val="24"/>
          <w:szCs w:val="24"/>
        </w:rPr>
        <w:t xml:space="preserve">ssessment of </w:t>
      </w:r>
      <w:r w:rsidRPr="00B35FA0">
        <w:rPr>
          <w:rFonts w:cstheme="minorHAnsi"/>
          <w:sz w:val="24"/>
          <w:szCs w:val="24"/>
        </w:rPr>
        <w:t xml:space="preserve">a sequence of sediments from </w:t>
      </w:r>
      <w:r w:rsidR="0052251C" w:rsidRPr="00B35FA0">
        <w:rPr>
          <w:rFonts w:cstheme="minorHAnsi"/>
          <w:sz w:val="24"/>
          <w:szCs w:val="24"/>
        </w:rPr>
        <w:t>Tan-y-</w:t>
      </w:r>
      <w:proofErr w:type="spellStart"/>
      <w:r w:rsidR="0052251C" w:rsidRPr="00B35FA0">
        <w:rPr>
          <w:rFonts w:cstheme="minorHAnsi"/>
          <w:sz w:val="24"/>
          <w:szCs w:val="24"/>
        </w:rPr>
        <w:t>Bwlch</w:t>
      </w:r>
      <w:proofErr w:type="spellEnd"/>
      <w:r w:rsidR="0052251C" w:rsidRPr="00B35FA0">
        <w:rPr>
          <w:rFonts w:cstheme="minorHAnsi"/>
          <w:sz w:val="24"/>
          <w:szCs w:val="24"/>
        </w:rPr>
        <w:t xml:space="preserve"> </w:t>
      </w:r>
      <w:r w:rsidR="00F23C9D" w:rsidRPr="00B35FA0">
        <w:rPr>
          <w:rFonts w:cstheme="minorHAnsi"/>
          <w:sz w:val="24"/>
          <w:szCs w:val="24"/>
        </w:rPr>
        <w:t xml:space="preserve">in </w:t>
      </w:r>
      <w:proofErr w:type="spellStart"/>
      <w:r w:rsidR="00F23C9D" w:rsidRPr="00B35FA0">
        <w:rPr>
          <w:rFonts w:cstheme="minorHAnsi"/>
          <w:sz w:val="24"/>
          <w:szCs w:val="24"/>
        </w:rPr>
        <w:t>Cerdigion</w:t>
      </w:r>
      <w:proofErr w:type="spellEnd"/>
      <w:r w:rsidR="00F23C9D" w:rsidRPr="00B35FA0">
        <w:rPr>
          <w:rFonts w:cstheme="minorHAnsi"/>
          <w:sz w:val="24"/>
          <w:szCs w:val="24"/>
        </w:rPr>
        <w:t>, West Wales.</w:t>
      </w:r>
    </w:p>
    <w:p w14:paraId="5B8309A6" w14:textId="77777777" w:rsidR="00F23C9D" w:rsidRPr="00B35FA0" w:rsidRDefault="00F23C9D" w:rsidP="00B35FA0">
      <w:pPr>
        <w:pStyle w:val="bullet"/>
        <w:spacing w:before="120"/>
        <w:jc w:val="both"/>
        <w:rPr>
          <w:rFonts w:asciiTheme="minorHAnsi" w:hAnsiTheme="minorHAnsi" w:cstheme="minorHAnsi"/>
          <w:color w:val="000000"/>
        </w:rPr>
      </w:pPr>
    </w:p>
    <w:p w14:paraId="1E215A08" w14:textId="0AEAD3B2" w:rsidR="00B35FA0" w:rsidRPr="00B35FA0" w:rsidRDefault="00B35FA0" w:rsidP="00B35FA0">
      <w:pPr>
        <w:jc w:val="both"/>
        <w:rPr>
          <w:rFonts w:cstheme="minorHAnsi"/>
          <w:color w:val="000000"/>
          <w:sz w:val="24"/>
          <w:szCs w:val="24"/>
        </w:rPr>
      </w:pPr>
      <w:r w:rsidRPr="00B35FA0">
        <w:rPr>
          <w:rFonts w:cstheme="minorHAnsi"/>
          <w:color w:val="000000"/>
          <w:sz w:val="24"/>
          <w:szCs w:val="24"/>
        </w:rPr>
        <w:t xml:space="preserve">Your report should focus on the description of the </w:t>
      </w:r>
      <w:r w:rsidR="00383DB8">
        <w:rPr>
          <w:rFonts w:cstheme="minorHAnsi"/>
          <w:color w:val="000000"/>
          <w:sz w:val="24"/>
          <w:szCs w:val="24"/>
        </w:rPr>
        <w:t xml:space="preserve">data from the geophysical survey and the </w:t>
      </w:r>
      <w:r w:rsidRPr="00B35FA0">
        <w:rPr>
          <w:rFonts w:cstheme="minorHAnsi"/>
          <w:color w:val="000000"/>
          <w:sz w:val="24"/>
          <w:szCs w:val="24"/>
        </w:rPr>
        <w:t>core samples, both visually and through the laboratory analysis (loss on ignition</w:t>
      </w:r>
      <w:r w:rsidR="00383DB8">
        <w:rPr>
          <w:rFonts w:cstheme="minorHAnsi"/>
          <w:color w:val="000000"/>
          <w:sz w:val="24"/>
          <w:szCs w:val="24"/>
        </w:rPr>
        <w:t xml:space="preserve">). </w:t>
      </w:r>
      <w:bookmarkStart w:id="0" w:name="_GoBack"/>
      <w:bookmarkEnd w:id="0"/>
      <w:r w:rsidRPr="00B35FA0">
        <w:rPr>
          <w:rFonts w:cstheme="minorHAnsi"/>
          <w:color w:val="000000"/>
          <w:sz w:val="24"/>
          <w:szCs w:val="24"/>
        </w:rPr>
        <w:t>Your report should attempt to interpret the sequence in terms of the changing environments of deposition at the site and this should be linked (where possible) to the broader context of coastal intertidal sequences in West Wales.</w:t>
      </w:r>
    </w:p>
    <w:p w14:paraId="6C74FEB4" w14:textId="77777777" w:rsidR="00B35FA0" w:rsidRPr="00B35FA0" w:rsidRDefault="00B35FA0" w:rsidP="00B35FA0">
      <w:pPr>
        <w:jc w:val="both"/>
        <w:rPr>
          <w:rFonts w:cstheme="minorHAnsi"/>
          <w:color w:val="000000"/>
          <w:sz w:val="24"/>
          <w:szCs w:val="24"/>
        </w:rPr>
      </w:pPr>
    </w:p>
    <w:p w14:paraId="2B264CB1" w14:textId="77777777" w:rsidR="00F23C9D" w:rsidRPr="00B35FA0" w:rsidRDefault="00F23C9D" w:rsidP="00B35FA0">
      <w:pPr>
        <w:jc w:val="both"/>
        <w:rPr>
          <w:rFonts w:cstheme="minorHAnsi"/>
          <w:color w:val="000000"/>
          <w:sz w:val="24"/>
          <w:szCs w:val="24"/>
        </w:rPr>
      </w:pPr>
      <w:r w:rsidRPr="00B35FA0">
        <w:rPr>
          <w:rFonts w:cstheme="minorHAnsi"/>
          <w:color w:val="000000"/>
          <w:sz w:val="24"/>
          <w:szCs w:val="24"/>
        </w:rPr>
        <w:t xml:space="preserve">The results of the investigation will be </w:t>
      </w:r>
      <w:r w:rsidR="00524CB2" w:rsidRPr="00B35FA0">
        <w:rPr>
          <w:rFonts w:cstheme="minorHAnsi"/>
          <w:color w:val="000000"/>
          <w:sz w:val="24"/>
          <w:szCs w:val="24"/>
        </w:rPr>
        <w:t>presented</w:t>
      </w:r>
      <w:r w:rsidRPr="00B35FA0">
        <w:rPr>
          <w:rFonts w:cstheme="minorHAnsi"/>
          <w:color w:val="000000"/>
          <w:sz w:val="24"/>
          <w:szCs w:val="24"/>
        </w:rPr>
        <w:t xml:space="preserve"> a written report that forms the basis for assessment. This will be </w:t>
      </w:r>
      <w:r w:rsidR="00524CB2" w:rsidRPr="00B35FA0">
        <w:rPr>
          <w:rFonts w:cstheme="minorHAnsi"/>
          <w:color w:val="000000"/>
          <w:sz w:val="24"/>
          <w:szCs w:val="24"/>
        </w:rPr>
        <w:t xml:space="preserve">in the form of </w:t>
      </w:r>
      <w:r w:rsidRPr="00B35FA0">
        <w:rPr>
          <w:rFonts w:cstheme="minorHAnsi"/>
          <w:color w:val="000000"/>
          <w:sz w:val="24"/>
          <w:szCs w:val="24"/>
        </w:rPr>
        <w:t>a</w:t>
      </w:r>
      <w:r w:rsidR="00524CB2" w:rsidRPr="00B35FA0">
        <w:rPr>
          <w:rFonts w:cstheme="minorHAnsi"/>
          <w:color w:val="000000"/>
          <w:sz w:val="24"/>
          <w:szCs w:val="24"/>
        </w:rPr>
        <w:t xml:space="preserve">n assessment report for a developer or archaeological unit. </w:t>
      </w:r>
      <w:r w:rsidRPr="00B35FA0">
        <w:rPr>
          <w:rFonts w:cstheme="minorHAnsi"/>
          <w:color w:val="000000"/>
          <w:sz w:val="24"/>
          <w:szCs w:val="24"/>
        </w:rPr>
        <w:t xml:space="preserve"> In order to complete this task students will be required to show analytical skills, gain experience in report writing and presentation skills, demonstrate inter-personal management skills by group working.</w:t>
      </w:r>
    </w:p>
    <w:p w14:paraId="7758EDE6" w14:textId="77777777" w:rsidR="00F23C9D" w:rsidRPr="00B35FA0" w:rsidRDefault="00F23C9D" w:rsidP="00B35FA0">
      <w:pPr>
        <w:pStyle w:val="heading"/>
        <w:spacing w:before="240" w:after="120"/>
        <w:jc w:val="both"/>
        <w:rPr>
          <w:rFonts w:asciiTheme="minorHAnsi" w:hAnsiTheme="minorHAnsi" w:cstheme="minorHAnsi"/>
          <w:color w:val="000000"/>
        </w:rPr>
      </w:pPr>
      <w:r w:rsidRPr="00B35FA0">
        <w:rPr>
          <w:rFonts w:asciiTheme="minorHAnsi" w:hAnsiTheme="minorHAnsi" w:cstheme="minorHAnsi"/>
          <w:color w:val="000000"/>
        </w:rPr>
        <w:t>The report forms one part of the portfolio and will be 2500 words (or equivalence).</w:t>
      </w:r>
    </w:p>
    <w:p w14:paraId="29AB9B53" w14:textId="3CE5A9DC" w:rsidR="00F23C9D" w:rsidRPr="00B35FA0" w:rsidRDefault="00F23C9D" w:rsidP="00B35FA0">
      <w:pPr>
        <w:jc w:val="both"/>
        <w:rPr>
          <w:rFonts w:cstheme="minorHAnsi"/>
          <w:sz w:val="24"/>
          <w:szCs w:val="24"/>
        </w:rPr>
      </w:pPr>
    </w:p>
    <w:p w14:paraId="51B23ABB" w14:textId="0F204725" w:rsidR="0052251C" w:rsidRPr="00B35FA0" w:rsidRDefault="0052251C" w:rsidP="00B35FA0">
      <w:pPr>
        <w:jc w:val="both"/>
        <w:rPr>
          <w:rFonts w:cstheme="minorHAnsi"/>
          <w:b/>
          <w:sz w:val="24"/>
          <w:szCs w:val="24"/>
        </w:rPr>
      </w:pPr>
      <w:r w:rsidRPr="00B35FA0">
        <w:rPr>
          <w:rFonts w:cstheme="minorHAnsi"/>
          <w:b/>
          <w:sz w:val="24"/>
          <w:szCs w:val="24"/>
        </w:rPr>
        <w:t>References</w:t>
      </w:r>
    </w:p>
    <w:p w14:paraId="5F502B4D" w14:textId="77777777" w:rsidR="0052251C" w:rsidRPr="00B35FA0" w:rsidRDefault="0052251C" w:rsidP="00B35FA0">
      <w:pPr>
        <w:spacing w:after="0"/>
        <w:jc w:val="both"/>
        <w:rPr>
          <w:rFonts w:cstheme="minorHAnsi"/>
          <w:sz w:val="24"/>
          <w:szCs w:val="24"/>
        </w:rPr>
      </w:pPr>
      <w:r w:rsidRPr="00B35FA0">
        <w:rPr>
          <w:rFonts w:cstheme="minorHAnsi"/>
          <w:sz w:val="24"/>
          <w:szCs w:val="24"/>
        </w:rPr>
        <w:t xml:space="preserve">Bates, M.R., Bates, C.R. and Whittaker, J.E. 2007 Mixed method approaches to the investigation and mapping of buried Quaternary deposits:  examples from Southern England.  </w:t>
      </w:r>
      <w:r w:rsidRPr="00B35FA0">
        <w:rPr>
          <w:rFonts w:cstheme="minorHAnsi"/>
          <w:b/>
          <w:i/>
          <w:sz w:val="24"/>
          <w:szCs w:val="24"/>
        </w:rPr>
        <w:t>Archaeological Prospection 14</w:t>
      </w:r>
      <w:r w:rsidRPr="00B35FA0">
        <w:rPr>
          <w:rFonts w:cstheme="minorHAnsi"/>
          <w:sz w:val="24"/>
          <w:szCs w:val="24"/>
        </w:rPr>
        <w:t>, 104-129.</w:t>
      </w:r>
    </w:p>
    <w:p w14:paraId="219A1000" w14:textId="77777777" w:rsidR="0052251C" w:rsidRPr="00B35FA0" w:rsidRDefault="0052251C" w:rsidP="00B35FA0">
      <w:pPr>
        <w:spacing w:after="0"/>
        <w:jc w:val="both"/>
        <w:rPr>
          <w:rFonts w:cstheme="minorHAnsi"/>
          <w:sz w:val="24"/>
          <w:szCs w:val="24"/>
        </w:rPr>
      </w:pPr>
    </w:p>
    <w:p w14:paraId="2E64A079" w14:textId="77777777" w:rsidR="0052251C" w:rsidRPr="00B35FA0" w:rsidRDefault="0052251C" w:rsidP="00B35FA0">
      <w:pPr>
        <w:shd w:val="clear" w:color="auto" w:fill="FFFFFF"/>
        <w:spacing w:after="0"/>
        <w:jc w:val="both"/>
        <w:outlineLvl w:val="0"/>
        <w:rPr>
          <w:rFonts w:eastAsia="Times New Roman" w:cstheme="minorHAnsi"/>
          <w:color w:val="000000"/>
          <w:kern w:val="36"/>
          <w:sz w:val="24"/>
          <w:szCs w:val="24"/>
          <w:lang w:eastAsia="en-GB"/>
        </w:rPr>
      </w:pPr>
      <w:r w:rsidRPr="00B35FA0">
        <w:rPr>
          <w:rFonts w:eastAsia="Times New Roman" w:cstheme="minorHAnsi"/>
          <w:color w:val="000000"/>
          <w:kern w:val="36"/>
          <w:sz w:val="24"/>
          <w:szCs w:val="24"/>
          <w:lang w:eastAsia="en-GB"/>
        </w:rPr>
        <w:t xml:space="preserve">Bates, M.R. and Stafford, E. 2013 </w:t>
      </w:r>
      <w:r w:rsidRPr="00B35FA0">
        <w:rPr>
          <w:rFonts w:eastAsia="Times New Roman" w:cstheme="minorHAnsi"/>
          <w:b/>
          <w:i/>
          <w:color w:val="000000"/>
          <w:kern w:val="36"/>
          <w:sz w:val="24"/>
          <w:szCs w:val="24"/>
          <w:lang w:eastAsia="en-GB"/>
        </w:rPr>
        <w:t>Thames Holocene: A geoarchaeological approach to the investigation of the river floodplain for High Speed 1, 1994-2004</w:t>
      </w:r>
      <w:r w:rsidRPr="00B35FA0">
        <w:rPr>
          <w:rFonts w:eastAsia="Times New Roman" w:cstheme="minorHAnsi"/>
          <w:color w:val="000000"/>
          <w:kern w:val="36"/>
          <w:sz w:val="24"/>
          <w:szCs w:val="24"/>
          <w:lang w:eastAsia="en-GB"/>
        </w:rPr>
        <w:t>.  Wessex Archaeology: Salisbury. 280pp.</w:t>
      </w:r>
    </w:p>
    <w:p w14:paraId="656D1EF1" w14:textId="77777777" w:rsidR="0052251C" w:rsidRPr="00B35FA0" w:rsidRDefault="0052251C" w:rsidP="00B35FA0">
      <w:pPr>
        <w:shd w:val="clear" w:color="auto" w:fill="FFFFFF"/>
        <w:spacing w:after="0"/>
        <w:jc w:val="both"/>
        <w:outlineLvl w:val="0"/>
        <w:rPr>
          <w:rFonts w:eastAsia="Times New Roman" w:cstheme="minorHAnsi"/>
          <w:color w:val="000000"/>
          <w:kern w:val="36"/>
          <w:sz w:val="24"/>
          <w:szCs w:val="24"/>
          <w:lang w:eastAsia="en-GB"/>
        </w:rPr>
      </w:pPr>
    </w:p>
    <w:p w14:paraId="2648ED5A" w14:textId="77777777" w:rsidR="0052251C" w:rsidRPr="00B35FA0" w:rsidRDefault="0052251C" w:rsidP="00B35FA0">
      <w:pPr>
        <w:spacing w:after="0"/>
        <w:jc w:val="both"/>
        <w:rPr>
          <w:rFonts w:eastAsia="Times New Roman" w:cstheme="minorHAnsi"/>
          <w:sz w:val="24"/>
          <w:szCs w:val="24"/>
        </w:rPr>
      </w:pPr>
      <w:r w:rsidRPr="00B35FA0">
        <w:rPr>
          <w:rFonts w:cstheme="minorHAnsi"/>
          <w:color w:val="000000"/>
          <w:sz w:val="24"/>
          <w:szCs w:val="24"/>
        </w:rPr>
        <w:t xml:space="preserve">Bell, M. &amp; Walker, M.J.C. 2005. </w:t>
      </w:r>
      <w:r w:rsidRPr="00B35FA0">
        <w:rPr>
          <w:rFonts w:cstheme="minorHAnsi"/>
          <w:b/>
          <w:i/>
          <w:iCs/>
          <w:color w:val="000000"/>
          <w:sz w:val="24"/>
          <w:szCs w:val="24"/>
        </w:rPr>
        <w:t>Late Quaternary Environmental Change: Physical and Human Perspectives.</w:t>
      </w:r>
      <w:r w:rsidRPr="00B35FA0">
        <w:rPr>
          <w:rFonts w:cstheme="minorHAnsi"/>
          <w:color w:val="000000"/>
          <w:sz w:val="24"/>
          <w:szCs w:val="24"/>
        </w:rPr>
        <w:t xml:space="preserve"> 2nd edition, Addison-Wesley-Longman, London.</w:t>
      </w:r>
    </w:p>
    <w:p w14:paraId="56C65B74" w14:textId="77777777" w:rsidR="0052251C" w:rsidRPr="00B35FA0" w:rsidRDefault="0052251C" w:rsidP="00B35FA0">
      <w:pPr>
        <w:shd w:val="clear" w:color="auto" w:fill="FFFFFF"/>
        <w:spacing w:after="0"/>
        <w:jc w:val="both"/>
        <w:outlineLvl w:val="0"/>
        <w:rPr>
          <w:rFonts w:eastAsia="Times New Roman" w:cstheme="minorHAnsi"/>
          <w:color w:val="000000"/>
          <w:kern w:val="36"/>
          <w:sz w:val="24"/>
          <w:szCs w:val="24"/>
          <w:lang w:eastAsia="en-GB"/>
        </w:rPr>
      </w:pPr>
    </w:p>
    <w:p w14:paraId="12AF4F1B" w14:textId="77777777" w:rsidR="0052251C" w:rsidRPr="00B35FA0" w:rsidRDefault="0052251C" w:rsidP="00B35FA0">
      <w:pPr>
        <w:spacing w:after="0"/>
        <w:jc w:val="both"/>
        <w:rPr>
          <w:rFonts w:cstheme="minorHAnsi"/>
          <w:color w:val="000000"/>
          <w:sz w:val="24"/>
          <w:szCs w:val="24"/>
        </w:rPr>
      </w:pPr>
      <w:r w:rsidRPr="00B35FA0">
        <w:rPr>
          <w:rFonts w:cstheme="minorHAnsi"/>
          <w:color w:val="000000"/>
          <w:sz w:val="24"/>
          <w:szCs w:val="24"/>
        </w:rPr>
        <w:t xml:space="preserve">Goldberg, P. &amp; </w:t>
      </w:r>
      <w:proofErr w:type="spellStart"/>
      <w:r w:rsidRPr="00B35FA0">
        <w:rPr>
          <w:rFonts w:cstheme="minorHAnsi"/>
          <w:color w:val="000000"/>
          <w:sz w:val="24"/>
          <w:szCs w:val="24"/>
        </w:rPr>
        <w:t>Macphail</w:t>
      </w:r>
      <w:proofErr w:type="spellEnd"/>
      <w:r w:rsidRPr="00B35FA0">
        <w:rPr>
          <w:rFonts w:cstheme="minorHAnsi"/>
          <w:color w:val="000000"/>
          <w:sz w:val="24"/>
          <w:szCs w:val="24"/>
        </w:rPr>
        <w:t xml:space="preserve">, R.I. 2006. </w:t>
      </w:r>
      <w:r w:rsidRPr="00B35FA0">
        <w:rPr>
          <w:rFonts w:cstheme="minorHAnsi"/>
          <w:b/>
          <w:i/>
          <w:iCs/>
          <w:color w:val="000000"/>
          <w:sz w:val="24"/>
          <w:szCs w:val="24"/>
        </w:rPr>
        <w:t>Practical &amp; Theoretical Geoarchaeology.</w:t>
      </w:r>
      <w:r w:rsidRPr="00B35FA0">
        <w:rPr>
          <w:rFonts w:cstheme="minorHAnsi"/>
          <w:color w:val="000000"/>
          <w:sz w:val="24"/>
          <w:szCs w:val="24"/>
        </w:rPr>
        <w:t xml:space="preserve"> Blackwell, Oxford.</w:t>
      </w:r>
    </w:p>
    <w:p w14:paraId="6A7A69BE" w14:textId="77777777" w:rsidR="0052251C" w:rsidRPr="00B35FA0" w:rsidRDefault="0052251C" w:rsidP="00B35FA0">
      <w:pPr>
        <w:spacing w:after="0"/>
        <w:jc w:val="both"/>
        <w:rPr>
          <w:rFonts w:eastAsia="Times New Roman" w:cstheme="minorHAnsi"/>
          <w:color w:val="000000"/>
          <w:sz w:val="24"/>
          <w:szCs w:val="24"/>
        </w:rPr>
      </w:pPr>
    </w:p>
    <w:p w14:paraId="75377AEE" w14:textId="77777777" w:rsidR="0052251C" w:rsidRPr="00B35FA0" w:rsidRDefault="0052251C" w:rsidP="00B35FA0">
      <w:pPr>
        <w:spacing w:after="0"/>
        <w:jc w:val="both"/>
        <w:rPr>
          <w:rFonts w:cstheme="minorHAnsi"/>
          <w:color w:val="000000"/>
          <w:sz w:val="24"/>
          <w:szCs w:val="24"/>
        </w:rPr>
      </w:pPr>
      <w:r w:rsidRPr="00B35FA0">
        <w:rPr>
          <w:rFonts w:cstheme="minorHAnsi"/>
          <w:color w:val="000000"/>
          <w:sz w:val="24"/>
          <w:szCs w:val="24"/>
        </w:rPr>
        <w:t xml:space="preserve">Hill, C.L.  &amp; Rapp, G. 1998. </w:t>
      </w:r>
      <w:r w:rsidRPr="00B35FA0">
        <w:rPr>
          <w:rFonts w:cstheme="minorHAnsi"/>
          <w:b/>
          <w:i/>
          <w:iCs/>
          <w:color w:val="000000"/>
          <w:sz w:val="24"/>
          <w:szCs w:val="24"/>
        </w:rPr>
        <w:t>Geoarchaeology - The Earth-Science Approach to Archaeological Interpretation</w:t>
      </w:r>
      <w:r w:rsidRPr="00B35FA0">
        <w:rPr>
          <w:rFonts w:cstheme="minorHAnsi"/>
          <w:b/>
          <w:color w:val="000000"/>
          <w:sz w:val="24"/>
          <w:szCs w:val="24"/>
        </w:rPr>
        <w:t>.</w:t>
      </w:r>
      <w:r w:rsidRPr="00B35FA0">
        <w:rPr>
          <w:rFonts w:cstheme="minorHAnsi"/>
          <w:color w:val="000000"/>
          <w:sz w:val="24"/>
          <w:szCs w:val="24"/>
        </w:rPr>
        <w:t xml:space="preserve"> Yale University Press, New Haven.</w:t>
      </w:r>
    </w:p>
    <w:p w14:paraId="6C7405A7" w14:textId="77777777" w:rsidR="0052251C" w:rsidRPr="00B35FA0" w:rsidRDefault="0052251C" w:rsidP="00B35FA0">
      <w:pPr>
        <w:spacing w:after="0"/>
        <w:jc w:val="both"/>
        <w:rPr>
          <w:rFonts w:eastAsia="Times New Roman" w:cstheme="minorHAnsi"/>
          <w:color w:val="000000"/>
          <w:sz w:val="24"/>
          <w:szCs w:val="24"/>
        </w:rPr>
      </w:pPr>
    </w:p>
    <w:p w14:paraId="3A09C7FC" w14:textId="77777777" w:rsidR="0052251C" w:rsidRPr="00B35FA0" w:rsidRDefault="0052251C" w:rsidP="00B35FA0">
      <w:pPr>
        <w:spacing w:after="0"/>
        <w:jc w:val="both"/>
        <w:rPr>
          <w:rFonts w:eastAsia="Times New Roman" w:cstheme="minorHAnsi"/>
          <w:color w:val="000000"/>
          <w:sz w:val="24"/>
          <w:szCs w:val="24"/>
        </w:rPr>
      </w:pPr>
      <w:r w:rsidRPr="00B35FA0">
        <w:rPr>
          <w:rFonts w:cstheme="minorHAnsi"/>
          <w:color w:val="000000"/>
          <w:sz w:val="24"/>
          <w:szCs w:val="24"/>
        </w:rPr>
        <w:lastRenderedPageBreak/>
        <w:t xml:space="preserve">Lowe, J.J. &amp; Walker M.J.C. 2014. </w:t>
      </w:r>
      <w:r w:rsidRPr="00B35FA0">
        <w:rPr>
          <w:rFonts w:cstheme="minorHAnsi"/>
          <w:b/>
          <w:i/>
          <w:iCs/>
          <w:color w:val="000000"/>
          <w:sz w:val="24"/>
          <w:szCs w:val="24"/>
        </w:rPr>
        <w:t>Reconstructing Quaternary Environments</w:t>
      </w:r>
      <w:r w:rsidRPr="00B35FA0">
        <w:rPr>
          <w:rFonts w:cstheme="minorHAnsi"/>
          <w:b/>
          <w:color w:val="000000"/>
          <w:sz w:val="24"/>
          <w:szCs w:val="24"/>
        </w:rPr>
        <w:t>.</w:t>
      </w:r>
      <w:r w:rsidRPr="00B35FA0">
        <w:rPr>
          <w:rFonts w:cstheme="minorHAnsi"/>
          <w:color w:val="000000"/>
          <w:sz w:val="24"/>
          <w:szCs w:val="24"/>
        </w:rPr>
        <w:t xml:space="preserve"> 3rd edition. Addison-Wesley-Longman, London.</w:t>
      </w:r>
    </w:p>
    <w:p w14:paraId="2449F32D" w14:textId="77777777" w:rsidR="0052251C" w:rsidRPr="00B35FA0" w:rsidRDefault="0052251C" w:rsidP="00B35FA0">
      <w:pPr>
        <w:spacing w:after="0"/>
        <w:jc w:val="both"/>
        <w:rPr>
          <w:rFonts w:cstheme="minorHAnsi"/>
          <w:sz w:val="24"/>
          <w:szCs w:val="24"/>
        </w:rPr>
      </w:pPr>
    </w:p>
    <w:p w14:paraId="4402DD04" w14:textId="77777777" w:rsidR="0052251C" w:rsidRPr="00B35FA0" w:rsidRDefault="0052251C" w:rsidP="00B35FA0">
      <w:pPr>
        <w:pStyle w:val="BodyText"/>
        <w:jc w:val="both"/>
        <w:rPr>
          <w:rFonts w:asciiTheme="minorHAnsi" w:hAnsiTheme="minorHAnsi" w:cstheme="minorHAnsi"/>
        </w:rPr>
      </w:pPr>
      <w:r w:rsidRPr="00B35FA0">
        <w:rPr>
          <w:rFonts w:asciiTheme="minorHAnsi" w:hAnsiTheme="minorHAnsi" w:cstheme="minorHAnsi"/>
        </w:rPr>
        <w:t xml:space="preserve">Waters, M.R. 1992. </w:t>
      </w:r>
      <w:r w:rsidRPr="00B35FA0">
        <w:rPr>
          <w:rFonts w:asciiTheme="minorHAnsi" w:hAnsiTheme="minorHAnsi" w:cstheme="minorHAnsi"/>
          <w:b/>
          <w:i/>
          <w:iCs/>
        </w:rPr>
        <w:t>Principles of Geoarchaeology: A North American Perspective</w:t>
      </w:r>
      <w:r w:rsidRPr="00B35FA0">
        <w:rPr>
          <w:rFonts w:asciiTheme="minorHAnsi" w:hAnsiTheme="minorHAnsi" w:cstheme="minorHAnsi"/>
        </w:rPr>
        <w:t>. University of Arizona Press, Tucson, 20- 24.</w:t>
      </w:r>
    </w:p>
    <w:p w14:paraId="4F88C040" w14:textId="77777777" w:rsidR="0052251C" w:rsidRDefault="0052251C"/>
    <w:sectPr w:rsidR="005225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A62528"/>
    <w:multiLevelType w:val="hybridMultilevel"/>
    <w:tmpl w:val="69926F14"/>
    <w:lvl w:ilvl="0" w:tplc="08090001">
      <w:start w:val="1"/>
      <w:numFmt w:val="bullet"/>
      <w:lvlText w:val=""/>
      <w:lvlJc w:val="left"/>
      <w:pPr>
        <w:tabs>
          <w:tab w:val="num" w:pos="1620"/>
        </w:tabs>
        <w:ind w:left="1620" w:hanging="360"/>
      </w:pPr>
      <w:rPr>
        <w:rFonts w:ascii="Symbol" w:hAnsi="Symbol" w:hint="default"/>
      </w:rPr>
    </w:lvl>
    <w:lvl w:ilvl="1" w:tplc="08090003" w:tentative="1">
      <w:start w:val="1"/>
      <w:numFmt w:val="bullet"/>
      <w:lvlText w:val="o"/>
      <w:lvlJc w:val="left"/>
      <w:pPr>
        <w:tabs>
          <w:tab w:val="num" w:pos="2340"/>
        </w:tabs>
        <w:ind w:left="2340" w:hanging="360"/>
      </w:pPr>
      <w:rPr>
        <w:rFonts w:ascii="Courier New" w:hAnsi="Courier New" w:cs="Courier New" w:hint="default"/>
      </w:rPr>
    </w:lvl>
    <w:lvl w:ilvl="2" w:tplc="08090005" w:tentative="1">
      <w:start w:val="1"/>
      <w:numFmt w:val="bullet"/>
      <w:lvlText w:val=""/>
      <w:lvlJc w:val="left"/>
      <w:pPr>
        <w:tabs>
          <w:tab w:val="num" w:pos="3060"/>
        </w:tabs>
        <w:ind w:left="3060" w:hanging="360"/>
      </w:pPr>
      <w:rPr>
        <w:rFonts w:ascii="Wingdings" w:hAnsi="Wingdings" w:hint="default"/>
      </w:rPr>
    </w:lvl>
    <w:lvl w:ilvl="3" w:tplc="08090001" w:tentative="1">
      <w:start w:val="1"/>
      <w:numFmt w:val="bullet"/>
      <w:lvlText w:val=""/>
      <w:lvlJc w:val="left"/>
      <w:pPr>
        <w:tabs>
          <w:tab w:val="num" w:pos="3780"/>
        </w:tabs>
        <w:ind w:left="3780" w:hanging="360"/>
      </w:pPr>
      <w:rPr>
        <w:rFonts w:ascii="Symbol" w:hAnsi="Symbol" w:hint="default"/>
      </w:rPr>
    </w:lvl>
    <w:lvl w:ilvl="4" w:tplc="08090003" w:tentative="1">
      <w:start w:val="1"/>
      <w:numFmt w:val="bullet"/>
      <w:lvlText w:val="o"/>
      <w:lvlJc w:val="left"/>
      <w:pPr>
        <w:tabs>
          <w:tab w:val="num" w:pos="4500"/>
        </w:tabs>
        <w:ind w:left="4500" w:hanging="360"/>
      </w:pPr>
      <w:rPr>
        <w:rFonts w:ascii="Courier New" w:hAnsi="Courier New" w:cs="Courier New" w:hint="default"/>
      </w:rPr>
    </w:lvl>
    <w:lvl w:ilvl="5" w:tplc="08090005" w:tentative="1">
      <w:start w:val="1"/>
      <w:numFmt w:val="bullet"/>
      <w:lvlText w:val=""/>
      <w:lvlJc w:val="left"/>
      <w:pPr>
        <w:tabs>
          <w:tab w:val="num" w:pos="5220"/>
        </w:tabs>
        <w:ind w:left="5220" w:hanging="360"/>
      </w:pPr>
      <w:rPr>
        <w:rFonts w:ascii="Wingdings" w:hAnsi="Wingdings" w:hint="default"/>
      </w:rPr>
    </w:lvl>
    <w:lvl w:ilvl="6" w:tplc="08090001" w:tentative="1">
      <w:start w:val="1"/>
      <w:numFmt w:val="bullet"/>
      <w:lvlText w:val=""/>
      <w:lvlJc w:val="left"/>
      <w:pPr>
        <w:tabs>
          <w:tab w:val="num" w:pos="5940"/>
        </w:tabs>
        <w:ind w:left="5940" w:hanging="360"/>
      </w:pPr>
      <w:rPr>
        <w:rFonts w:ascii="Symbol" w:hAnsi="Symbol" w:hint="default"/>
      </w:rPr>
    </w:lvl>
    <w:lvl w:ilvl="7" w:tplc="08090003" w:tentative="1">
      <w:start w:val="1"/>
      <w:numFmt w:val="bullet"/>
      <w:lvlText w:val="o"/>
      <w:lvlJc w:val="left"/>
      <w:pPr>
        <w:tabs>
          <w:tab w:val="num" w:pos="6660"/>
        </w:tabs>
        <w:ind w:left="6660" w:hanging="360"/>
      </w:pPr>
      <w:rPr>
        <w:rFonts w:ascii="Courier New" w:hAnsi="Courier New" w:cs="Courier New" w:hint="default"/>
      </w:rPr>
    </w:lvl>
    <w:lvl w:ilvl="8" w:tplc="08090005" w:tentative="1">
      <w:start w:val="1"/>
      <w:numFmt w:val="bullet"/>
      <w:lvlText w:val=""/>
      <w:lvlJc w:val="left"/>
      <w:pPr>
        <w:tabs>
          <w:tab w:val="num" w:pos="7380"/>
        </w:tabs>
        <w:ind w:left="7380" w:hanging="360"/>
      </w:pPr>
      <w:rPr>
        <w:rFonts w:ascii="Wingdings" w:hAnsi="Wingdings" w:hint="default"/>
      </w:rPr>
    </w:lvl>
  </w:abstractNum>
  <w:abstractNum w:abstractNumId="1" w15:restartNumberingAfterBreak="0">
    <w:nsid w:val="6DDA068B"/>
    <w:multiLevelType w:val="hybridMultilevel"/>
    <w:tmpl w:val="6C1E172A"/>
    <w:lvl w:ilvl="0" w:tplc="08090001">
      <w:start w:val="1"/>
      <w:numFmt w:val="bullet"/>
      <w:lvlText w:val=""/>
      <w:lvlJc w:val="left"/>
      <w:pPr>
        <w:tabs>
          <w:tab w:val="num" w:pos="1620"/>
        </w:tabs>
        <w:ind w:left="1620" w:hanging="360"/>
      </w:pPr>
      <w:rPr>
        <w:rFonts w:ascii="Symbol" w:hAnsi="Symbol" w:hint="default"/>
      </w:rPr>
    </w:lvl>
    <w:lvl w:ilvl="1" w:tplc="08090003" w:tentative="1">
      <w:start w:val="1"/>
      <w:numFmt w:val="bullet"/>
      <w:lvlText w:val="o"/>
      <w:lvlJc w:val="left"/>
      <w:pPr>
        <w:tabs>
          <w:tab w:val="num" w:pos="2340"/>
        </w:tabs>
        <w:ind w:left="2340" w:hanging="360"/>
      </w:pPr>
      <w:rPr>
        <w:rFonts w:ascii="Courier New" w:hAnsi="Courier New" w:cs="Courier New" w:hint="default"/>
      </w:rPr>
    </w:lvl>
    <w:lvl w:ilvl="2" w:tplc="08090005" w:tentative="1">
      <w:start w:val="1"/>
      <w:numFmt w:val="bullet"/>
      <w:lvlText w:val=""/>
      <w:lvlJc w:val="left"/>
      <w:pPr>
        <w:tabs>
          <w:tab w:val="num" w:pos="3060"/>
        </w:tabs>
        <w:ind w:left="3060" w:hanging="360"/>
      </w:pPr>
      <w:rPr>
        <w:rFonts w:ascii="Wingdings" w:hAnsi="Wingdings" w:hint="default"/>
      </w:rPr>
    </w:lvl>
    <w:lvl w:ilvl="3" w:tplc="08090001" w:tentative="1">
      <w:start w:val="1"/>
      <w:numFmt w:val="bullet"/>
      <w:lvlText w:val=""/>
      <w:lvlJc w:val="left"/>
      <w:pPr>
        <w:tabs>
          <w:tab w:val="num" w:pos="3780"/>
        </w:tabs>
        <w:ind w:left="3780" w:hanging="360"/>
      </w:pPr>
      <w:rPr>
        <w:rFonts w:ascii="Symbol" w:hAnsi="Symbol" w:hint="default"/>
      </w:rPr>
    </w:lvl>
    <w:lvl w:ilvl="4" w:tplc="08090003" w:tentative="1">
      <w:start w:val="1"/>
      <w:numFmt w:val="bullet"/>
      <w:lvlText w:val="o"/>
      <w:lvlJc w:val="left"/>
      <w:pPr>
        <w:tabs>
          <w:tab w:val="num" w:pos="4500"/>
        </w:tabs>
        <w:ind w:left="4500" w:hanging="360"/>
      </w:pPr>
      <w:rPr>
        <w:rFonts w:ascii="Courier New" w:hAnsi="Courier New" w:cs="Courier New" w:hint="default"/>
      </w:rPr>
    </w:lvl>
    <w:lvl w:ilvl="5" w:tplc="08090005" w:tentative="1">
      <w:start w:val="1"/>
      <w:numFmt w:val="bullet"/>
      <w:lvlText w:val=""/>
      <w:lvlJc w:val="left"/>
      <w:pPr>
        <w:tabs>
          <w:tab w:val="num" w:pos="5220"/>
        </w:tabs>
        <w:ind w:left="5220" w:hanging="360"/>
      </w:pPr>
      <w:rPr>
        <w:rFonts w:ascii="Wingdings" w:hAnsi="Wingdings" w:hint="default"/>
      </w:rPr>
    </w:lvl>
    <w:lvl w:ilvl="6" w:tplc="08090001" w:tentative="1">
      <w:start w:val="1"/>
      <w:numFmt w:val="bullet"/>
      <w:lvlText w:val=""/>
      <w:lvlJc w:val="left"/>
      <w:pPr>
        <w:tabs>
          <w:tab w:val="num" w:pos="5940"/>
        </w:tabs>
        <w:ind w:left="5940" w:hanging="360"/>
      </w:pPr>
      <w:rPr>
        <w:rFonts w:ascii="Symbol" w:hAnsi="Symbol" w:hint="default"/>
      </w:rPr>
    </w:lvl>
    <w:lvl w:ilvl="7" w:tplc="08090003" w:tentative="1">
      <w:start w:val="1"/>
      <w:numFmt w:val="bullet"/>
      <w:lvlText w:val="o"/>
      <w:lvlJc w:val="left"/>
      <w:pPr>
        <w:tabs>
          <w:tab w:val="num" w:pos="6660"/>
        </w:tabs>
        <w:ind w:left="6660" w:hanging="360"/>
      </w:pPr>
      <w:rPr>
        <w:rFonts w:ascii="Courier New" w:hAnsi="Courier New" w:cs="Courier New" w:hint="default"/>
      </w:rPr>
    </w:lvl>
    <w:lvl w:ilvl="8" w:tplc="08090005" w:tentative="1">
      <w:start w:val="1"/>
      <w:numFmt w:val="bullet"/>
      <w:lvlText w:val=""/>
      <w:lvlJc w:val="left"/>
      <w:pPr>
        <w:tabs>
          <w:tab w:val="num" w:pos="7380"/>
        </w:tabs>
        <w:ind w:left="73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C9D"/>
    <w:rsid w:val="00383DB8"/>
    <w:rsid w:val="0052251C"/>
    <w:rsid w:val="00524CB2"/>
    <w:rsid w:val="00B35FA0"/>
    <w:rsid w:val="00C52B40"/>
    <w:rsid w:val="00F23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EC1C7"/>
  <w15:chartTrackingRefBased/>
  <w15:docId w15:val="{309D03AB-EEC7-4261-958D-EA2003B6D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F23C9D"/>
    <w:rPr>
      <w:b/>
      <w:bCs/>
    </w:rPr>
  </w:style>
  <w:style w:type="paragraph" w:customStyle="1" w:styleId="heading">
    <w:name w:val="heading"/>
    <w:basedOn w:val="Normal"/>
    <w:rsid w:val="00F23C9D"/>
    <w:pPr>
      <w:spacing w:after="0" w:line="240" w:lineRule="auto"/>
    </w:pPr>
    <w:rPr>
      <w:rFonts w:ascii="Times New Roman" w:eastAsia="Times New Roman" w:hAnsi="Times New Roman" w:cs="Times New Roman"/>
      <w:sz w:val="24"/>
      <w:szCs w:val="24"/>
      <w:lang w:eastAsia="en-GB"/>
    </w:rPr>
  </w:style>
  <w:style w:type="paragraph" w:customStyle="1" w:styleId="bullet">
    <w:name w:val="bullet"/>
    <w:basedOn w:val="Normal"/>
    <w:rsid w:val="00F23C9D"/>
    <w:pPr>
      <w:spacing w:after="0"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semiHidden/>
    <w:rsid w:val="0052251C"/>
    <w:pPr>
      <w:spacing w:after="0" w:line="240" w:lineRule="auto"/>
    </w:pPr>
    <w:rPr>
      <w:rFonts w:ascii="Gill Sans MT" w:eastAsia="Times New Roman" w:hAnsi="Gill Sans MT" w:cs="Mangal"/>
      <w:color w:val="000000"/>
      <w:sz w:val="24"/>
      <w:szCs w:val="24"/>
      <w:lang w:bidi="hi-IN"/>
    </w:rPr>
  </w:style>
  <w:style w:type="character" w:customStyle="1" w:styleId="BodyTextChar">
    <w:name w:val="Body Text Char"/>
    <w:basedOn w:val="DefaultParagraphFont"/>
    <w:link w:val="BodyText"/>
    <w:semiHidden/>
    <w:rsid w:val="0052251C"/>
    <w:rPr>
      <w:rFonts w:ascii="Gill Sans MT" w:eastAsia="Times New Roman" w:hAnsi="Gill Sans MT" w:cs="Mangal"/>
      <w:color w:val="000000"/>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314</Words>
  <Characters>1795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Bates</dc:creator>
  <cp:keywords/>
  <dc:description/>
  <cp:lastModifiedBy>Martin Bates</cp:lastModifiedBy>
  <cp:revision>2</cp:revision>
  <dcterms:created xsi:type="dcterms:W3CDTF">2019-01-30T10:09:00Z</dcterms:created>
  <dcterms:modified xsi:type="dcterms:W3CDTF">2019-01-30T10:09:00Z</dcterms:modified>
</cp:coreProperties>
</file>