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7801242" w14:textId="77777777" w:rsidR="00A06672" w:rsidRPr="00EA69B9" w:rsidRDefault="00A06672" w:rsidP="003C4CA4">
      <w:pPr>
        <w:pStyle w:val="p2"/>
        <w:rPr>
          <w:color w:val="000000" w:themeColor="text1"/>
        </w:rPr>
      </w:pPr>
      <w:r w:rsidRPr="00EA69B9">
        <w:rPr>
          <w:rStyle w:val="s2"/>
          <w:b w:val="0"/>
          <w:bCs w:val="0"/>
          <w:color w:val="000000" w:themeColor="text1"/>
        </w:rPr>
        <w:t>Student Name:</w:t>
      </w:r>
      <w:r w:rsidRPr="00EA69B9">
        <w:rPr>
          <w:rStyle w:val="s3"/>
          <w:b/>
          <w:bCs/>
          <w:color w:val="000000" w:themeColor="text1"/>
        </w:rPr>
        <w:t xml:space="preserve"> </w:t>
      </w:r>
      <w:proofErr w:type="spellStart"/>
      <w:r w:rsidRPr="00EA69B9">
        <w:rPr>
          <w:rStyle w:val="s3"/>
          <w:color w:val="000000" w:themeColor="text1"/>
        </w:rPr>
        <w:t>Sidra</w:t>
      </w:r>
      <w:proofErr w:type="spellEnd"/>
      <w:r w:rsidRPr="00EA69B9">
        <w:rPr>
          <w:rStyle w:val="s3"/>
          <w:color w:val="000000" w:themeColor="text1"/>
        </w:rPr>
        <w:t xml:space="preserve"> </w:t>
      </w:r>
      <w:proofErr w:type="spellStart"/>
      <w:r w:rsidRPr="00EA69B9">
        <w:rPr>
          <w:rStyle w:val="s3"/>
          <w:color w:val="000000" w:themeColor="text1"/>
        </w:rPr>
        <w:t>Rubab</w:t>
      </w:r>
      <w:proofErr w:type="spellEnd"/>
    </w:p>
    <w:p w14:paraId="57492D24" w14:textId="77777777" w:rsidR="00A06672" w:rsidRPr="00EA69B9" w:rsidRDefault="00A06672" w:rsidP="003C4CA4">
      <w:pPr>
        <w:pStyle w:val="p3"/>
        <w:rPr>
          <w:color w:val="000000" w:themeColor="text1"/>
        </w:rPr>
      </w:pPr>
      <w:r w:rsidRPr="00EA69B9">
        <w:rPr>
          <w:rStyle w:val="s2"/>
          <w:b w:val="0"/>
          <w:bCs w:val="0"/>
          <w:color w:val="000000" w:themeColor="text1"/>
        </w:rPr>
        <w:t>Student Number:</w:t>
      </w:r>
      <w:r w:rsidRPr="00EA69B9">
        <w:rPr>
          <w:rStyle w:val="s3"/>
          <w:b/>
          <w:bCs/>
          <w:color w:val="000000" w:themeColor="text1"/>
        </w:rPr>
        <w:t xml:space="preserve"> </w:t>
      </w:r>
      <w:hyperlink r:id="rId4" w:history="1">
        <w:r w:rsidRPr="00EA69B9">
          <w:rPr>
            <w:rStyle w:val="Hyperlink"/>
            <w:rFonts w:ascii=".SFUI-Regular" w:hAnsi=".SFUI-Regular"/>
            <w:color w:val="000000" w:themeColor="text1"/>
          </w:rPr>
          <w:t>2527184</w:t>
        </w:r>
      </w:hyperlink>
    </w:p>
    <w:p w14:paraId="2D559CA4" w14:textId="77777777" w:rsidR="00A06672" w:rsidRPr="00EA69B9" w:rsidRDefault="00A06672" w:rsidP="003C4CA4">
      <w:pPr>
        <w:pStyle w:val="p3"/>
        <w:rPr>
          <w:color w:val="000000" w:themeColor="text1"/>
        </w:rPr>
      </w:pPr>
      <w:r w:rsidRPr="00EA69B9">
        <w:rPr>
          <w:rStyle w:val="s2"/>
          <w:b w:val="0"/>
          <w:bCs w:val="0"/>
          <w:color w:val="000000" w:themeColor="text1"/>
        </w:rPr>
        <w:t>Programme:</w:t>
      </w:r>
      <w:r w:rsidRPr="00EA69B9">
        <w:rPr>
          <w:rStyle w:val="s3"/>
          <w:b/>
          <w:bCs/>
          <w:color w:val="000000" w:themeColor="text1"/>
        </w:rPr>
        <w:t xml:space="preserve"> </w:t>
      </w:r>
      <w:r w:rsidRPr="00EA69B9">
        <w:rPr>
          <w:rStyle w:val="s3"/>
          <w:color w:val="000000" w:themeColor="text1"/>
        </w:rPr>
        <w:t>Certificate of Higher Education Skills for the Workplace (Health and Social Care)</w:t>
      </w:r>
    </w:p>
    <w:p w14:paraId="4866FBE5" w14:textId="2A662F05" w:rsidR="00A06672" w:rsidRPr="00EA69B9" w:rsidRDefault="00A06672" w:rsidP="003C4CA4">
      <w:pPr>
        <w:pStyle w:val="p3"/>
        <w:rPr>
          <w:color w:val="000000" w:themeColor="text1"/>
        </w:rPr>
      </w:pPr>
      <w:r w:rsidRPr="00EA69B9">
        <w:rPr>
          <w:rStyle w:val="s2"/>
          <w:b w:val="0"/>
          <w:bCs w:val="0"/>
          <w:color w:val="000000" w:themeColor="text1"/>
        </w:rPr>
        <w:t>Module Code &amp; Title:</w:t>
      </w:r>
      <w:r w:rsidRPr="00EA69B9">
        <w:rPr>
          <w:rStyle w:val="s3"/>
          <w:color w:val="000000" w:themeColor="text1"/>
        </w:rPr>
        <w:t xml:space="preserve"> </w:t>
      </w:r>
      <w:r w:rsidR="00EA0CB1">
        <w:rPr>
          <w:rStyle w:val="s3"/>
          <w:color w:val="000000" w:themeColor="text1"/>
        </w:rPr>
        <w:t>LCHS</w:t>
      </w:r>
      <w:r w:rsidR="00193C53">
        <w:rPr>
          <w:rStyle w:val="s3"/>
          <w:color w:val="000000" w:themeColor="text1"/>
        </w:rPr>
        <w:t>4003</w:t>
      </w:r>
      <w:r w:rsidR="00940CAE">
        <w:rPr>
          <w:rStyle w:val="s3"/>
          <w:color w:val="000000" w:themeColor="text1"/>
        </w:rPr>
        <w:t xml:space="preserve"> Introduction to Health &amp; Social Care</w:t>
      </w:r>
    </w:p>
    <w:p w14:paraId="53C1CF37" w14:textId="77A0998C" w:rsidR="00907B57" w:rsidRDefault="00A06672" w:rsidP="00907B57">
      <w:pPr>
        <w:pStyle w:val="p3"/>
        <w:rPr>
          <w:rStyle w:val="s3"/>
          <w:color w:val="000000" w:themeColor="text1"/>
        </w:rPr>
      </w:pPr>
      <w:r w:rsidRPr="00EA69B9">
        <w:rPr>
          <w:rStyle w:val="s2"/>
          <w:b w:val="0"/>
          <w:bCs w:val="0"/>
          <w:color w:val="000000" w:themeColor="text1"/>
        </w:rPr>
        <w:t>Lecturer Name:</w:t>
      </w:r>
      <w:r w:rsidRPr="00EA69B9">
        <w:rPr>
          <w:rStyle w:val="s3"/>
          <w:b/>
          <w:bCs/>
          <w:color w:val="000000" w:themeColor="text1"/>
        </w:rPr>
        <w:t xml:space="preserve"> </w:t>
      </w:r>
      <w:r w:rsidR="007F0FB6">
        <w:rPr>
          <w:rStyle w:val="s3"/>
          <w:color w:val="000000" w:themeColor="text1"/>
        </w:rPr>
        <w:t>Dr Ping Wu</w:t>
      </w:r>
    </w:p>
    <w:p w14:paraId="220187F7" w14:textId="1B0E4063" w:rsidR="00A06672" w:rsidRPr="00907B57" w:rsidRDefault="00A06672" w:rsidP="00907B57">
      <w:pPr>
        <w:pStyle w:val="p3"/>
        <w:rPr>
          <w:rFonts w:ascii=".SFUI-Regular" w:hAnsi=".SFUI-Regular"/>
          <w:color w:val="000000" w:themeColor="text1"/>
        </w:rPr>
      </w:pPr>
      <w:r w:rsidRPr="00EA69B9">
        <w:rPr>
          <w:rStyle w:val="s2"/>
          <w:b w:val="0"/>
          <w:bCs w:val="0"/>
          <w:color w:val="000000" w:themeColor="text1"/>
        </w:rPr>
        <w:t>Assignment Title:</w:t>
      </w:r>
      <w:r w:rsidR="00C97D34">
        <w:rPr>
          <w:rStyle w:val="s2"/>
          <w:b w:val="0"/>
          <w:bCs w:val="0"/>
          <w:color w:val="000000" w:themeColor="text1"/>
        </w:rPr>
        <w:t xml:space="preserve"> Written Assignment (Case Study)</w:t>
      </w:r>
    </w:p>
    <w:p w14:paraId="2A5D1CAB" w14:textId="7862F5E4" w:rsidR="009553D4" w:rsidRDefault="009553D4" w:rsidP="00233CE0">
      <w:pPr>
        <w:pStyle w:val="NormalWeb"/>
        <w:rPr>
          <w:rFonts w:asciiTheme="majorHAnsi" w:hAnsiTheme="majorHAnsi"/>
          <w:sz w:val="22"/>
          <w:szCs w:val="22"/>
        </w:rPr>
      </w:pPr>
    </w:p>
    <w:p w14:paraId="51C19D5B" w14:textId="541341C0" w:rsidR="00CD181E" w:rsidRDefault="00D21063" w:rsidP="00233CE0">
      <w:pPr>
        <w:pStyle w:val="NormalWeb"/>
        <w:rPr>
          <w:rFonts w:asciiTheme="majorHAnsi" w:hAnsiTheme="majorHAnsi"/>
          <w:sz w:val="22"/>
          <w:szCs w:val="22"/>
        </w:rPr>
      </w:pPr>
      <w:r>
        <w:rPr>
          <w:rFonts w:asciiTheme="majorHAnsi" w:hAnsiTheme="majorHAnsi"/>
          <w:sz w:val="22"/>
          <w:szCs w:val="22"/>
        </w:rPr>
        <w:t xml:space="preserve">Case study: </w:t>
      </w:r>
      <w:r w:rsidR="008E1B17">
        <w:rPr>
          <w:rFonts w:asciiTheme="majorHAnsi" w:hAnsiTheme="majorHAnsi"/>
          <w:sz w:val="22"/>
          <w:szCs w:val="22"/>
        </w:rPr>
        <w:t xml:space="preserve">Pneumonia </w:t>
      </w:r>
      <w:r w:rsidR="00DE667E">
        <w:rPr>
          <w:rFonts w:asciiTheme="majorHAnsi" w:hAnsiTheme="majorHAnsi"/>
          <w:sz w:val="22"/>
          <w:szCs w:val="22"/>
        </w:rPr>
        <w:t>– Mrs Thompson</w:t>
      </w:r>
    </w:p>
    <w:p w14:paraId="621965F4" w14:textId="77777777" w:rsidR="00DE667E" w:rsidRDefault="00DE667E" w:rsidP="00233CE0">
      <w:pPr>
        <w:pStyle w:val="NormalWeb"/>
        <w:rPr>
          <w:rFonts w:asciiTheme="majorHAnsi" w:hAnsiTheme="majorHAnsi"/>
          <w:sz w:val="22"/>
          <w:szCs w:val="22"/>
        </w:rPr>
      </w:pPr>
    </w:p>
    <w:p w14:paraId="75A30013" w14:textId="08A073F2" w:rsidR="00DE667E" w:rsidRDefault="00DE667E" w:rsidP="00233CE0">
      <w:pPr>
        <w:pStyle w:val="NormalWeb"/>
        <w:rPr>
          <w:rFonts w:asciiTheme="majorHAnsi" w:hAnsiTheme="majorHAnsi"/>
          <w:sz w:val="22"/>
          <w:szCs w:val="22"/>
        </w:rPr>
      </w:pPr>
      <w:r>
        <w:rPr>
          <w:rFonts w:asciiTheme="majorHAnsi" w:hAnsiTheme="majorHAnsi"/>
          <w:sz w:val="22"/>
          <w:szCs w:val="22"/>
        </w:rPr>
        <w:t xml:space="preserve">Health and social </w:t>
      </w:r>
      <w:r w:rsidR="00E31FC5">
        <w:rPr>
          <w:rFonts w:asciiTheme="majorHAnsi" w:hAnsiTheme="majorHAnsi"/>
          <w:sz w:val="22"/>
          <w:szCs w:val="22"/>
        </w:rPr>
        <w:t xml:space="preserve">care and its role in </w:t>
      </w:r>
      <w:r w:rsidR="00B14914">
        <w:rPr>
          <w:rFonts w:asciiTheme="majorHAnsi" w:hAnsiTheme="majorHAnsi"/>
          <w:sz w:val="22"/>
          <w:szCs w:val="22"/>
        </w:rPr>
        <w:t>care</w:t>
      </w:r>
      <w:r w:rsidR="001A0498">
        <w:rPr>
          <w:rFonts w:asciiTheme="majorHAnsi" w:hAnsiTheme="majorHAnsi"/>
          <w:sz w:val="22"/>
          <w:szCs w:val="22"/>
        </w:rPr>
        <w:t xml:space="preserve"> for pneumonia.</w:t>
      </w:r>
    </w:p>
    <w:p w14:paraId="2A709C9B" w14:textId="77777777" w:rsidR="00AB1334" w:rsidRPr="00F61729" w:rsidRDefault="00AB1334" w:rsidP="00233CE0">
      <w:pPr>
        <w:pStyle w:val="NormalWeb"/>
        <w:rPr>
          <w:rFonts w:asciiTheme="majorHAnsi" w:hAnsiTheme="majorHAnsi"/>
          <w:sz w:val="22"/>
          <w:szCs w:val="22"/>
        </w:rPr>
      </w:pPr>
    </w:p>
    <w:p w14:paraId="5121A0F0"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Health and social care staff play a massive role in keeping service users safe while delivering person-centred care. This gets even more crucial when working with older adults who have overlapping health issues. Mrs Thompson is 84 and was recently discharged home after being treated for pneumonia. She lives by herself in sheltered housing and gets home care visits twice a day. Her recovery is trickier because she has mild dementia, which recently caused her to miss her daily medication and get confused.  </w:t>
      </w:r>
      <w:r>
        <w:rPr>
          <w:rFonts w:asciiTheme="majorHAnsi" w:hAnsiTheme="majorHAnsi"/>
          <w:sz w:val="22"/>
          <w:szCs w:val="22"/>
        </w:rPr>
        <w:t>S</w:t>
      </w:r>
      <w:r w:rsidRPr="00F61729">
        <w:rPr>
          <w:rFonts w:asciiTheme="majorHAnsi" w:hAnsiTheme="majorHAnsi"/>
          <w:sz w:val="22"/>
          <w:szCs w:val="22"/>
        </w:rPr>
        <w:t>he was found outside in the freezing cold without proper clothes on, which triggered a formal safeguarding review by the council. This essay looks at why communication, accurate record-keeping, and multi-agency working are so vital to her care, while applying relevant laws, policies, and theories along the way.</w:t>
      </w:r>
    </w:p>
    <w:p w14:paraId="122808B5"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Without effective communication, person-centred care just doesn't work. Mrs Thompson needs to feel listened to and involved in decisions about her own routine. Because of her mild dementia, staff have to change how they talk to her. Applying </w:t>
      </w:r>
      <w:proofErr w:type="spellStart"/>
      <w:r w:rsidRPr="00F61729">
        <w:rPr>
          <w:rFonts w:asciiTheme="majorHAnsi" w:hAnsiTheme="majorHAnsi"/>
          <w:sz w:val="22"/>
          <w:szCs w:val="22"/>
        </w:rPr>
        <w:t>Kitwood’s</w:t>
      </w:r>
      <w:proofErr w:type="spellEnd"/>
      <w:r w:rsidRPr="00F61729">
        <w:rPr>
          <w:rFonts w:asciiTheme="majorHAnsi" w:hAnsiTheme="majorHAnsi"/>
          <w:sz w:val="22"/>
          <w:szCs w:val="22"/>
        </w:rPr>
        <w:t xml:space="preserve"> (1997) ideas on personhood means looking past her diagnosis and treating her as a proper individual. In practical terms, carers need to slow down. They should talk calmly, use plain English, keep direct eye contact, and give her time to process what they are saying instead of rushing her through her routine.</w:t>
      </w:r>
    </w:p>
    <w:p w14:paraId="24E2C25A"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We can see how this works using </w:t>
      </w:r>
      <w:proofErr w:type="spellStart"/>
      <w:r w:rsidRPr="00F61729">
        <w:rPr>
          <w:rFonts w:asciiTheme="majorHAnsi" w:hAnsiTheme="majorHAnsi"/>
          <w:sz w:val="22"/>
          <w:szCs w:val="22"/>
        </w:rPr>
        <w:t>Barnlund’s</w:t>
      </w:r>
      <w:proofErr w:type="spellEnd"/>
      <w:r w:rsidRPr="00F61729">
        <w:rPr>
          <w:rFonts w:asciiTheme="majorHAnsi" w:hAnsiTheme="majorHAnsi"/>
          <w:sz w:val="22"/>
          <w:szCs w:val="22"/>
        </w:rPr>
        <w:t xml:space="preserve"> Transactional Model of Communication. Rather than viewing communication as just a one-way message, </w:t>
      </w:r>
      <w:proofErr w:type="spellStart"/>
      <w:r w:rsidRPr="00F61729">
        <w:rPr>
          <w:rFonts w:asciiTheme="majorHAnsi" w:hAnsiTheme="majorHAnsi"/>
          <w:sz w:val="22"/>
          <w:szCs w:val="22"/>
        </w:rPr>
        <w:t>Barnlund</w:t>
      </w:r>
      <w:proofErr w:type="spellEnd"/>
      <w:r w:rsidRPr="00F61729">
        <w:rPr>
          <w:rFonts w:asciiTheme="majorHAnsi" w:hAnsiTheme="majorHAnsi"/>
          <w:sz w:val="22"/>
          <w:szCs w:val="22"/>
        </w:rPr>
        <w:t xml:space="preserve"> shows it is an ongoing, two-way loop where both people send and receive signals at the same time. Feedback is </w:t>
      </w:r>
      <w:r>
        <w:rPr>
          <w:rFonts w:asciiTheme="majorHAnsi" w:hAnsiTheme="majorHAnsi"/>
          <w:sz w:val="22"/>
          <w:szCs w:val="22"/>
        </w:rPr>
        <w:t>key because i</w:t>
      </w:r>
      <w:r w:rsidRPr="00F61729">
        <w:rPr>
          <w:rFonts w:asciiTheme="majorHAnsi" w:hAnsiTheme="majorHAnsi"/>
          <w:sz w:val="22"/>
          <w:szCs w:val="22"/>
        </w:rPr>
        <w:t>t lets carers check if Mrs Thompson actually gets what they mean. For example, after explaining when to take a pill, the carer can ask her to say it back in her own words. That quick feedback loop catches any confusion straight away, keeping her safe.</w:t>
      </w:r>
    </w:p>
    <w:p w14:paraId="2A46ABD2"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Non-verbal cues matter just as much. A calm voice, relaxed posture, and warm expressions go a long way in bringing down her anxiety when she feels lost. If she agrees, keeping her family in the loop helps keep things consistent for her. But if her cognitive health drops and she struggles with bigger decisions, staff have to follow the Mental Capacity Act 2005. The starting point under this law is always to assume she has capacity unless a proper assessment proves she doesn't. Any choice made for her has to be the least restrictive option and strictly in her best interest.</w:t>
      </w:r>
    </w:p>
    <w:p w14:paraId="743A68CF"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Alongside this, the Equality Act 2010 protects her from age and disability discrimination. Healthcare services have a legal obligation to make reasonable adjustments to how they communicate with her so she gets the exact same quality of care as anyone else.</w:t>
      </w:r>
    </w:p>
    <w:p w14:paraId="7FD3BF03"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Good administrative habits and accurate</w:t>
      </w:r>
      <w:r>
        <w:rPr>
          <w:rFonts w:asciiTheme="majorHAnsi" w:hAnsiTheme="majorHAnsi"/>
          <w:sz w:val="22"/>
          <w:szCs w:val="22"/>
        </w:rPr>
        <w:t xml:space="preserve"> notes</w:t>
      </w:r>
      <w:r w:rsidRPr="00F61729">
        <w:rPr>
          <w:rFonts w:asciiTheme="majorHAnsi" w:hAnsiTheme="majorHAnsi"/>
          <w:sz w:val="22"/>
          <w:szCs w:val="22"/>
        </w:rPr>
        <w:t xml:space="preserve"> directly impact how well a service user recovers. Look at what happened to Mrs Thompson. Missing her pills for just two days was the direct trigger for her confusion getting worse and the incident outdoors happening.</w:t>
      </w:r>
    </w:p>
    <w:p w14:paraId="7953D2FE"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Proper record-keeping means entries must be clear, objective, dated, and logged right after the event. Personal opinions shouldn't be in the notes unless they are clearly marked as a professional observation. Writing down every missed dose accurately gives her GP and pharmacist the full picture. From there, they can review her meds or arrange practical help like a </w:t>
      </w:r>
      <w:proofErr w:type="spellStart"/>
      <w:r w:rsidRPr="00F61729">
        <w:rPr>
          <w:rFonts w:asciiTheme="majorHAnsi" w:hAnsiTheme="majorHAnsi"/>
          <w:sz w:val="22"/>
          <w:szCs w:val="22"/>
        </w:rPr>
        <w:t>dosette</w:t>
      </w:r>
      <w:proofErr w:type="spellEnd"/>
      <w:r w:rsidRPr="00F61729">
        <w:rPr>
          <w:rFonts w:asciiTheme="majorHAnsi" w:hAnsiTheme="majorHAnsi"/>
          <w:sz w:val="22"/>
          <w:szCs w:val="22"/>
        </w:rPr>
        <w:t xml:space="preserve"> box or automated pill dispenser. Recording the outdoor incident properly also provides clear factual evidence for the local authority's safeguarding review under Section 42 of the Care Act 2014.</w:t>
      </w:r>
    </w:p>
    <w:p w14:paraId="1FD252AF"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Staff also have to stick to strict data privacy rules. Under the Data Protection Act 2018 and UK GDPR, Mrs Thompson’s private info has to stay confidential and can only be shared with staff who directly care for her. Digital files must be locked behind passwords, and physical care logs have to be kept in locked cabinets. On top of that, professional standards like the HCPC Standards of Conduct, Performance and Ethics make clear documentation mandatory. Carers also have to handle practical tasks like booking appointments and updating care plans. Poor paperwork causes missed details, bad decisions, and real harm.</w:t>
      </w:r>
    </w:p>
    <w:p w14:paraId="62BAD984"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Mrs Thompson relies on several different health and social services, so smooth teamwork between agencies is a must. Her team includes her GP, district nurses, domiciliary staff, a pharmacist, and social workers. Everyone has a different job, but they have to coordinate so her care doesn't get messy.</w:t>
      </w:r>
    </w:p>
    <w:p w14:paraId="353783E8"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Her GP oversees her medical prescriptions, while district nurses check her lungs post-pneumonia. Domiciliary carers see her twice daily, putting them in the best spot to notice early physical or cognitive changes. Flagging those shifts immediately to the nurse or GP means problems get caught early before turning into emergencies. Using structured handover frameworks like SBAR (Situation, Background, Assessment, Recommendation) keeps updates concise and accurate.</w:t>
      </w:r>
    </w:p>
    <w:p w14:paraId="2DCC24CA"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Multi-agency care isn't always easy. Teams often deal with incompatible software, different working hours, or confusion around data-sharing limits. Departments can easily slip into silos, leading to doubled-up work or missed tasks. Regular multi-disciplinary meetings, strict communication protocols, and shared online records help solve these issues. Mutual respect across the team is essential so everyone's observations are heard and decisions stay </w:t>
      </w:r>
      <w:proofErr w:type="spellStart"/>
      <w:r w:rsidRPr="00F61729">
        <w:rPr>
          <w:rFonts w:asciiTheme="majorHAnsi" w:hAnsiTheme="majorHAnsi"/>
          <w:sz w:val="22"/>
          <w:szCs w:val="22"/>
        </w:rPr>
        <w:t>centered</w:t>
      </w:r>
      <w:proofErr w:type="spellEnd"/>
      <w:r w:rsidRPr="00F61729">
        <w:rPr>
          <w:rFonts w:asciiTheme="majorHAnsi" w:hAnsiTheme="majorHAnsi"/>
          <w:sz w:val="22"/>
          <w:szCs w:val="22"/>
        </w:rPr>
        <w:t xml:space="preserve"> on Mrs Thompson.</w:t>
      </w:r>
    </w:p>
    <w:p w14:paraId="0BAC1421"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Mrs Thompson’s case shows why communication, admin work, and multi-agency collaboration are critical in health and social care. Adapting how staff talk to her preserves her dignity while supporting her dementia needs. Accurate paperwork keeps everything legally compliant and provides a clear history for future care choices. Joining up multi-agency support stops her care from becoming fragmented. Following frameworks like the Care Act 2014, Mental Capacity Act 2005, Equality Act 2010, and Data Protection Act 2018 ensures she gets safe, coordinated care in her own home.</w:t>
      </w:r>
    </w:p>
    <w:p w14:paraId="638CF90C" w14:textId="77777777" w:rsidR="009553D4" w:rsidRPr="00F61729" w:rsidRDefault="009553D4" w:rsidP="00233CE0">
      <w:pPr>
        <w:pStyle w:val="NormalWeb"/>
        <w:rPr>
          <w:rFonts w:asciiTheme="majorHAnsi" w:hAnsiTheme="majorHAnsi"/>
          <w:sz w:val="22"/>
          <w:szCs w:val="22"/>
        </w:rPr>
      </w:pPr>
    </w:p>
    <w:p w14:paraId="323B3101" w14:textId="77777777" w:rsidR="009553D4" w:rsidRPr="00F61729" w:rsidRDefault="009553D4" w:rsidP="00233CE0">
      <w:pPr>
        <w:pStyle w:val="NormalWeb"/>
        <w:rPr>
          <w:rFonts w:asciiTheme="majorHAnsi" w:hAnsiTheme="majorHAnsi"/>
          <w:sz w:val="22"/>
          <w:szCs w:val="22"/>
        </w:rPr>
      </w:pPr>
    </w:p>
    <w:p w14:paraId="23D3BF91" w14:textId="77777777" w:rsidR="009553D4" w:rsidRPr="00F61729" w:rsidRDefault="009553D4" w:rsidP="00233CE0">
      <w:pPr>
        <w:pStyle w:val="NormalWeb"/>
        <w:rPr>
          <w:rFonts w:asciiTheme="majorHAnsi" w:hAnsiTheme="majorHAnsi"/>
          <w:sz w:val="22"/>
          <w:szCs w:val="22"/>
        </w:rPr>
      </w:pPr>
    </w:p>
    <w:p w14:paraId="0D68ED1A" w14:textId="77777777" w:rsidR="009553D4" w:rsidRPr="00F61729" w:rsidRDefault="009553D4" w:rsidP="00233CE0">
      <w:pPr>
        <w:pStyle w:val="NormalWeb"/>
        <w:rPr>
          <w:rFonts w:asciiTheme="majorHAnsi" w:hAnsiTheme="majorHAnsi"/>
          <w:sz w:val="22"/>
          <w:szCs w:val="22"/>
        </w:rPr>
      </w:pPr>
    </w:p>
    <w:p w14:paraId="0D5CC69B"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Reference List</w:t>
      </w:r>
    </w:p>
    <w:p w14:paraId="3B3BD8B7"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Care Act 2014, c. 23. Available at: </w:t>
      </w:r>
      <w:hyperlink r:id="rId5" w:history="1">
        <w:r w:rsidRPr="00F61729">
          <w:rPr>
            <w:rStyle w:val="Hyperlink"/>
            <w:rFonts w:asciiTheme="majorHAnsi" w:hAnsiTheme="majorHAnsi"/>
            <w:sz w:val="22"/>
            <w:szCs w:val="22"/>
          </w:rPr>
          <w:t>https://www.legislation.gov.uk/ukpga/2014/23/contents</w:t>
        </w:r>
      </w:hyperlink>
      <w:r w:rsidRPr="00F61729">
        <w:rPr>
          <w:rFonts w:asciiTheme="majorHAnsi" w:hAnsiTheme="majorHAnsi"/>
          <w:sz w:val="22"/>
          <w:szCs w:val="22"/>
        </w:rPr>
        <w:t xml:space="preserve"> (Accessed: 4 August 2026).</w:t>
      </w:r>
    </w:p>
    <w:p w14:paraId="01F5A4FF"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Data Protection Act 2018, c. 12. Available at: </w:t>
      </w:r>
      <w:hyperlink r:id="rId6" w:history="1">
        <w:r w:rsidRPr="00F61729">
          <w:rPr>
            <w:rStyle w:val="Hyperlink"/>
            <w:rFonts w:asciiTheme="majorHAnsi" w:hAnsiTheme="majorHAnsi"/>
            <w:sz w:val="22"/>
            <w:szCs w:val="22"/>
          </w:rPr>
          <w:t>https://www.legislation.gov.uk/ukpga/2018/12/contents</w:t>
        </w:r>
      </w:hyperlink>
      <w:r w:rsidRPr="00F61729">
        <w:rPr>
          <w:rFonts w:asciiTheme="majorHAnsi" w:hAnsiTheme="majorHAnsi"/>
          <w:sz w:val="22"/>
          <w:szCs w:val="22"/>
        </w:rPr>
        <w:t xml:space="preserve"> (Accessed: 4 August 2026).</w:t>
      </w:r>
    </w:p>
    <w:p w14:paraId="47C78D2C"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Equality Act 2010, c. 15. Available at: </w:t>
      </w:r>
      <w:hyperlink r:id="rId7" w:history="1">
        <w:r w:rsidRPr="00F61729">
          <w:rPr>
            <w:rStyle w:val="Hyperlink"/>
            <w:rFonts w:asciiTheme="majorHAnsi" w:hAnsiTheme="majorHAnsi"/>
            <w:sz w:val="22"/>
            <w:szCs w:val="22"/>
          </w:rPr>
          <w:t>https://www.legislation.gov.uk/ukpga/2010/15/contents</w:t>
        </w:r>
      </w:hyperlink>
      <w:r w:rsidRPr="00F61729">
        <w:rPr>
          <w:rFonts w:asciiTheme="majorHAnsi" w:hAnsiTheme="majorHAnsi"/>
          <w:sz w:val="22"/>
          <w:szCs w:val="22"/>
        </w:rPr>
        <w:t xml:space="preserve"> (Accessed: 4 August 2026).</w:t>
      </w:r>
    </w:p>
    <w:p w14:paraId="4D7FB637"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Health and Care Professions Council (2024) Standards of Conduct, Performance and Ethics. London: HCPC.</w:t>
      </w:r>
    </w:p>
    <w:p w14:paraId="377E35AC" w14:textId="77777777" w:rsidR="009553D4" w:rsidRPr="00F61729" w:rsidRDefault="009553D4" w:rsidP="00233CE0">
      <w:pPr>
        <w:pStyle w:val="NormalWeb"/>
        <w:rPr>
          <w:rFonts w:asciiTheme="majorHAnsi" w:hAnsiTheme="majorHAnsi"/>
          <w:sz w:val="22"/>
          <w:szCs w:val="22"/>
        </w:rPr>
      </w:pPr>
      <w:proofErr w:type="spellStart"/>
      <w:r w:rsidRPr="00F61729">
        <w:rPr>
          <w:rFonts w:asciiTheme="majorHAnsi" w:hAnsiTheme="majorHAnsi"/>
          <w:sz w:val="22"/>
          <w:szCs w:val="22"/>
        </w:rPr>
        <w:t>Kitwood</w:t>
      </w:r>
      <w:proofErr w:type="spellEnd"/>
      <w:r w:rsidRPr="00F61729">
        <w:rPr>
          <w:rFonts w:asciiTheme="majorHAnsi" w:hAnsiTheme="majorHAnsi"/>
          <w:sz w:val="22"/>
          <w:szCs w:val="22"/>
        </w:rPr>
        <w:t>, T. (1997) Dementia Reconsidered: The Person Comes First. Buckingham: Open University Press.</w:t>
      </w:r>
    </w:p>
    <w:p w14:paraId="7FDDCB37"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 xml:space="preserve">Mental Capacity Act 2005, c. 9. Available at: </w:t>
      </w:r>
      <w:hyperlink r:id="rId8" w:history="1">
        <w:r w:rsidRPr="00F61729">
          <w:rPr>
            <w:rStyle w:val="Hyperlink"/>
            <w:rFonts w:asciiTheme="majorHAnsi" w:hAnsiTheme="majorHAnsi"/>
            <w:sz w:val="22"/>
            <w:szCs w:val="22"/>
          </w:rPr>
          <w:t>https://www.legislation.gov.uk/ukpga/2005/9/contents</w:t>
        </w:r>
      </w:hyperlink>
      <w:r w:rsidRPr="00F61729">
        <w:rPr>
          <w:rFonts w:asciiTheme="majorHAnsi" w:hAnsiTheme="majorHAnsi"/>
          <w:sz w:val="22"/>
          <w:szCs w:val="22"/>
        </w:rPr>
        <w:t xml:space="preserve"> (Accessed: 4 August 2026).</w:t>
      </w:r>
    </w:p>
    <w:p w14:paraId="7ACA04F9" w14:textId="77777777" w:rsidR="009553D4" w:rsidRPr="00F61729" w:rsidRDefault="009553D4" w:rsidP="00233CE0">
      <w:pPr>
        <w:pStyle w:val="NormalWeb"/>
        <w:rPr>
          <w:rFonts w:asciiTheme="majorHAnsi" w:hAnsiTheme="majorHAnsi"/>
          <w:sz w:val="22"/>
          <w:szCs w:val="22"/>
        </w:rPr>
      </w:pPr>
      <w:r w:rsidRPr="00F61729">
        <w:rPr>
          <w:rFonts w:asciiTheme="majorHAnsi" w:hAnsiTheme="majorHAnsi"/>
          <w:sz w:val="22"/>
          <w:szCs w:val="22"/>
        </w:rPr>
        <w:t>NHS England (2023) Records Management Code of Practice. London: NHS England.</w:t>
      </w:r>
    </w:p>
    <w:p w14:paraId="332DB85F" w14:textId="77777777" w:rsidR="009553D4" w:rsidRPr="00F61729" w:rsidRDefault="009553D4" w:rsidP="00233CE0">
      <w:pPr>
        <w:rPr>
          <w:rFonts w:asciiTheme="majorHAnsi" w:hAnsiTheme="majorHAnsi"/>
          <w:sz w:val="22"/>
          <w:szCs w:val="22"/>
        </w:rPr>
      </w:pPr>
    </w:p>
    <w:p w14:paraId="3451997A" w14:textId="77777777" w:rsidR="009553D4" w:rsidRDefault="009553D4"/>
    <w:sectPr w:rsidR="009553D4" w:rsidSect="009553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Semibold">
    <w:altName w:val="Cambria"/>
    <w:panose1 w:val="020B0604020202020204"/>
    <w:charset w:val="00"/>
    <w:family w:val="roman"/>
    <w:pitch w:val="default"/>
  </w:font>
  <w:font w:name=".SFUI-Regular">
    <w:altName w:val="Cambria"/>
    <w:panose1 w:val="020B0604020202020204"/>
    <w:charset w:val="00"/>
    <w:family w:val="roman"/>
    <w:pitch w:val="default"/>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3D4"/>
    <w:rsid w:val="00193C53"/>
    <w:rsid w:val="001A0498"/>
    <w:rsid w:val="005F56AB"/>
    <w:rsid w:val="006B2873"/>
    <w:rsid w:val="007F0FB6"/>
    <w:rsid w:val="008E1B17"/>
    <w:rsid w:val="00907B57"/>
    <w:rsid w:val="00915AFA"/>
    <w:rsid w:val="00940CAE"/>
    <w:rsid w:val="009553D4"/>
    <w:rsid w:val="00A06672"/>
    <w:rsid w:val="00A06FC8"/>
    <w:rsid w:val="00AB1334"/>
    <w:rsid w:val="00B14914"/>
    <w:rsid w:val="00B6749F"/>
    <w:rsid w:val="00BF75DD"/>
    <w:rsid w:val="00C97D34"/>
    <w:rsid w:val="00CD181E"/>
    <w:rsid w:val="00D21063"/>
    <w:rsid w:val="00DE667E"/>
    <w:rsid w:val="00E31FC5"/>
    <w:rsid w:val="00EA0CB1"/>
    <w:rsid w:val="00FB6D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F0C864"/>
  <w15:chartTrackingRefBased/>
  <w15:docId w15:val="{A1A18BFD-F7DD-EA4E-9BC2-669F4947B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53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53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53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53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53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53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3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3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3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53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53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53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53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53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53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3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3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3D4"/>
    <w:rPr>
      <w:rFonts w:eastAsiaTheme="majorEastAsia" w:cstheme="majorBidi"/>
      <w:color w:val="272727" w:themeColor="text1" w:themeTint="D8"/>
    </w:rPr>
  </w:style>
  <w:style w:type="paragraph" w:styleId="Title">
    <w:name w:val="Title"/>
    <w:basedOn w:val="Normal"/>
    <w:next w:val="Normal"/>
    <w:link w:val="TitleChar"/>
    <w:uiPriority w:val="10"/>
    <w:qFormat/>
    <w:rsid w:val="009553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3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3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3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3D4"/>
    <w:pPr>
      <w:spacing w:before="160"/>
      <w:jc w:val="center"/>
    </w:pPr>
    <w:rPr>
      <w:i/>
      <w:iCs/>
      <w:color w:val="404040" w:themeColor="text1" w:themeTint="BF"/>
    </w:rPr>
  </w:style>
  <w:style w:type="character" w:customStyle="1" w:styleId="QuoteChar">
    <w:name w:val="Quote Char"/>
    <w:basedOn w:val="DefaultParagraphFont"/>
    <w:link w:val="Quote"/>
    <w:uiPriority w:val="29"/>
    <w:rsid w:val="009553D4"/>
    <w:rPr>
      <w:i/>
      <w:iCs/>
      <w:color w:val="404040" w:themeColor="text1" w:themeTint="BF"/>
    </w:rPr>
  </w:style>
  <w:style w:type="paragraph" w:styleId="ListParagraph">
    <w:name w:val="List Paragraph"/>
    <w:basedOn w:val="Normal"/>
    <w:uiPriority w:val="34"/>
    <w:qFormat/>
    <w:rsid w:val="009553D4"/>
    <w:pPr>
      <w:ind w:left="720"/>
      <w:contextualSpacing/>
    </w:pPr>
  </w:style>
  <w:style w:type="character" w:styleId="IntenseEmphasis">
    <w:name w:val="Intense Emphasis"/>
    <w:basedOn w:val="DefaultParagraphFont"/>
    <w:uiPriority w:val="21"/>
    <w:qFormat/>
    <w:rsid w:val="009553D4"/>
    <w:rPr>
      <w:i/>
      <w:iCs/>
      <w:color w:val="0F4761" w:themeColor="accent1" w:themeShade="BF"/>
    </w:rPr>
  </w:style>
  <w:style w:type="paragraph" w:styleId="IntenseQuote">
    <w:name w:val="Intense Quote"/>
    <w:basedOn w:val="Normal"/>
    <w:next w:val="Normal"/>
    <w:link w:val="IntenseQuoteChar"/>
    <w:uiPriority w:val="30"/>
    <w:qFormat/>
    <w:rsid w:val="009553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53D4"/>
    <w:rPr>
      <w:i/>
      <w:iCs/>
      <w:color w:val="0F4761" w:themeColor="accent1" w:themeShade="BF"/>
    </w:rPr>
  </w:style>
  <w:style w:type="character" w:styleId="IntenseReference">
    <w:name w:val="Intense Reference"/>
    <w:basedOn w:val="DefaultParagraphFont"/>
    <w:uiPriority w:val="32"/>
    <w:qFormat/>
    <w:rsid w:val="009553D4"/>
    <w:rPr>
      <w:b/>
      <w:bCs/>
      <w:smallCaps/>
      <w:color w:val="0F4761" w:themeColor="accent1" w:themeShade="BF"/>
      <w:spacing w:val="5"/>
    </w:rPr>
  </w:style>
  <w:style w:type="paragraph" w:styleId="NormalWeb">
    <w:name w:val="Normal (Web)"/>
    <w:basedOn w:val="Normal"/>
    <w:uiPriority w:val="99"/>
    <w:unhideWhenUsed/>
    <w:rsid w:val="009553D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9553D4"/>
    <w:rPr>
      <w:color w:val="0000FF"/>
      <w:u w:val="single"/>
    </w:rPr>
  </w:style>
  <w:style w:type="paragraph" w:customStyle="1" w:styleId="p2">
    <w:name w:val="p2"/>
    <w:basedOn w:val="Normal"/>
    <w:rsid w:val="00A06672"/>
    <w:pPr>
      <w:spacing w:before="216" w:after="0" w:line="240" w:lineRule="auto"/>
    </w:pPr>
    <w:rPr>
      <w:rFonts w:ascii=".AppleSystemUIFont" w:hAnsi=".AppleSystemUIFont" w:cs="Times New Roman"/>
      <w:color w:val="E0E0E0"/>
      <w:kern w:val="0"/>
      <w:sz w:val="26"/>
      <w:szCs w:val="26"/>
      <w14:ligatures w14:val="none"/>
    </w:rPr>
  </w:style>
  <w:style w:type="paragraph" w:customStyle="1" w:styleId="p3">
    <w:name w:val="p3"/>
    <w:basedOn w:val="Normal"/>
    <w:rsid w:val="00A06672"/>
    <w:pPr>
      <w:spacing w:after="0" w:line="240" w:lineRule="auto"/>
    </w:pPr>
    <w:rPr>
      <w:rFonts w:ascii=".AppleSystemUIFont" w:hAnsi=".AppleSystemUIFont" w:cs="Times New Roman"/>
      <w:color w:val="E0E0E0"/>
      <w:kern w:val="0"/>
      <w:sz w:val="26"/>
      <w:szCs w:val="26"/>
      <w14:ligatures w14:val="none"/>
    </w:rPr>
  </w:style>
  <w:style w:type="character" w:customStyle="1" w:styleId="s2">
    <w:name w:val="s2"/>
    <w:basedOn w:val="DefaultParagraphFont"/>
    <w:rsid w:val="00A06672"/>
    <w:rPr>
      <w:rFonts w:ascii=".SFUI-Semibold" w:hAnsi=".SFUI-Semibold" w:hint="default"/>
      <w:b/>
      <w:bCs/>
      <w:i w:val="0"/>
      <w:iCs w:val="0"/>
      <w:sz w:val="26"/>
      <w:szCs w:val="26"/>
    </w:rPr>
  </w:style>
  <w:style w:type="character" w:customStyle="1" w:styleId="s3">
    <w:name w:val="s3"/>
    <w:basedOn w:val="DefaultParagraphFont"/>
    <w:rsid w:val="00A06672"/>
    <w:rPr>
      <w:rFonts w:ascii=".SFUI-Regular" w:hAnsi=".SFUI-Regular" w:hint="default"/>
      <w:b w:val="0"/>
      <w:bCs w:val="0"/>
      <w:i w:val="0"/>
      <w:iCs w:val="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05/9/contents" TargetMode="External"/><Relationship Id="rId3" Type="http://schemas.openxmlformats.org/officeDocument/2006/relationships/webSettings" Target="webSettings.xml"/><Relationship Id="rId7" Type="http://schemas.openxmlformats.org/officeDocument/2006/relationships/hyperlink" Target="https://www.legislation.gov.uk/ukpga/2010/15/content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18/12/contents" TargetMode="External"/><Relationship Id="rId5" Type="http://schemas.openxmlformats.org/officeDocument/2006/relationships/hyperlink" Target="https://www.legislation.gov.uk/ukpga/2014/23/contents" TargetMode="External"/><Relationship Id="rId10" Type="http://schemas.openxmlformats.org/officeDocument/2006/relationships/theme" Target="theme/theme1.xml"/><Relationship Id="rId4" Type="http://schemas.openxmlformats.org/officeDocument/2006/relationships/hyperlink" Target="tel:2527184"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1119</Words>
  <Characters>6384</Characters>
  <Application>Microsoft Office Word</Application>
  <DocSecurity>0</DocSecurity>
  <Lines>53</Lines>
  <Paragraphs>14</Paragraphs>
  <ScaleCrop>false</ScaleCrop>
  <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irsahaider912@icloud.com</dc:creator>
  <cp:keywords/>
  <dc:description/>
  <cp:lastModifiedBy>irsahaider912@icloud.com</cp:lastModifiedBy>
  <cp:revision>19</cp:revision>
  <dcterms:created xsi:type="dcterms:W3CDTF">2026-08-07T21:44:00Z</dcterms:created>
  <dcterms:modified xsi:type="dcterms:W3CDTF">2026-08-08T12:36:00Z</dcterms:modified>
</cp:coreProperties>
</file>