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both"/>
        <w:rPr>
          <w:rFonts w:asciiTheme="majorHAnsi" w:hAnsiTheme="majorHAnsi"/>
          <w:b/>
          <w:sz w:val="20"/>
          <w:szCs w:val="20"/>
          <w:lang w:val="en-US"/>
        </w:rPr>
      </w:pPr>
      <w:r>
        <w:rPr>
          <w:rFonts w:asciiTheme="majorHAnsi" w:hAnsiTheme="majorHAnsi"/>
          <w:b/>
          <w:sz w:val="20"/>
          <w:szCs w:val="20"/>
          <w:u w:val="single"/>
          <w:lang w:val="en-US"/>
        </w:rPr>
        <w:t>Assignment title:</w:t>
      </w:r>
      <w:r>
        <w:rPr>
          <w:rFonts w:asciiTheme="majorHAnsi" w:hAnsiTheme="majorHAnsi"/>
          <w:b/>
          <w:sz w:val="20"/>
          <w:szCs w:val="20"/>
          <w:lang w:val="en-US"/>
        </w:rPr>
        <w:t xml:space="preserve"> </w:t>
      </w:r>
      <w:r>
        <w:rPr>
          <w:rFonts w:asciiTheme="majorHAnsi" w:hAnsiTheme="majorHAnsi"/>
          <w:b/>
          <w:sz w:val="20"/>
          <w:szCs w:val="20"/>
        </w:rPr>
        <w:tab/>
      </w:r>
      <w:r>
        <w:rPr>
          <w:rFonts w:asciiTheme="majorHAnsi" w:hAnsiTheme="majorHAnsi"/>
          <w:b/>
          <w:sz w:val="20"/>
          <w:szCs w:val="20"/>
          <w:lang w:val="en-US"/>
        </w:rPr>
        <w:t>Accounting Fundamentals Assessment 1</w:t>
      </w:r>
    </w:p>
    <w:p>
      <w:pPr>
        <w:pStyle w:val="8"/>
        <w:jc w:val="both"/>
        <w:rPr>
          <w:rFonts w:asciiTheme="majorHAnsi" w:hAnsiTheme="majorHAnsi"/>
          <w:b/>
          <w:sz w:val="20"/>
          <w:szCs w:val="20"/>
          <w:lang w:val="en-US"/>
        </w:rPr>
      </w:pPr>
      <w:r>
        <w:rPr>
          <w:rFonts w:asciiTheme="majorHAnsi" w:hAnsiTheme="majorHAnsi"/>
          <w:b/>
          <w:sz w:val="20"/>
          <w:szCs w:val="20"/>
          <w:lang w:val="en-US"/>
        </w:rPr>
        <w:t xml:space="preserve">Programme: </w:t>
      </w:r>
      <w:r>
        <w:rPr>
          <w:rFonts w:asciiTheme="majorHAnsi" w:hAnsiTheme="majorHAnsi"/>
          <w:b/>
          <w:sz w:val="20"/>
          <w:szCs w:val="20"/>
        </w:rPr>
        <w:tab/>
      </w:r>
      <w:r>
        <w:rPr>
          <w:rFonts w:asciiTheme="majorHAnsi" w:hAnsiTheme="majorHAnsi"/>
          <w:b/>
          <w:sz w:val="20"/>
          <w:szCs w:val="20"/>
        </w:rPr>
        <w:tab/>
      </w:r>
      <w:r>
        <w:rPr>
          <w:rFonts w:asciiTheme="majorHAnsi" w:hAnsiTheme="majorHAnsi"/>
          <w:b/>
          <w:sz w:val="20"/>
          <w:szCs w:val="20"/>
          <w:lang w:val="en-US"/>
        </w:rPr>
        <w:t>BA Business Management</w:t>
      </w:r>
    </w:p>
    <w:p>
      <w:pPr>
        <w:pStyle w:val="8"/>
        <w:jc w:val="both"/>
        <w:rPr>
          <w:rFonts w:asciiTheme="majorHAnsi" w:hAnsiTheme="majorHAnsi"/>
          <w:b/>
          <w:sz w:val="20"/>
          <w:szCs w:val="20"/>
          <w:lang w:val="en-US"/>
        </w:rPr>
      </w:pPr>
      <w:r>
        <w:rPr>
          <w:rFonts w:asciiTheme="majorHAnsi" w:hAnsiTheme="majorHAnsi"/>
          <w:b/>
          <w:sz w:val="20"/>
          <w:szCs w:val="20"/>
          <w:lang w:val="en-US"/>
        </w:rPr>
        <w:t xml:space="preserve">Module code: </w:t>
      </w:r>
      <w:r>
        <w:rPr>
          <w:rFonts w:asciiTheme="majorHAnsi" w:hAnsiTheme="majorHAnsi"/>
          <w:b/>
          <w:sz w:val="20"/>
          <w:szCs w:val="20"/>
        </w:rPr>
        <w:tab/>
      </w:r>
      <w:r>
        <w:rPr>
          <w:rFonts w:asciiTheme="majorHAnsi" w:hAnsiTheme="majorHAnsi"/>
          <w:b/>
          <w:sz w:val="20"/>
          <w:szCs w:val="20"/>
        </w:rPr>
        <w:tab/>
      </w:r>
      <w:r>
        <w:rPr>
          <w:rFonts w:asciiTheme="majorHAnsi" w:hAnsiTheme="majorHAnsi"/>
          <w:b/>
          <w:sz w:val="20"/>
          <w:szCs w:val="20"/>
          <w:lang w:val="en-US"/>
        </w:rPr>
        <w:t>LCBB4001</w:t>
      </w:r>
    </w:p>
    <w:p>
      <w:pPr>
        <w:pStyle w:val="8"/>
        <w:rPr>
          <w:rFonts w:asciiTheme="majorHAnsi" w:hAnsiTheme="majorHAnsi"/>
          <w:sz w:val="20"/>
          <w:szCs w:val="20"/>
          <w:lang w:val="en-US"/>
        </w:rPr>
      </w:pPr>
    </w:p>
    <w:p>
      <w:pPr>
        <w:pStyle w:val="8"/>
        <w:rPr>
          <w:rFonts w:asciiTheme="majorHAnsi" w:hAnsiTheme="majorHAnsi"/>
          <w:sz w:val="20"/>
          <w:szCs w:val="20"/>
          <w:lang w:val="en-US"/>
        </w:rPr>
      </w:pPr>
    </w:p>
    <w:p>
      <w:pPr>
        <w:pStyle w:val="8"/>
        <w:rPr>
          <w:rFonts w:asciiTheme="majorHAnsi" w:hAnsiTheme="majorHAnsi"/>
          <w:sz w:val="20"/>
          <w:szCs w:val="20"/>
          <w:lang w:val="en-US"/>
        </w:rPr>
      </w:pPr>
    </w:p>
    <w:p>
      <w:pPr>
        <w:pStyle w:val="8"/>
        <w:jc w:val="both"/>
        <w:rPr>
          <w:rFonts w:asciiTheme="majorHAnsi" w:hAnsiTheme="majorHAnsi"/>
          <w:sz w:val="20"/>
          <w:szCs w:val="20"/>
          <w:lang w:val="en-US"/>
        </w:rPr>
      </w:pPr>
      <w:r>
        <w:rPr>
          <w:rFonts w:asciiTheme="majorHAnsi" w:hAnsiTheme="majorHAnsi"/>
          <w:b/>
          <w:sz w:val="20"/>
          <w:szCs w:val="20"/>
          <w:u w:val="single"/>
          <w:lang w:val="en-US"/>
        </w:rPr>
        <w:t>Student name:</w:t>
      </w:r>
      <w:r>
        <w:rPr>
          <w:rFonts w:asciiTheme="majorHAnsi" w:hAnsiTheme="majorHAnsi"/>
          <w:sz w:val="20"/>
          <w:szCs w:val="20"/>
          <w:lang w:val="en-US"/>
        </w:rPr>
        <w:t xml:space="preserve"> </w:t>
      </w:r>
      <w:r>
        <w:rPr>
          <w:rFonts w:asciiTheme="majorHAnsi" w:hAnsiTheme="majorHAnsi"/>
          <w:sz w:val="20"/>
          <w:szCs w:val="20"/>
          <w:lang w:val="en-US"/>
        </w:rPr>
        <w:tab/>
      </w:r>
      <w:r>
        <w:rPr>
          <w:rFonts w:asciiTheme="majorHAnsi" w:hAnsiTheme="majorHAnsi"/>
          <w:sz w:val="20"/>
          <w:szCs w:val="20"/>
        </w:rPr>
        <w:tab/>
      </w:r>
      <w:r>
        <w:rPr>
          <w:rFonts w:asciiTheme="majorHAnsi" w:hAnsiTheme="majorHAnsi"/>
          <w:b/>
          <w:bCs/>
          <w:sz w:val="24"/>
          <w:szCs w:val="24"/>
          <w:lang w:val="en-US"/>
        </w:rPr>
        <w:t>Bilyana Todorova</w:t>
      </w:r>
    </w:p>
    <w:p>
      <w:pPr>
        <w:pStyle w:val="8"/>
        <w:jc w:val="both"/>
        <w:rPr>
          <w:rFonts w:asciiTheme="majorHAnsi" w:hAnsiTheme="majorHAnsi"/>
          <w:b/>
          <w:bCs/>
          <w:sz w:val="20"/>
          <w:szCs w:val="20"/>
          <w:lang w:val="en-US"/>
        </w:rPr>
      </w:pPr>
      <w:r>
        <w:rPr>
          <w:rFonts w:asciiTheme="majorHAnsi" w:hAnsiTheme="majorHAnsi"/>
          <w:b/>
          <w:sz w:val="20"/>
          <w:szCs w:val="20"/>
          <w:u w:val="single"/>
          <w:lang w:val="en-US"/>
        </w:rPr>
        <w:t>Student Number:</w:t>
      </w:r>
      <w:r>
        <w:rPr>
          <w:rFonts w:asciiTheme="majorHAnsi" w:hAnsiTheme="majorHAnsi"/>
          <w:sz w:val="20"/>
          <w:szCs w:val="20"/>
          <w:lang w:val="en-US"/>
        </w:rPr>
        <w:t xml:space="preserve"> </w:t>
      </w:r>
      <w:r>
        <w:rPr>
          <w:rFonts w:asciiTheme="majorHAnsi" w:hAnsiTheme="majorHAnsi"/>
          <w:sz w:val="20"/>
          <w:szCs w:val="20"/>
        </w:rPr>
        <w:tab/>
      </w:r>
      <w:r>
        <w:rPr>
          <w:rFonts w:asciiTheme="majorHAnsi" w:hAnsiTheme="majorHAnsi"/>
          <w:b/>
          <w:bCs/>
          <w:sz w:val="20"/>
          <w:szCs w:val="20"/>
          <w:lang w:val="en-US"/>
        </w:rPr>
        <w:t>2010307</w:t>
      </w:r>
    </w:p>
    <w:p>
      <w:pPr>
        <w:jc w:val="both"/>
        <w:rPr>
          <w:rFonts w:cs="Arial" w:asciiTheme="majorHAnsi" w:hAnsiTheme="majorHAnsi"/>
          <w:b/>
          <w:bCs/>
          <w:sz w:val="24"/>
          <w:szCs w:val="24"/>
          <w:lang w:val="en-US"/>
        </w:rPr>
      </w:pPr>
      <w:r>
        <w:rPr>
          <w:rFonts w:cs="Arial" w:asciiTheme="majorHAnsi" w:hAnsiTheme="majorHAnsi"/>
          <w:b/>
          <w:bCs/>
          <w:sz w:val="21"/>
          <w:szCs w:val="21"/>
          <w:u w:val="single"/>
          <w:lang w:val="en-US"/>
        </w:rPr>
        <w:t>Lecture Name:</w:t>
      </w:r>
      <w:r>
        <w:rPr>
          <w:rFonts w:cs="Arial" w:asciiTheme="majorHAnsi" w:hAnsiTheme="majorHAnsi"/>
          <w:b/>
          <w:bCs/>
          <w:sz w:val="21"/>
          <w:szCs w:val="21"/>
          <w:u w:val="none"/>
          <w:lang w:val="en-US"/>
        </w:rPr>
        <w:t xml:space="preserve">                Winifred Soribe</w:t>
      </w: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spacing w:after="0"/>
        <w:jc w:val="both"/>
        <w:rPr>
          <w:rFonts w:cs="Arial" w:asciiTheme="majorHAnsi" w:hAnsiTheme="majorHAnsi"/>
          <w:sz w:val="20"/>
          <w:szCs w:val="20"/>
        </w:rPr>
      </w:pPr>
      <w:r>
        <w:rPr>
          <w:rFonts w:cs="Arial" w:asciiTheme="majorHAnsi" w:hAnsiTheme="majorHAnsi"/>
          <w:b/>
          <w:sz w:val="20"/>
          <w:szCs w:val="20"/>
          <w:u w:val="single"/>
          <w:lang w:val="en-US"/>
        </w:rPr>
        <w:t>Declaration:</w:t>
      </w:r>
      <w:r>
        <w:rPr>
          <w:rFonts w:cs="Arial" w:asciiTheme="majorHAnsi" w:hAnsiTheme="majorHAnsi"/>
          <w:sz w:val="20"/>
          <w:szCs w:val="20"/>
          <w:lang w:val="en-US"/>
        </w:rPr>
        <w:t xml:space="preserve"> </w:t>
      </w:r>
      <w:r>
        <w:rPr>
          <w:rFonts w:cs="Arial" w:asciiTheme="majorHAnsi" w:hAnsiTheme="majorHAnsi"/>
          <w:sz w:val="20"/>
          <w:szCs w:val="20"/>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b/>
          <w:sz w:val="20"/>
          <w:szCs w:val="20"/>
          <w:u w:val="single"/>
          <w:lang w:val="en-US"/>
        </w:rPr>
      </w:pPr>
      <w:r>
        <w:rPr>
          <w:rFonts w:cs="Arial" w:asciiTheme="majorHAnsi" w:hAnsiTheme="majorHAnsi"/>
          <w:b/>
          <w:sz w:val="20"/>
          <w:szCs w:val="20"/>
          <w:u w:val="single"/>
          <w:lang w:val="en-US"/>
        </w:rPr>
        <w:t xml:space="preserve">Used literature and scientific materials: </w:t>
      </w:r>
    </w:p>
    <w:p>
      <w:pPr>
        <w:spacing w:after="0"/>
        <w:jc w:val="both"/>
        <w:rPr>
          <w:rFonts w:cs="Arial" w:asciiTheme="majorHAnsi" w:hAnsiTheme="majorHAnsi"/>
          <w:sz w:val="20"/>
          <w:szCs w:val="20"/>
          <w:lang w:val="en-US"/>
        </w:rPr>
      </w:pPr>
      <w:r>
        <w:rPr>
          <w:rFonts w:cs="Arial" w:asciiTheme="majorHAnsi" w:hAnsiTheme="majorHAnsi"/>
          <w:sz w:val="20"/>
          <w:szCs w:val="20"/>
          <w:lang w:val="en-US"/>
        </w:rPr>
        <w:t>1/ McLaney and Atril, (2016) Financial accounting for decision makers, 10</w:t>
      </w:r>
      <w:r>
        <w:rPr>
          <w:rFonts w:cs="Arial" w:asciiTheme="majorHAnsi" w:hAnsiTheme="majorHAnsi"/>
          <w:sz w:val="20"/>
          <w:szCs w:val="20"/>
          <w:vertAlign w:val="superscript"/>
          <w:lang w:val="en-US"/>
        </w:rPr>
        <w:t>th</w:t>
      </w:r>
      <w:r>
        <w:rPr>
          <w:rFonts w:cs="Arial" w:asciiTheme="majorHAnsi" w:hAnsiTheme="majorHAnsi"/>
          <w:sz w:val="20"/>
          <w:szCs w:val="20"/>
          <w:lang w:val="en-US"/>
        </w:rPr>
        <w:t xml:space="preserve"> edition, FT Prentice Hall</w:t>
      </w:r>
    </w:p>
    <w:p>
      <w:pPr>
        <w:spacing w:after="0"/>
        <w:jc w:val="both"/>
        <w:rPr>
          <w:rFonts w:cs="Arial" w:asciiTheme="majorHAnsi" w:hAnsiTheme="majorHAnsi"/>
          <w:sz w:val="20"/>
          <w:szCs w:val="20"/>
          <w:lang w:val="en-US"/>
        </w:rPr>
      </w:pPr>
      <w:r>
        <w:rPr>
          <w:rFonts w:cs="Arial" w:asciiTheme="majorHAnsi" w:hAnsiTheme="majorHAnsi"/>
          <w:sz w:val="20"/>
          <w:szCs w:val="20"/>
          <w:lang w:val="en-US"/>
        </w:rPr>
        <w:t>2/ Wood, F., (2015) Frank Wood’s Business Accounting, 13</w:t>
      </w:r>
      <w:r>
        <w:rPr>
          <w:rFonts w:cs="Arial" w:asciiTheme="majorHAnsi" w:hAnsiTheme="majorHAnsi"/>
          <w:sz w:val="20"/>
          <w:szCs w:val="20"/>
          <w:vertAlign w:val="superscript"/>
          <w:lang w:val="en-US"/>
        </w:rPr>
        <w:t>th</w:t>
      </w:r>
      <w:r>
        <w:rPr>
          <w:rFonts w:cs="Arial" w:asciiTheme="majorHAnsi" w:hAnsiTheme="majorHAnsi"/>
          <w:sz w:val="20"/>
          <w:szCs w:val="20"/>
          <w:lang w:val="en-US"/>
        </w:rPr>
        <w:t xml:space="preserve"> edition, Pearson Education Limited</w:t>
      </w:r>
    </w:p>
    <w:p>
      <w:pPr>
        <w:spacing w:after="0"/>
        <w:jc w:val="both"/>
        <w:rPr>
          <w:rFonts w:cs="Arial" w:asciiTheme="majorHAnsi" w:hAnsiTheme="majorHAnsi"/>
          <w:sz w:val="20"/>
          <w:szCs w:val="20"/>
          <w:lang w:val="en-US"/>
        </w:rPr>
      </w:pPr>
      <w:r>
        <w:rPr>
          <w:rFonts w:cs="Arial" w:asciiTheme="majorHAnsi" w:hAnsiTheme="majorHAnsi"/>
          <w:sz w:val="20"/>
          <w:szCs w:val="20"/>
          <w:lang w:val="en-US"/>
        </w:rPr>
        <w:t>3/ Wikipedia</w:t>
      </w:r>
    </w:p>
    <w:p>
      <w:pPr>
        <w:spacing w:after="0"/>
        <w:jc w:val="both"/>
        <w:rPr>
          <w:rFonts w:cs="Arial" w:asciiTheme="majorHAnsi" w:hAnsiTheme="majorHAnsi"/>
          <w:sz w:val="20"/>
          <w:szCs w:val="20"/>
          <w:lang w:val="en-US"/>
        </w:rPr>
      </w:pPr>
      <w:r>
        <w:rPr>
          <w:rFonts w:cs="Arial" w:asciiTheme="majorHAnsi" w:hAnsiTheme="majorHAnsi"/>
          <w:sz w:val="20"/>
          <w:szCs w:val="20"/>
          <w:lang w:val="en-US"/>
        </w:rPr>
        <w:t xml:space="preserve">4/ </w:t>
      </w:r>
      <w:r>
        <w:fldChar w:fldCharType="begin"/>
      </w:r>
      <w:r>
        <w:instrText xml:space="preserve"> HYPERLINK "http://www.investopedia.com" </w:instrText>
      </w:r>
      <w:r>
        <w:fldChar w:fldCharType="separate"/>
      </w:r>
      <w:r>
        <w:rPr>
          <w:rStyle w:val="5"/>
          <w:rFonts w:cs="Arial" w:asciiTheme="majorHAnsi" w:hAnsiTheme="majorHAnsi"/>
          <w:sz w:val="20"/>
          <w:szCs w:val="20"/>
          <w:lang w:val="en-US"/>
        </w:rPr>
        <w:t>www.investopedia.com</w:t>
      </w:r>
      <w:r>
        <w:rPr>
          <w:rStyle w:val="5"/>
          <w:rFonts w:cs="Arial" w:asciiTheme="majorHAnsi" w:hAnsiTheme="majorHAnsi"/>
          <w:sz w:val="20"/>
          <w:szCs w:val="20"/>
          <w:lang w:val="en-US"/>
        </w:rPr>
        <w:fldChar w:fldCharType="end"/>
      </w: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rPr>
      </w:pPr>
    </w:p>
    <w:p>
      <w:pPr>
        <w:spacing w:after="0"/>
        <w:jc w:val="both"/>
        <w:rPr>
          <w:rFonts w:cs="Arial" w:asciiTheme="majorHAnsi" w:hAnsiTheme="majorHAnsi"/>
          <w:sz w:val="20"/>
          <w:szCs w:val="20"/>
        </w:rPr>
      </w:pPr>
    </w:p>
    <w:p>
      <w:pPr>
        <w:spacing w:after="0"/>
        <w:jc w:val="both"/>
        <w:rPr>
          <w:rFonts w:cs="Arial" w:asciiTheme="majorHAnsi" w:hAnsiTheme="majorHAnsi"/>
          <w:sz w:val="20"/>
          <w:szCs w:val="20"/>
        </w:rPr>
      </w:pPr>
    </w:p>
    <w:p>
      <w:pPr>
        <w:spacing w:after="0"/>
        <w:jc w:val="both"/>
        <w:rPr>
          <w:rFonts w:cs="Arial" w:asciiTheme="majorHAnsi" w:hAnsiTheme="majorHAnsi"/>
          <w:sz w:val="20"/>
          <w:szCs w:val="20"/>
        </w:rPr>
      </w:pPr>
    </w:p>
    <w:p>
      <w:pPr>
        <w:spacing w:after="0"/>
        <w:jc w:val="both"/>
        <w:rPr>
          <w:rFonts w:cs="Arial" w:asciiTheme="majorHAnsi" w:hAnsiTheme="majorHAnsi"/>
          <w:sz w:val="20"/>
          <w:szCs w:val="20"/>
        </w:rPr>
      </w:pPr>
    </w:p>
    <w:p>
      <w:pPr>
        <w:spacing w:after="0"/>
        <w:jc w:val="both"/>
        <w:rPr>
          <w:rFonts w:cs="Arial" w:asciiTheme="majorHAnsi" w:hAnsiTheme="majorHAnsi"/>
          <w:sz w:val="20"/>
          <w:szCs w:val="20"/>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spacing w:after="0"/>
        <w:jc w:val="both"/>
        <w:rPr>
          <w:rFonts w:cs="Arial" w:asciiTheme="majorHAnsi" w:hAnsiTheme="majorHAnsi"/>
          <w:sz w:val="20"/>
          <w:szCs w:val="20"/>
          <w:lang w:val="en-US"/>
        </w:rPr>
      </w:pPr>
    </w:p>
    <w:p>
      <w:pPr>
        <w:jc w:val="both"/>
        <w:rPr>
          <w:rFonts w:cs="Arial" w:asciiTheme="majorHAnsi" w:hAnsiTheme="majorHAnsi"/>
          <w:b/>
          <w:i/>
          <w:sz w:val="20"/>
          <w:szCs w:val="20"/>
          <w:u w:val="single"/>
          <w:lang w:val="en-US"/>
        </w:rPr>
      </w:pPr>
      <w:r>
        <w:rPr>
          <w:rFonts w:cs="Arial" w:asciiTheme="majorHAnsi" w:hAnsiTheme="majorHAnsi"/>
          <w:b/>
          <w:i/>
          <w:sz w:val="20"/>
          <w:szCs w:val="20"/>
          <w:u w:val="single"/>
          <w:lang w:val="en-US"/>
        </w:rPr>
        <w:t>QUESTION 1</w:t>
      </w:r>
    </w:p>
    <w:p>
      <w:pPr>
        <w:autoSpaceDE w:val="0"/>
        <w:autoSpaceDN w:val="0"/>
        <w:adjustRightInd w:val="0"/>
        <w:spacing w:after="0" w:line="240" w:lineRule="auto"/>
        <w:rPr>
          <w:rFonts w:cs="Arial" w:asciiTheme="majorHAnsi" w:hAnsiTheme="majorHAnsi"/>
          <w:color w:val="000000"/>
          <w:sz w:val="20"/>
          <w:szCs w:val="20"/>
        </w:rPr>
      </w:pPr>
      <w:r>
        <w:rPr>
          <w:rFonts w:cs="Arial" w:asciiTheme="majorHAnsi" w:hAnsiTheme="majorHAnsi"/>
          <w:sz w:val="20"/>
          <w:szCs w:val="20"/>
        </w:rPr>
        <w:t>The following balances relate to Eccles plc for the year ended 31st December 2018</w:t>
      </w:r>
    </w:p>
    <w:tbl>
      <w:tblPr>
        <w:tblStyle w:val="7"/>
        <w:tblW w:w="5591" w:type="dxa"/>
        <w:tblInd w:w="55" w:type="dxa"/>
        <w:tblLayout w:type="fixed"/>
        <w:tblCellMar>
          <w:top w:w="0" w:type="dxa"/>
          <w:left w:w="70" w:type="dxa"/>
          <w:bottom w:w="0" w:type="dxa"/>
          <w:right w:w="70" w:type="dxa"/>
        </w:tblCellMar>
      </w:tblPr>
      <w:tblGrid>
        <w:gridCol w:w="3440"/>
        <w:gridCol w:w="970"/>
        <w:gridCol w:w="1181"/>
      </w:tblGrid>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b/>
                <w:bCs/>
                <w:sz w:val="20"/>
                <w:szCs w:val="20"/>
                <w:lang w:eastAsia="bg-BG"/>
              </w:rPr>
            </w:pPr>
            <w:r>
              <w:rPr>
                <w:rFonts w:eastAsia="Times New Roman" w:cs="Arial" w:asciiTheme="majorHAnsi" w:hAnsiTheme="majorHAnsi"/>
                <w:b/>
                <w:bCs/>
                <w:sz w:val="20"/>
                <w:szCs w:val="20"/>
                <w:lang w:eastAsia="bg-BG"/>
              </w:rPr>
              <w:t>Balances for the year ended</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b/>
                <w:bCs/>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bCs/>
                <w:sz w:val="20"/>
                <w:szCs w:val="20"/>
                <w:lang w:eastAsia="bg-BG"/>
              </w:rPr>
            </w:pPr>
            <w:r>
              <w:rPr>
                <w:rFonts w:eastAsia="Times New Roman" w:cs="Arial" w:asciiTheme="majorHAnsi" w:hAnsiTheme="majorHAnsi"/>
                <w:b/>
                <w:bCs/>
                <w:sz w:val="20"/>
                <w:szCs w:val="20"/>
                <w:lang w:eastAsia="bg-BG"/>
              </w:rPr>
              <w:t>31.12.2018</w:t>
            </w: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w:t>
            </w: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£1 ordinary shares</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310000</w:t>
            </w: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10% £1 preference shares</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300000</w:t>
            </w: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4% Debentures</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100000</w:t>
            </w: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Plant and equipment</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632730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Stock at 31st December 2018</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330600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Sales</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826650</w:t>
            </w: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Cost of sales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578650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Debtors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170125</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Trade creditors</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171355</w:t>
            </w: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Cash and bank</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12900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Retained profits at 1st January 2018</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132000</w:t>
            </w: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Ordinary dividend paid</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20000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Preference dividend paid</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30000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Administrative expenses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30000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Interest paid</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2000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Directors remuneration</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5000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Distribution costs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sz w:val="20"/>
                <w:szCs w:val="20"/>
                <w:lang w:eastAsia="bg-BG"/>
              </w:rPr>
            </w:pPr>
            <w:r>
              <w:rPr>
                <w:rFonts w:eastAsia="Times New Roman" w:cs="Arial" w:asciiTheme="majorHAnsi" w:hAnsiTheme="majorHAnsi"/>
                <w:sz w:val="20"/>
                <w:szCs w:val="20"/>
                <w:lang w:eastAsia="bg-BG"/>
              </w:rPr>
              <w:t>28000</w:t>
            </w: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00"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c>
          <w:tcPr>
            <w:tcW w:w="1181"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eastAsia="bg-BG"/>
              </w:rPr>
            </w:pPr>
          </w:p>
        </w:tc>
      </w:tr>
      <w:tr>
        <w:tblPrEx>
          <w:tblLayout w:type="fixed"/>
          <w:tblCellMar>
            <w:top w:w="0" w:type="dxa"/>
            <w:left w:w="70" w:type="dxa"/>
            <w:bottom w:w="0" w:type="dxa"/>
            <w:right w:w="70" w:type="dxa"/>
          </w:tblCellMar>
        </w:tblPrEx>
        <w:trPr>
          <w:trHeight w:val="315" w:hRule="atLeast"/>
        </w:trPr>
        <w:tc>
          <w:tcPr>
            <w:tcW w:w="344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sz w:val="20"/>
                <w:szCs w:val="20"/>
                <w:lang w:val="en-US" w:eastAsia="bg-BG"/>
              </w:rPr>
            </w:pPr>
          </w:p>
        </w:tc>
        <w:tc>
          <w:tcPr>
            <w:tcW w:w="970" w:type="dxa"/>
            <w:tcBorders>
              <w:top w:val="single" w:color="auto" w:sz="4" w:space="0"/>
              <w:left w:val="nil"/>
              <w:bottom w:val="double" w:color="auto" w:sz="6" w:space="0"/>
              <w:right w:val="nil"/>
            </w:tcBorders>
            <w:shd w:val="clear" w:color="auto" w:fill="auto"/>
            <w:vAlign w:val="bottom"/>
          </w:tcPr>
          <w:p>
            <w:pPr>
              <w:spacing w:after="0" w:line="240" w:lineRule="auto"/>
              <w:jc w:val="right"/>
              <w:rPr>
                <w:rFonts w:eastAsia="Times New Roman" w:cs="Arial" w:asciiTheme="majorHAnsi" w:hAnsiTheme="majorHAnsi"/>
                <w:b/>
                <w:bCs/>
                <w:sz w:val="20"/>
                <w:szCs w:val="20"/>
                <w:lang w:eastAsia="bg-BG"/>
              </w:rPr>
            </w:pPr>
            <w:r>
              <w:rPr>
                <w:rFonts w:eastAsia="Times New Roman" w:cs="Arial" w:asciiTheme="majorHAnsi" w:hAnsiTheme="majorHAnsi"/>
                <w:b/>
                <w:bCs/>
                <w:sz w:val="20"/>
                <w:szCs w:val="20"/>
                <w:lang w:eastAsia="bg-BG"/>
              </w:rPr>
              <w:t>1840005</w:t>
            </w:r>
          </w:p>
        </w:tc>
        <w:tc>
          <w:tcPr>
            <w:tcW w:w="1181" w:type="dxa"/>
            <w:tcBorders>
              <w:top w:val="single" w:color="auto" w:sz="4" w:space="0"/>
              <w:left w:val="nil"/>
              <w:bottom w:val="double" w:color="auto" w:sz="6" w:space="0"/>
              <w:right w:val="nil"/>
            </w:tcBorders>
            <w:shd w:val="clear" w:color="auto" w:fill="auto"/>
            <w:vAlign w:val="bottom"/>
          </w:tcPr>
          <w:p>
            <w:pPr>
              <w:spacing w:after="0" w:line="240" w:lineRule="auto"/>
              <w:jc w:val="right"/>
              <w:rPr>
                <w:rFonts w:eastAsia="Times New Roman" w:cs="Arial" w:asciiTheme="majorHAnsi" w:hAnsiTheme="majorHAnsi"/>
                <w:b/>
                <w:bCs/>
                <w:sz w:val="20"/>
                <w:szCs w:val="20"/>
                <w:lang w:eastAsia="bg-BG"/>
              </w:rPr>
            </w:pPr>
            <w:r>
              <w:rPr>
                <w:rFonts w:eastAsia="Times New Roman" w:cs="Arial" w:asciiTheme="majorHAnsi" w:hAnsiTheme="majorHAnsi"/>
                <w:b/>
                <w:bCs/>
                <w:sz w:val="20"/>
                <w:szCs w:val="20"/>
                <w:lang w:eastAsia="bg-BG"/>
              </w:rPr>
              <w:t>1840005</w:t>
            </w:r>
          </w:p>
        </w:tc>
      </w:tr>
    </w:tbl>
    <w:p>
      <w:pPr>
        <w:pStyle w:val="8"/>
        <w:jc w:val="both"/>
        <w:rPr>
          <w:rFonts w:asciiTheme="majorHAnsi" w:hAnsiTheme="majorHAnsi"/>
          <w:sz w:val="20"/>
          <w:szCs w:val="20"/>
        </w:rPr>
      </w:pPr>
    </w:p>
    <w:p>
      <w:pPr>
        <w:pStyle w:val="8"/>
        <w:jc w:val="both"/>
        <w:rPr>
          <w:rFonts w:asciiTheme="majorHAnsi" w:hAnsiTheme="majorHAnsi"/>
          <w:b/>
          <w:color w:val="auto"/>
          <w:sz w:val="20"/>
          <w:szCs w:val="20"/>
          <w:lang w:val="en-US"/>
        </w:rPr>
      </w:pPr>
    </w:p>
    <w:p>
      <w:pPr>
        <w:pStyle w:val="8"/>
        <w:jc w:val="both"/>
        <w:rPr>
          <w:rFonts w:asciiTheme="majorHAnsi" w:hAnsiTheme="majorHAnsi"/>
          <w:b/>
          <w:color w:val="auto"/>
          <w:sz w:val="20"/>
          <w:szCs w:val="20"/>
        </w:rPr>
      </w:pPr>
      <w:r>
        <w:rPr>
          <w:rFonts w:asciiTheme="majorHAnsi" w:hAnsiTheme="majorHAnsi"/>
          <w:b/>
          <w:color w:val="auto"/>
          <w:sz w:val="20"/>
          <w:szCs w:val="20"/>
        </w:rPr>
        <w:t xml:space="preserve">The following information is relevant: </w:t>
      </w:r>
    </w:p>
    <w:p>
      <w:pPr>
        <w:pStyle w:val="8"/>
        <w:jc w:val="both"/>
        <w:rPr>
          <w:rFonts w:asciiTheme="majorHAnsi" w:hAnsiTheme="majorHAnsi"/>
          <w:color w:val="auto"/>
          <w:sz w:val="20"/>
          <w:szCs w:val="20"/>
        </w:rPr>
      </w:pPr>
      <w:r>
        <w:rPr>
          <w:rFonts w:asciiTheme="majorHAnsi" w:hAnsiTheme="majorHAnsi"/>
          <w:color w:val="auto"/>
          <w:sz w:val="20"/>
          <w:szCs w:val="20"/>
        </w:rPr>
        <w:t xml:space="preserve">1. Corporation tax for the year is estimated at £68,000. </w:t>
      </w:r>
    </w:p>
    <w:p>
      <w:pPr>
        <w:pStyle w:val="8"/>
        <w:jc w:val="both"/>
        <w:rPr>
          <w:rFonts w:asciiTheme="majorHAnsi" w:hAnsiTheme="majorHAnsi"/>
          <w:color w:val="auto"/>
          <w:sz w:val="20"/>
          <w:szCs w:val="20"/>
        </w:rPr>
      </w:pPr>
      <w:r>
        <w:rPr>
          <w:rFonts w:asciiTheme="majorHAnsi" w:hAnsiTheme="majorHAnsi"/>
          <w:color w:val="auto"/>
          <w:sz w:val="20"/>
          <w:szCs w:val="20"/>
        </w:rPr>
        <w:t xml:space="preserve">2. Salesmen are owed commission of £3,000 in respect of December sales. It will be paid on 31st January 2019 and has not been recorded in the ledger accounts yet. </w:t>
      </w:r>
    </w:p>
    <w:p>
      <w:pPr>
        <w:pStyle w:val="8"/>
        <w:jc w:val="both"/>
        <w:rPr>
          <w:rFonts w:asciiTheme="majorHAnsi" w:hAnsiTheme="majorHAnsi"/>
          <w:color w:val="auto"/>
          <w:sz w:val="20"/>
          <w:szCs w:val="20"/>
        </w:rPr>
      </w:pPr>
      <w:r>
        <w:rPr>
          <w:rFonts w:asciiTheme="majorHAnsi" w:hAnsiTheme="majorHAnsi"/>
          <w:color w:val="auto"/>
          <w:sz w:val="20"/>
          <w:szCs w:val="20"/>
        </w:rPr>
        <w:t xml:space="preserve">3. Goods valued at £980 were sent to customers on 31st December 2018. Payment is due on 28 February 2019. This has not been recorded in the ledger accounts yet. </w:t>
      </w:r>
    </w:p>
    <w:p>
      <w:pPr>
        <w:pStyle w:val="8"/>
        <w:jc w:val="both"/>
        <w:rPr>
          <w:rFonts w:asciiTheme="majorHAnsi" w:hAnsiTheme="majorHAnsi"/>
          <w:color w:val="auto"/>
          <w:sz w:val="20"/>
          <w:szCs w:val="20"/>
        </w:rPr>
      </w:pPr>
      <w:r>
        <w:rPr>
          <w:rFonts w:asciiTheme="majorHAnsi" w:hAnsiTheme="majorHAnsi"/>
          <w:color w:val="auto"/>
          <w:sz w:val="20"/>
          <w:szCs w:val="20"/>
        </w:rPr>
        <w:t xml:space="preserve">4. The preference shares should be included within equity. </w:t>
      </w:r>
    </w:p>
    <w:p>
      <w:pPr>
        <w:pStyle w:val="8"/>
        <w:jc w:val="both"/>
        <w:rPr>
          <w:rFonts w:asciiTheme="majorHAnsi" w:hAnsiTheme="majorHAnsi"/>
          <w:b/>
          <w:bCs/>
          <w:color w:val="auto"/>
          <w:sz w:val="20"/>
          <w:szCs w:val="20"/>
          <w:lang w:val="en-US"/>
        </w:rPr>
      </w:pPr>
    </w:p>
    <w:p>
      <w:pPr>
        <w:pStyle w:val="8"/>
        <w:jc w:val="both"/>
        <w:rPr>
          <w:rFonts w:asciiTheme="majorHAnsi" w:hAnsiTheme="majorHAnsi"/>
          <w:b/>
          <w:bCs/>
          <w:color w:val="auto"/>
          <w:sz w:val="20"/>
          <w:szCs w:val="20"/>
          <w:lang w:val="en-US"/>
        </w:rPr>
      </w:pPr>
    </w:p>
    <w:p>
      <w:pPr>
        <w:pStyle w:val="8"/>
        <w:jc w:val="both"/>
        <w:rPr>
          <w:rFonts w:asciiTheme="majorHAnsi" w:hAnsiTheme="majorHAnsi"/>
          <w:color w:val="auto"/>
          <w:sz w:val="20"/>
          <w:szCs w:val="20"/>
        </w:rPr>
      </w:pPr>
      <w:r>
        <w:rPr>
          <w:rFonts w:asciiTheme="majorHAnsi" w:hAnsiTheme="majorHAnsi"/>
          <w:b/>
          <w:bCs/>
          <w:color w:val="auto"/>
          <w:sz w:val="20"/>
          <w:szCs w:val="20"/>
        </w:rPr>
        <w:t xml:space="preserve">Required: </w:t>
      </w:r>
    </w:p>
    <w:p>
      <w:pPr>
        <w:pStyle w:val="8"/>
        <w:jc w:val="both"/>
        <w:rPr>
          <w:rFonts w:asciiTheme="majorHAnsi" w:hAnsiTheme="majorHAnsi"/>
          <w:color w:val="auto"/>
          <w:sz w:val="20"/>
          <w:szCs w:val="20"/>
        </w:rPr>
      </w:pPr>
      <w:r>
        <w:rPr>
          <w:rFonts w:asciiTheme="majorHAnsi" w:hAnsiTheme="majorHAnsi"/>
          <w:color w:val="auto"/>
          <w:sz w:val="20"/>
          <w:szCs w:val="20"/>
        </w:rPr>
        <w:t>a) Prepare an income statement for the year ended 31st December 201</w:t>
      </w:r>
      <w:r>
        <w:rPr>
          <w:rFonts w:asciiTheme="majorHAnsi" w:hAnsiTheme="majorHAnsi"/>
          <w:color w:val="auto"/>
          <w:sz w:val="20"/>
          <w:szCs w:val="20"/>
          <w:lang w:val="en-US"/>
        </w:rPr>
        <w:t>8</w:t>
      </w:r>
      <w:r>
        <w:rPr>
          <w:rFonts w:asciiTheme="majorHAnsi" w:hAnsiTheme="majorHAnsi"/>
          <w:color w:val="auto"/>
          <w:sz w:val="20"/>
          <w:szCs w:val="20"/>
        </w:rPr>
        <w:t xml:space="preserve"> for Eccles plc and a statement of financial position as at that date. </w:t>
      </w:r>
      <w:r>
        <w:rPr>
          <w:rFonts w:asciiTheme="majorHAnsi" w:hAnsiTheme="majorHAnsi"/>
          <w:b/>
          <w:bCs/>
          <w:color w:val="auto"/>
          <w:sz w:val="20"/>
          <w:szCs w:val="20"/>
        </w:rPr>
        <w:t xml:space="preserve">[40 marks] </w:t>
      </w:r>
    </w:p>
    <w:p>
      <w:pPr>
        <w:spacing w:after="0"/>
        <w:jc w:val="both"/>
        <w:rPr>
          <w:rFonts w:cs="Arial" w:asciiTheme="majorHAnsi" w:hAnsiTheme="majorHAnsi"/>
          <w:b/>
          <w:bCs/>
          <w:sz w:val="20"/>
          <w:szCs w:val="20"/>
          <w:lang w:val="en-US"/>
        </w:rPr>
      </w:pPr>
      <w:r>
        <w:rPr>
          <w:rFonts w:cs="Arial" w:asciiTheme="majorHAnsi" w:hAnsiTheme="majorHAnsi"/>
          <w:sz w:val="20"/>
          <w:szCs w:val="20"/>
        </w:rPr>
        <w:t xml:space="preserve">b) Explain why the statement of financial position balances. </w:t>
      </w:r>
      <w:r>
        <w:rPr>
          <w:rFonts w:cs="Arial" w:asciiTheme="majorHAnsi" w:hAnsiTheme="majorHAnsi"/>
          <w:b/>
          <w:bCs/>
          <w:sz w:val="20"/>
          <w:szCs w:val="20"/>
        </w:rPr>
        <w:t>[10 marks]</w:t>
      </w:r>
    </w:p>
    <w:p>
      <w:pPr>
        <w:jc w:val="both"/>
        <w:rPr>
          <w:rFonts w:cs="Arial" w:asciiTheme="majorHAnsi" w:hAnsiTheme="majorHAnsi"/>
          <w:bCs/>
          <w:sz w:val="20"/>
          <w:szCs w:val="20"/>
          <w:lang w:val="en-US"/>
        </w:rPr>
      </w:pPr>
    </w:p>
    <w:p>
      <w:pPr>
        <w:jc w:val="both"/>
        <w:rPr>
          <w:rFonts w:cs="Arial" w:asciiTheme="majorHAnsi" w:hAnsiTheme="majorHAnsi"/>
          <w:bCs/>
          <w:sz w:val="20"/>
          <w:szCs w:val="20"/>
          <w:lang w:val="en-US"/>
        </w:rPr>
      </w:pPr>
    </w:p>
    <w:p>
      <w:pPr>
        <w:jc w:val="both"/>
        <w:rPr>
          <w:rFonts w:cs="Arial" w:asciiTheme="majorHAnsi" w:hAnsiTheme="majorHAnsi"/>
          <w:bCs/>
          <w:sz w:val="20"/>
          <w:szCs w:val="20"/>
          <w:lang w:val="en-US"/>
        </w:rPr>
      </w:pPr>
    </w:p>
    <w:p>
      <w:pPr>
        <w:jc w:val="both"/>
        <w:rPr>
          <w:rFonts w:cs="Arial" w:asciiTheme="majorHAnsi" w:hAnsiTheme="majorHAnsi"/>
          <w:bCs/>
          <w:sz w:val="20"/>
          <w:szCs w:val="20"/>
          <w:lang w:val="en-US"/>
        </w:rPr>
      </w:pPr>
    </w:p>
    <w:p>
      <w:pPr>
        <w:jc w:val="both"/>
        <w:rPr>
          <w:rFonts w:cs="Arial" w:asciiTheme="majorHAnsi" w:hAnsiTheme="majorHAnsi"/>
          <w:bCs/>
          <w:sz w:val="20"/>
          <w:szCs w:val="20"/>
          <w:lang w:val="en-US"/>
        </w:rPr>
      </w:pPr>
    </w:p>
    <w:p>
      <w:pPr>
        <w:jc w:val="both"/>
        <w:rPr>
          <w:rFonts w:cs="Arial" w:asciiTheme="majorHAnsi" w:hAnsiTheme="majorHAnsi"/>
          <w:bCs/>
          <w:sz w:val="20"/>
          <w:szCs w:val="20"/>
          <w:lang w:val="en-US"/>
        </w:rPr>
      </w:pPr>
    </w:p>
    <w:p>
      <w:pPr>
        <w:jc w:val="both"/>
        <w:rPr>
          <w:rFonts w:cs="Arial" w:asciiTheme="majorHAnsi" w:hAnsiTheme="majorHAnsi"/>
          <w:bCs/>
          <w:sz w:val="20"/>
          <w:szCs w:val="20"/>
          <w:lang w:val="en-US"/>
        </w:rPr>
      </w:pPr>
    </w:p>
    <w:p>
      <w:pPr>
        <w:jc w:val="both"/>
        <w:rPr>
          <w:rFonts w:cs="Arial" w:asciiTheme="majorHAnsi" w:hAnsiTheme="majorHAnsi"/>
          <w:b/>
          <w:bCs/>
          <w:i/>
          <w:sz w:val="20"/>
          <w:szCs w:val="20"/>
          <w:u w:val="single"/>
          <w:lang w:val="en-US"/>
        </w:rPr>
      </w:pPr>
      <w:r>
        <w:rPr>
          <w:rFonts w:cs="Arial" w:asciiTheme="majorHAnsi" w:hAnsiTheme="majorHAnsi"/>
          <w:b/>
          <w:bCs/>
          <w:i/>
          <w:sz w:val="20"/>
          <w:szCs w:val="20"/>
          <w:u w:val="single"/>
          <w:lang w:val="en-US"/>
        </w:rPr>
        <w:t>SOLUTION OF QUESTION 1</w:t>
      </w:r>
    </w:p>
    <w:tbl>
      <w:tblPr>
        <w:tblStyle w:val="7"/>
        <w:tblW w:w="7744" w:type="dxa"/>
        <w:tblInd w:w="55" w:type="dxa"/>
        <w:tblLayout w:type="fixed"/>
        <w:tblCellMar>
          <w:top w:w="0" w:type="dxa"/>
          <w:left w:w="70" w:type="dxa"/>
          <w:bottom w:w="0" w:type="dxa"/>
          <w:right w:w="70" w:type="dxa"/>
        </w:tblCellMar>
      </w:tblPr>
      <w:tblGrid>
        <w:gridCol w:w="6042"/>
        <w:gridCol w:w="851"/>
        <w:gridCol w:w="851"/>
      </w:tblGrid>
      <w:tr>
        <w:tblPrEx>
          <w:tblLayout w:type="fixed"/>
          <w:tblCellMar>
            <w:top w:w="0" w:type="dxa"/>
            <w:left w:w="70" w:type="dxa"/>
            <w:bottom w:w="0" w:type="dxa"/>
            <w:right w:w="70" w:type="dxa"/>
          </w:tblCellMar>
        </w:tblPrEx>
        <w:trPr>
          <w:trHeight w:val="315" w:hRule="atLeast"/>
        </w:trPr>
        <w:tc>
          <w:tcPr>
            <w:tcW w:w="7744" w:type="dxa"/>
            <w:gridSpan w:val="3"/>
            <w:tcBorders>
              <w:top w:val="single" w:color="auto" w:sz="8" w:space="0"/>
              <w:left w:val="single" w:color="auto" w:sz="8" w:space="0"/>
              <w:bottom w:val="single" w:color="auto" w:sz="8" w:space="0"/>
              <w:right w:val="single" w:color="000000" w:sz="8" w:space="0"/>
            </w:tcBorders>
            <w:shd w:val="clear" w:color="auto" w:fill="auto"/>
            <w:vAlign w:val="bottom"/>
          </w:tcPr>
          <w:p>
            <w:pPr>
              <w:spacing w:after="0" w:line="240" w:lineRule="auto"/>
              <w:jc w:val="center"/>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INCOME STATEMENT for the period 01/01/2018-31/12/2018</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851" w:type="dxa"/>
            <w:tcBorders>
              <w:top w:val="nil"/>
              <w:left w:val="nil"/>
              <w:bottom w:val="nil"/>
              <w:right w:val="nil"/>
            </w:tcBorders>
            <w:shd w:val="clear" w:color="auto" w:fill="auto"/>
            <w:vAlign w:val="bottom"/>
          </w:tcPr>
          <w:p>
            <w:pPr>
              <w:spacing w:after="0" w:line="240" w:lineRule="auto"/>
              <w:jc w:val="center"/>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before</w:t>
            </w:r>
          </w:p>
        </w:tc>
        <w:tc>
          <w:tcPr>
            <w:tcW w:w="851" w:type="dxa"/>
            <w:tcBorders>
              <w:top w:val="nil"/>
              <w:left w:val="nil"/>
              <w:bottom w:val="nil"/>
              <w:right w:val="nil"/>
            </w:tcBorders>
            <w:shd w:val="clear" w:color="auto" w:fill="auto"/>
            <w:vAlign w:val="bottom"/>
          </w:tcPr>
          <w:p>
            <w:pPr>
              <w:spacing w:after="0" w:line="240" w:lineRule="auto"/>
              <w:jc w:val="center"/>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after</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Revenue (amount of goods or services sold for the period)</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826650</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827630</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Cost of sales</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578650</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578650</w:t>
            </w:r>
          </w:p>
        </w:tc>
      </w:tr>
      <w:tr>
        <w:tblPrEx>
          <w:tblLayout w:type="fixed"/>
          <w:tblCellMar>
            <w:top w:w="0" w:type="dxa"/>
            <w:left w:w="70" w:type="dxa"/>
            <w:bottom w:w="0" w:type="dxa"/>
            <w:right w:w="70" w:type="dxa"/>
          </w:tblCellMar>
        </w:tblPrEx>
        <w:trPr>
          <w:trHeight w:val="300" w:hRule="atLeast"/>
        </w:trPr>
        <w:tc>
          <w:tcPr>
            <w:tcW w:w="6042" w:type="dxa"/>
            <w:tcBorders>
              <w:top w:val="single" w:color="auto" w:sz="4" w:space="0"/>
              <w:left w:val="nil"/>
              <w:bottom w:val="single" w:color="auto" w:sz="4" w:space="0"/>
              <w:right w:val="nil"/>
            </w:tcBorders>
            <w:shd w:val="clear" w:color="auto" w:fill="auto"/>
            <w:vAlign w:val="bottom"/>
          </w:tcPr>
          <w:p>
            <w:pPr>
              <w:spacing w:after="0" w:line="240" w:lineRule="auto"/>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GROSS PROFIT</w:t>
            </w:r>
          </w:p>
        </w:tc>
        <w:tc>
          <w:tcPr>
            <w:tcW w:w="851"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248000</w:t>
            </w:r>
          </w:p>
        </w:tc>
        <w:tc>
          <w:tcPr>
            <w:tcW w:w="851"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248980</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Distribution costs</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28000</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31000</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Administration expenses</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85000</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85000</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Other income</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0</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0</w:t>
            </w:r>
          </w:p>
        </w:tc>
      </w:tr>
      <w:tr>
        <w:tblPrEx>
          <w:tblLayout w:type="fixed"/>
          <w:tblCellMar>
            <w:top w:w="0" w:type="dxa"/>
            <w:left w:w="70" w:type="dxa"/>
            <w:bottom w:w="0" w:type="dxa"/>
            <w:right w:w="70" w:type="dxa"/>
          </w:tblCellMar>
        </w:tblPrEx>
        <w:trPr>
          <w:trHeight w:val="300" w:hRule="atLeast"/>
        </w:trPr>
        <w:tc>
          <w:tcPr>
            <w:tcW w:w="6042" w:type="dxa"/>
            <w:tcBorders>
              <w:top w:val="single" w:color="auto" w:sz="4" w:space="0"/>
              <w:left w:val="nil"/>
              <w:bottom w:val="single" w:color="auto" w:sz="4" w:space="0"/>
              <w:right w:val="nil"/>
            </w:tcBorders>
            <w:shd w:val="clear" w:color="auto" w:fill="auto"/>
            <w:vAlign w:val="bottom"/>
          </w:tcPr>
          <w:p>
            <w:pPr>
              <w:spacing w:after="0" w:line="240" w:lineRule="auto"/>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OPERATING PROFIT</w:t>
            </w:r>
          </w:p>
        </w:tc>
        <w:tc>
          <w:tcPr>
            <w:tcW w:w="851"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135000</w:t>
            </w:r>
          </w:p>
        </w:tc>
        <w:tc>
          <w:tcPr>
            <w:tcW w:w="851"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132980</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Income from investments</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0</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0</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Finance costs</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2000</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2000</w:t>
            </w:r>
          </w:p>
        </w:tc>
      </w:tr>
      <w:tr>
        <w:tblPrEx>
          <w:tblLayout w:type="fixed"/>
          <w:tblCellMar>
            <w:top w:w="0" w:type="dxa"/>
            <w:left w:w="70" w:type="dxa"/>
            <w:bottom w:w="0" w:type="dxa"/>
            <w:right w:w="70" w:type="dxa"/>
          </w:tblCellMar>
        </w:tblPrEx>
        <w:trPr>
          <w:trHeight w:val="300" w:hRule="atLeast"/>
        </w:trPr>
        <w:tc>
          <w:tcPr>
            <w:tcW w:w="6042" w:type="dxa"/>
            <w:tcBorders>
              <w:top w:val="single" w:color="auto" w:sz="4" w:space="0"/>
              <w:left w:val="nil"/>
              <w:bottom w:val="single" w:color="auto" w:sz="4" w:space="0"/>
              <w:right w:val="nil"/>
            </w:tcBorders>
            <w:shd w:val="clear" w:color="auto" w:fill="auto"/>
            <w:vAlign w:val="bottom"/>
          </w:tcPr>
          <w:p>
            <w:pPr>
              <w:spacing w:after="0" w:line="240" w:lineRule="auto"/>
              <w:rPr>
                <w:rFonts w:eastAsia="Times New Roman" w:cs="Arial" w:asciiTheme="majorHAnsi" w:hAnsiTheme="majorHAnsi"/>
                <w:b/>
                <w:bCs/>
                <w:sz w:val="20"/>
                <w:szCs w:val="20"/>
                <w:lang w:eastAsia="bg-BG"/>
              </w:rPr>
            </w:pPr>
            <w:r>
              <w:rPr>
                <w:rFonts w:eastAsia="Times New Roman" w:cs="Arial" w:asciiTheme="majorHAnsi" w:hAnsiTheme="majorHAnsi"/>
                <w:b/>
                <w:bCs/>
                <w:sz w:val="20"/>
                <w:szCs w:val="20"/>
                <w:lang w:eastAsia="bg-BG"/>
              </w:rPr>
              <w:t>PROFIT BEFORE TAX</w:t>
            </w:r>
          </w:p>
        </w:tc>
        <w:tc>
          <w:tcPr>
            <w:tcW w:w="851"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sz w:val="20"/>
                <w:szCs w:val="20"/>
                <w:lang w:eastAsia="bg-BG"/>
              </w:rPr>
            </w:pPr>
            <w:r>
              <w:rPr>
                <w:rFonts w:eastAsia="Times New Roman" w:cs="Arial" w:asciiTheme="majorHAnsi" w:hAnsiTheme="majorHAnsi"/>
                <w:b/>
                <w:bCs/>
                <w:sz w:val="20"/>
                <w:szCs w:val="20"/>
                <w:lang w:eastAsia="bg-BG"/>
              </w:rPr>
              <w:t>133000</w:t>
            </w:r>
          </w:p>
        </w:tc>
        <w:tc>
          <w:tcPr>
            <w:tcW w:w="851"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sz w:val="20"/>
                <w:szCs w:val="20"/>
                <w:lang w:eastAsia="bg-BG"/>
              </w:rPr>
            </w:pPr>
            <w:r>
              <w:rPr>
                <w:rFonts w:eastAsia="Times New Roman" w:cs="Arial" w:asciiTheme="majorHAnsi" w:hAnsiTheme="majorHAnsi"/>
                <w:b/>
                <w:bCs/>
                <w:sz w:val="20"/>
                <w:szCs w:val="20"/>
                <w:lang w:eastAsia="bg-BG"/>
              </w:rPr>
              <w:t>130980</w:t>
            </w:r>
          </w:p>
        </w:tc>
      </w:tr>
      <w:tr>
        <w:tblPrEx>
          <w:tblLayout w:type="fixed"/>
          <w:tblCellMar>
            <w:top w:w="0" w:type="dxa"/>
            <w:left w:w="70" w:type="dxa"/>
            <w:bottom w:w="0" w:type="dxa"/>
            <w:right w:w="70" w:type="dxa"/>
          </w:tblCellMar>
        </w:tblPrEx>
        <w:trPr>
          <w:trHeight w:val="300" w:hRule="atLeast"/>
        </w:trPr>
        <w:tc>
          <w:tcPr>
            <w:tcW w:w="6042"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Taxation</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68000</w:t>
            </w:r>
          </w:p>
        </w:tc>
        <w:tc>
          <w:tcPr>
            <w:tcW w:w="851"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68000</w:t>
            </w:r>
          </w:p>
        </w:tc>
      </w:tr>
      <w:tr>
        <w:tblPrEx>
          <w:tblLayout w:type="fixed"/>
          <w:tblCellMar>
            <w:top w:w="0" w:type="dxa"/>
            <w:left w:w="70" w:type="dxa"/>
            <w:bottom w:w="0" w:type="dxa"/>
            <w:right w:w="70" w:type="dxa"/>
          </w:tblCellMar>
        </w:tblPrEx>
        <w:trPr>
          <w:trHeight w:val="300" w:hRule="atLeast"/>
        </w:trPr>
        <w:tc>
          <w:tcPr>
            <w:tcW w:w="6042" w:type="dxa"/>
            <w:tcBorders>
              <w:top w:val="single" w:color="auto" w:sz="4" w:space="0"/>
              <w:left w:val="nil"/>
              <w:bottom w:val="single" w:color="auto" w:sz="4" w:space="0"/>
              <w:right w:val="nil"/>
            </w:tcBorders>
            <w:shd w:val="clear" w:color="auto" w:fill="auto"/>
            <w:vAlign w:val="bottom"/>
          </w:tcPr>
          <w:p>
            <w:pPr>
              <w:spacing w:after="0" w:line="240" w:lineRule="auto"/>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PROFIT FOR THE PERIOD (Net profit)</w:t>
            </w:r>
          </w:p>
        </w:tc>
        <w:tc>
          <w:tcPr>
            <w:tcW w:w="851"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65000</w:t>
            </w:r>
          </w:p>
        </w:tc>
        <w:tc>
          <w:tcPr>
            <w:tcW w:w="851"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62980</w:t>
            </w:r>
          </w:p>
        </w:tc>
      </w:tr>
    </w:tbl>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tbl>
      <w:tblPr>
        <w:tblStyle w:val="7"/>
        <w:tblW w:w="9776" w:type="dxa"/>
        <w:tblInd w:w="55" w:type="dxa"/>
        <w:tblLayout w:type="fixed"/>
        <w:tblCellMar>
          <w:top w:w="0" w:type="dxa"/>
          <w:left w:w="70" w:type="dxa"/>
          <w:bottom w:w="0" w:type="dxa"/>
          <w:right w:w="70" w:type="dxa"/>
        </w:tblCellMar>
      </w:tblPr>
      <w:tblGrid>
        <w:gridCol w:w="2709"/>
        <w:gridCol w:w="970"/>
        <w:gridCol w:w="970"/>
        <w:gridCol w:w="3021"/>
        <w:gridCol w:w="1136"/>
        <w:gridCol w:w="970"/>
      </w:tblGrid>
      <w:tr>
        <w:tblPrEx>
          <w:tblLayout w:type="fixed"/>
          <w:tblCellMar>
            <w:top w:w="0" w:type="dxa"/>
            <w:left w:w="70" w:type="dxa"/>
            <w:bottom w:w="0" w:type="dxa"/>
            <w:right w:w="70" w:type="dxa"/>
          </w:tblCellMar>
        </w:tblPrEx>
        <w:trPr>
          <w:trHeight w:val="315" w:hRule="atLeast"/>
        </w:trPr>
        <w:tc>
          <w:tcPr>
            <w:tcW w:w="9776" w:type="dxa"/>
            <w:gridSpan w:val="6"/>
            <w:tcBorders>
              <w:top w:val="single" w:color="auto" w:sz="8" w:space="0"/>
              <w:left w:val="single" w:color="auto" w:sz="8" w:space="0"/>
              <w:bottom w:val="single" w:color="auto" w:sz="8" w:space="0"/>
              <w:right w:val="single" w:color="000000" w:sz="8" w:space="0"/>
            </w:tcBorders>
            <w:shd w:val="clear" w:color="auto" w:fill="auto"/>
            <w:vAlign w:val="bottom"/>
          </w:tcPr>
          <w:p>
            <w:pPr>
              <w:spacing w:after="0" w:line="240" w:lineRule="auto"/>
              <w:jc w:val="center"/>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BALANCE SHEET AS AT 31/12/2018</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jc w:val="center"/>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before</w:t>
            </w:r>
          </w:p>
        </w:tc>
        <w:tc>
          <w:tcPr>
            <w:tcW w:w="970" w:type="dxa"/>
            <w:tcBorders>
              <w:top w:val="nil"/>
              <w:left w:val="nil"/>
              <w:bottom w:val="nil"/>
              <w:right w:val="nil"/>
            </w:tcBorders>
            <w:shd w:val="clear" w:color="auto" w:fill="auto"/>
            <w:vAlign w:val="bottom"/>
          </w:tcPr>
          <w:p>
            <w:pPr>
              <w:spacing w:after="0" w:line="240" w:lineRule="auto"/>
              <w:jc w:val="center"/>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after</w:t>
            </w: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 </w:t>
            </w:r>
          </w:p>
        </w:tc>
        <w:tc>
          <w:tcPr>
            <w:tcW w:w="1136" w:type="dxa"/>
            <w:tcBorders>
              <w:top w:val="nil"/>
              <w:left w:val="nil"/>
              <w:bottom w:val="nil"/>
              <w:right w:val="nil"/>
            </w:tcBorders>
            <w:shd w:val="clear" w:color="auto" w:fill="auto"/>
            <w:vAlign w:val="bottom"/>
          </w:tcPr>
          <w:p>
            <w:pPr>
              <w:spacing w:after="0" w:line="240" w:lineRule="auto"/>
              <w:jc w:val="center"/>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before</w:t>
            </w:r>
          </w:p>
        </w:tc>
        <w:tc>
          <w:tcPr>
            <w:tcW w:w="970" w:type="dxa"/>
            <w:tcBorders>
              <w:top w:val="nil"/>
              <w:left w:val="nil"/>
              <w:bottom w:val="nil"/>
              <w:right w:val="nil"/>
            </w:tcBorders>
            <w:shd w:val="clear" w:color="auto" w:fill="auto"/>
            <w:vAlign w:val="bottom"/>
          </w:tcPr>
          <w:p>
            <w:pPr>
              <w:spacing w:after="0" w:line="240" w:lineRule="auto"/>
              <w:jc w:val="center"/>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after</w:t>
            </w:r>
          </w:p>
        </w:tc>
      </w:tr>
      <w:tr>
        <w:tblPrEx>
          <w:tblLayout w:type="fixed"/>
          <w:tblCellMar>
            <w:top w:w="0" w:type="dxa"/>
            <w:left w:w="70" w:type="dxa"/>
            <w:bottom w:w="0" w:type="dxa"/>
            <w:right w:w="70" w:type="dxa"/>
          </w:tblCellMar>
        </w:tblPrEx>
        <w:trPr>
          <w:trHeight w:val="300" w:hRule="atLeast"/>
        </w:trPr>
        <w:tc>
          <w:tcPr>
            <w:tcW w:w="2709" w:type="dxa"/>
            <w:tcBorders>
              <w:top w:val="single" w:color="auto" w:sz="4" w:space="0"/>
              <w:left w:val="single" w:color="auto" w:sz="4" w:space="0"/>
              <w:bottom w:val="single" w:color="auto" w:sz="4" w:space="0"/>
              <w:right w:val="nil"/>
            </w:tcBorders>
            <w:shd w:val="clear" w:color="auto" w:fill="auto"/>
            <w:vAlign w:val="bottom"/>
          </w:tcPr>
          <w:p>
            <w:pPr>
              <w:spacing w:after="0" w:line="240" w:lineRule="auto"/>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ASSETS</w:t>
            </w:r>
          </w:p>
        </w:tc>
        <w:tc>
          <w:tcPr>
            <w:tcW w:w="970"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1146355</w:t>
            </w:r>
          </w:p>
        </w:tc>
        <w:tc>
          <w:tcPr>
            <w:tcW w:w="970"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1147335</w:t>
            </w:r>
          </w:p>
        </w:tc>
        <w:tc>
          <w:tcPr>
            <w:tcW w:w="3021" w:type="dxa"/>
            <w:tcBorders>
              <w:top w:val="single" w:color="auto" w:sz="4" w:space="0"/>
              <w:left w:val="single" w:color="auto" w:sz="8" w:space="0"/>
              <w:bottom w:val="single" w:color="auto" w:sz="4" w:space="0"/>
              <w:right w:val="nil"/>
            </w:tcBorders>
            <w:shd w:val="clear" w:color="auto" w:fill="auto"/>
            <w:vAlign w:val="bottom"/>
          </w:tcPr>
          <w:p>
            <w:pPr>
              <w:spacing w:after="0" w:line="240" w:lineRule="auto"/>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LIABILITIES &amp; SHAREHOLDER'S EQUITY</w:t>
            </w:r>
          </w:p>
        </w:tc>
        <w:tc>
          <w:tcPr>
            <w:tcW w:w="1136"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1146355</w:t>
            </w:r>
          </w:p>
        </w:tc>
        <w:tc>
          <w:tcPr>
            <w:tcW w:w="970" w:type="dxa"/>
            <w:tcBorders>
              <w:top w:val="single" w:color="auto" w:sz="4" w:space="0"/>
              <w:left w:val="nil"/>
              <w:bottom w:val="single" w:color="auto" w:sz="4" w:space="0"/>
              <w:right w:val="single" w:color="auto" w:sz="4" w:space="0"/>
            </w:tcBorders>
            <w:shd w:val="clear" w:color="auto" w:fill="auto"/>
            <w:vAlign w:val="bottom"/>
          </w:tcPr>
          <w:p>
            <w:pPr>
              <w:spacing w:after="0" w:line="240" w:lineRule="auto"/>
              <w:jc w:val="right"/>
              <w:rPr>
                <w:rFonts w:eastAsia="Times New Roman" w:cs="Arial" w:asciiTheme="majorHAnsi" w:hAnsiTheme="majorHAnsi"/>
                <w:b/>
                <w:bCs/>
                <w:color w:val="000000"/>
                <w:sz w:val="20"/>
                <w:szCs w:val="20"/>
                <w:lang w:eastAsia="bg-BG"/>
              </w:rPr>
            </w:pPr>
            <w:r>
              <w:rPr>
                <w:rFonts w:eastAsia="Times New Roman" w:cs="Arial" w:asciiTheme="majorHAnsi" w:hAnsiTheme="majorHAnsi"/>
                <w:b/>
                <w:bCs/>
                <w:color w:val="000000"/>
                <w:sz w:val="20"/>
                <w:szCs w:val="20"/>
                <w:lang w:eastAsia="bg-BG"/>
              </w:rPr>
              <w:t>1147335</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Non-current assets</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Current liabilities</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171355</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174355</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 Property, plants, equipment</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632730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632730</w:t>
            </w: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Non-current liabilities</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100000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100000</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 Intangible assets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val="en-US" w:eastAsia="bg-BG"/>
              </w:rPr>
            </w:pPr>
            <w:r>
              <w:rPr>
                <w:rFonts w:eastAsia="Times New Roman" w:cs="Arial" w:asciiTheme="majorHAnsi" w:hAnsiTheme="majorHAnsi"/>
                <w:color w:val="000000"/>
                <w:sz w:val="20"/>
                <w:szCs w:val="20"/>
                <w:lang w:val="en-US" w:eastAsia="bg-BG"/>
              </w:rPr>
              <w:t>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val="en-US" w:eastAsia="bg-BG"/>
              </w:rPr>
            </w:pPr>
            <w:r>
              <w:rPr>
                <w:rFonts w:eastAsia="Times New Roman" w:cs="Arial" w:asciiTheme="majorHAnsi" w:hAnsiTheme="majorHAnsi"/>
                <w:color w:val="000000"/>
                <w:sz w:val="20"/>
                <w:szCs w:val="20"/>
                <w:lang w:val="en-US" w:eastAsia="bg-BG"/>
              </w:rPr>
              <w:t>0</w:t>
            </w: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 </w:t>
            </w:r>
          </w:p>
        </w:tc>
        <w:tc>
          <w:tcPr>
            <w:tcW w:w="1136"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Total of Non-current assets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632730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632730</w:t>
            </w: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LIABILITIES</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271355</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274355</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 </w:t>
            </w:r>
          </w:p>
        </w:tc>
        <w:tc>
          <w:tcPr>
            <w:tcW w:w="1136"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Current assets</w:t>
            </w: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Share capital</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310000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310000</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 Invenoties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330600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330600</w:t>
            </w: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Share premium</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300000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300000</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 Trade receivables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170125</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171105</w:t>
            </w: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Other reserves</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0</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 Cash</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12900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12900</w:t>
            </w: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Retained earnings</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132000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132000</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970"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PROFIT BEFORE TAX</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133000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color w:val="000000"/>
                <w:sz w:val="20"/>
                <w:szCs w:val="20"/>
                <w:lang w:eastAsia="bg-BG"/>
              </w:rPr>
            </w:pPr>
            <w:r>
              <w:rPr>
                <w:rFonts w:eastAsia="Times New Roman" w:cs="Arial" w:asciiTheme="majorHAnsi" w:hAnsiTheme="majorHAnsi"/>
                <w:color w:val="000000"/>
                <w:sz w:val="20"/>
                <w:szCs w:val="20"/>
                <w:lang w:eastAsia="bg-BG"/>
              </w:rPr>
              <w:t>130980</w:t>
            </w:r>
          </w:p>
        </w:tc>
      </w:tr>
      <w:tr>
        <w:tblPrEx>
          <w:tblLayout w:type="fixed"/>
          <w:tblCellMar>
            <w:top w:w="0" w:type="dxa"/>
            <w:left w:w="70" w:type="dxa"/>
            <w:bottom w:w="0" w:type="dxa"/>
            <w:right w:w="70" w:type="dxa"/>
          </w:tblCellMar>
        </w:tblPrEx>
        <w:trPr>
          <w:trHeight w:val="300" w:hRule="atLeast"/>
        </w:trPr>
        <w:tc>
          <w:tcPr>
            <w:tcW w:w="2709" w:type="dxa"/>
            <w:tcBorders>
              <w:top w:val="nil"/>
              <w:left w:val="nil"/>
              <w:bottom w:val="nil"/>
              <w:right w:val="nil"/>
            </w:tcBorders>
            <w:shd w:val="clear" w:color="auto" w:fill="auto"/>
            <w:vAlign w:val="bottom"/>
          </w:tcPr>
          <w:p>
            <w:pPr>
              <w:spacing w:after="0" w:line="240" w:lineRule="auto"/>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Total of Current assets</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513625</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514605</w:t>
            </w:r>
          </w:p>
        </w:tc>
        <w:tc>
          <w:tcPr>
            <w:tcW w:w="3021" w:type="dxa"/>
            <w:tcBorders>
              <w:top w:val="nil"/>
              <w:left w:val="single" w:color="auto" w:sz="8" w:space="0"/>
              <w:bottom w:val="nil"/>
              <w:right w:val="nil"/>
            </w:tcBorders>
            <w:shd w:val="clear" w:color="auto" w:fill="auto"/>
            <w:vAlign w:val="bottom"/>
          </w:tcPr>
          <w:p>
            <w:pPr>
              <w:spacing w:after="0" w:line="240" w:lineRule="auto"/>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EQUITY/CAPITAL</w:t>
            </w:r>
          </w:p>
        </w:tc>
        <w:tc>
          <w:tcPr>
            <w:tcW w:w="1136"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875000</w:t>
            </w:r>
          </w:p>
        </w:tc>
        <w:tc>
          <w:tcPr>
            <w:tcW w:w="970" w:type="dxa"/>
            <w:tcBorders>
              <w:top w:val="nil"/>
              <w:left w:val="nil"/>
              <w:bottom w:val="nil"/>
              <w:right w:val="nil"/>
            </w:tcBorders>
            <w:shd w:val="clear" w:color="auto" w:fill="auto"/>
            <w:vAlign w:val="bottom"/>
          </w:tcPr>
          <w:p>
            <w:pPr>
              <w:spacing w:after="0" w:line="240" w:lineRule="auto"/>
              <w:jc w:val="right"/>
              <w:rPr>
                <w:rFonts w:eastAsia="Times New Roman" w:cs="Arial" w:asciiTheme="majorHAnsi" w:hAnsiTheme="majorHAnsi"/>
                <w:b/>
                <w:color w:val="000000"/>
                <w:sz w:val="20"/>
                <w:szCs w:val="20"/>
                <w:lang w:eastAsia="bg-BG"/>
              </w:rPr>
            </w:pPr>
            <w:r>
              <w:rPr>
                <w:rFonts w:eastAsia="Times New Roman" w:cs="Arial" w:asciiTheme="majorHAnsi" w:hAnsiTheme="majorHAnsi"/>
                <w:b/>
                <w:color w:val="000000"/>
                <w:sz w:val="20"/>
                <w:szCs w:val="20"/>
                <w:lang w:eastAsia="bg-BG"/>
              </w:rPr>
              <w:t>872980</w:t>
            </w:r>
          </w:p>
        </w:tc>
      </w:tr>
    </w:tbl>
    <w:p>
      <w:pPr>
        <w:jc w:val="both"/>
        <w:rPr>
          <w:rFonts w:cs="Arial" w:asciiTheme="majorHAnsi" w:hAnsiTheme="majorHAnsi"/>
          <w:sz w:val="20"/>
          <w:szCs w:val="20"/>
          <w:lang w:val="en-US"/>
        </w:rPr>
      </w:pPr>
    </w:p>
    <w:p>
      <w:pPr>
        <w:jc w:val="both"/>
        <w:rPr>
          <w:rFonts w:cs="Arial" w:asciiTheme="majorHAnsi" w:hAnsiTheme="majorHAnsi"/>
          <w:sz w:val="20"/>
          <w:szCs w:val="20"/>
          <w:lang w:val="en-US"/>
        </w:rPr>
      </w:pPr>
      <w:r>
        <w:rPr>
          <w:rFonts w:cs="Arial" w:asciiTheme="majorHAnsi" w:hAnsiTheme="majorHAnsi"/>
          <w:sz w:val="20"/>
          <w:szCs w:val="20"/>
          <w:lang w:val="en-US"/>
        </w:rPr>
        <w:t>For the preparation of the task, the Income statement for the period from 01/01/2018 to 31/12/2018 was prepared as the additional information is reflected with before and after, respectively. The same was made during the preparation of the Balance sheet as at 31/12/2018.</w:t>
      </w:r>
    </w:p>
    <w:p>
      <w:pPr>
        <w:jc w:val="both"/>
        <w:rPr>
          <w:rFonts w:cs="Arial" w:asciiTheme="majorHAnsi" w:hAnsiTheme="majorHAnsi"/>
          <w:b/>
          <w:i/>
          <w:sz w:val="20"/>
          <w:szCs w:val="20"/>
          <w:u w:val="single"/>
          <w:lang w:val="en-US"/>
        </w:rPr>
      </w:pPr>
      <w:r>
        <w:rPr>
          <w:rFonts w:cs="Arial" w:asciiTheme="majorHAnsi" w:hAnsiTheme="majorHAnsi"/>
          <w:b/>
          <w:i/>
          <w:sz w:val="20"/>
          <w:szCs w:val="20"/>
          <w:u w:val="single"/>
          <w:lang w:val="en-US"/>
        </w:rPr>
        <w:t>INCOME STATEMENT for the period from 01/01/2018 – 31/12/2018</w:t>
      </w:r>
    </w:p>
    <w:p>
      <w:pPr>
        <w:jc w:val="both"/>
        <w:rPr>
          <w:rFonts w:cs="Arial" w:asciiTheme="majorHAnsi" w:hAnsiTheme="majorHAnsi"/>
          <w:sz w:val="20"/>
          <w:szCs w:val="20"/>
          <w:lang w:val="en-US"/>
        </w:rPr>
      </w:pPr>
      <w:r>
        <w:rPr>
          <w:rFonts w:cs="Arial" w:asciiTheme="majorHAnsi" w:hAnsiTheme="majorHAnsi"/>
          <w:b/>
          <w:sz w:val="20"/>
          <w:szCs w:val="20"/>
          <w:lang w:val="en-US"/>
        </w:rPr>
        <w:t>Revenue</w:t>
      </w:r>
      <w:r>
        <w:rPr>
          <w:rFonts w:cs="Arial" w:asciiTheme="majorHAnsi" w:hAnsiTheme="majorHAnsi"/>
          <w:sz w:val="20"/>
          <w:szCs w:val="20"/>
          <w:lang w:val="en-US"/>
        </w:rPr>
        <w:t xml:space="preserve"> is the amount from </w:t>
      </w:r>
      <w:r>
        <w:rPr>
          <w:rFonts w:cs="Arial" w:asciiTheme="majorHAnsi" w:hAnsiTheme="majorHAnsi"/>
          <w:b/>
          <w:sz w:val="20"/>
          <w:szCs w:val="20"/>
          <w:lang w:val="en-US"/>
        </w:rPr>
        <w:t>Sales</w:t>
      </w:r>
      <w:r>
        <w:rPr>
          <w:rFonts w:cs="Arial" w:asciiTheme="majorHAnsi" w:hAnsiTheme="majorHAnsi"/>
          <w:sz w:val="20"/>
          <w:szCs w:val="20"/>
          <w:lang w:val="en-US"/>
        </w:rPr>
        <w:t xml:space="preserve"> which is £826650. Goods valued of £980 were sent to customers on 31</w:t>
      </w:r>
      <w:r>
        <w:rPr>
          <w:rFonts w:cs="Arial" w:asciiTheme="majorHAnsi" w:hAnsiTheme="majorHAnsi"/>
          <w:sz w:val="20"/>
          <w:szCs w:val="20"/>
          <w:vertAlign w:val="superscript"/>
          <w:lang w:val="en-US"/>
        </w:rPr>
        <w:t>st</w:t>
      </w:r>
      <w:r>
        <w:rPr>
          <w:rFonts w:cs="Arial" w:asciiTheme="majorHAnsi" w:hAnsiTheme="majorHAnsi"/>
          <w:sz w:val="20"/>
          <w:szCs w:val="20"/>
          <w:lang w:val="en-US"/>
        </w:rPr>
        <w:t xml:space="preserve"> of December. That is why I increase the amount of Revenue with £980. After the transaction the final amount for the Revenue is £827630 (=£826650+£980). As the amount of the sent goods is due by 28</w:t>
      </w:r>
      <w:r>
        <w:rPr>
          <w:rFonts w:cs="Arial" w:asciiTheme="majorHAnsi" w:hAnsiTheme="majorHAnsi"/>
          <w:sz w:val="20"/>
          <w:szCs w:val="20"/>
          <w:vertAlign w:val="superscript"/>
          <w:lang w:val="en-US"/>
        </w:rPr>
        <w:t xml:space="preserve"> </w:t>
      </w:r>
      <w:r>
        <w:rPr>
          <w:rFonts w:cs="Arial" w:asciiTheme="majorHAnsi" w:hAnsiTheme="majorHAnsi"/>
          <w:sz w:val="20"/>
          <w:szCs w:val="20"/>
          <w:lang w:val="en-US"/>
        </w:rPr>
        <w:t>February 2019 at the balance sheet the same amount is included as Trade receivables (£170125+£980=£171105).</w:t>
      </w:r>
    </w:p>
    <w:p>
      <w:pPr>
        <w:jc w:val="both"/>
        <w:rPr>
          <w:rFonts w:cs="Arial" w:asciiTheme="majorHAnsi" w:hAnsiTheme="majorHAnsi"/>
          <w:sz w:val="20"/>
          <w:szCs w:val="20"/>
          <w:lang w:val="en-US"/>
        </w:rPr>
      </w:pPr>
      <w:r>
        <w:rPr>
          <w:rFonts w:cs="Arial" w:asciiTheme="majorHAnsi" w:hAnsiTheme="majorHAnsi"/>
          <w:b/>
          <w:sz w:val="20"/>
          <w:szCs w:val="20"/>
          <w:lang w:val="en-US"/>
        </w:rPr>
        <w:t xml:space="preserve">Cost of sales </w:t>
      </w:r>
      <w:r>
        <w:rPr>
          <w:rFonts w:cs="Arial" w:asciiTheme="majorHAnsi" w:hAnsiTheme="majorHAnsi"/>
          <w:sz w:val="20"/>
          <w:szCs w:val="20"/>
          <w:lang w:val="en-US"/>
        </w:rPr>
        <w:t>for the amount of £578650 is shown at the Income statement. There is no change after the additional information given.</w:t>
      </w:r>
    </w:p>
    <w:p>
      <w:pPr>
        <w:jc w:val="both"/>
        <w:rPr>
          <w:rFonts w:cs="Arial" w:asciiTheme="majorHAnsi" w:hAnsiTheme="majorHAnsi"/>
          <w:color w:val="111111"/>
          <w:sz w:val="20"/>
          <w:szCs w:val="20"/>
          <w:shd w:val="clear" w:color="auto" w:fill="FFFFFF"/>
          <w:lang w:val="en-US"/>
        </w:rPr>
      </w:pPr>
      <w:r>
        <w:rPr>
          <w:rFonts w:cs="Arial" w:asciiTheme="majorHAnsi" w:hAnsiTheme="majorHAnsi"/>
          <w:b/>
          <w:color w:val="111111"/>
          <w:sz w:val="20"/>
          <w:szCs w:val="20"/>
          <w:u w:val="single"/>
          <w:shd w:val="clear" w:color="auto" w:fill="FFFFFF"/>
        </w:rPr>
        <w:t>Gross profit</w:t>
      </w:r>
      <w:r>
        <w:rPr>
          <w:rFonts w:cs="Arial" w:asciiTheme="majorHAnsi" w:hAnsiTheme="majorHAnsi"/>
          <w:color w:val="111111"/>
          <w:sz w:val="20"/>
          <w:szCs w:val="20"/>
          <w:shd w:val="clear" w:color="auto" w:fill="FFFFFF"/>
        </w:rPr>
        <w:t xml:space="preserve"> is the profit a company makes after deducting the costs associated with making and selling its products, or the costs associated with providing its services. Gross profit will appear on a company's income statement and can be calculated by subtracting the cost of goods sold from revenue (sales).</w:t>
      </w:r>
      <w:r>
        <w:rPr>
          <w:rFonts w:cs="Arial" w:asciiTheme="majorHAnsi" w:hAnsiTheme="majorHAnsi"/>
          <w:color w:val="111111"/>
          <w:sz w:val="20"/>
          <w:szCs w:val="20"/>
          <w:shd w:val="clear" w:color="auto" w:fill="FFFFFF"/>
          <w:lang w:val="en-US"/>
        </w:rPr>
        <w:t xml:space="preserve"> </w:t>
      </w:r>
    </w:p>
    <w:p>
      <w:pPr>
        <w:jc w:val="both"/>
        <w:rPr>
          <w:rFonts w:cs="Arial" w:asciiTheme="majorHAnsi" w:hAnsiTheme="majorHAnsi"/>
          <w:b/>
          <w:color w:val="111111"/>
          <w:sz w:val="20"/>
          <w:szCs w:val="20"/>
          <w:shd w:val="clear" w:color="auto" w:fill="FFFFFF"/>
          <w:lang w:val="en-US"/>
        </w:rPr>
      </w:pPr>
      <w:r>
        <w:rPr>
          <w:rFonts w:cs="Arial" w:asciiTheme="majorHAnsi" w:hAnsiTheme="majorHAnsi"/>
          <w:b/>
          <w:color w:val="111111"/>
          <w:sz w:val="20"/>
          <w:szCs w:val="20"/>
          <w:shd w:val="clear" w:color="auto" w:fill="FFFFFF"/>
          <w:lang w:val="en-US"/>
        </w:rPr>
        <w:t xml:space="preserve">GROSS PROFIT = </w:t>
      </w:r>
      <w:r>
        <w:rPr>
          <w:rFonts w:cs="Arial" w:asciiTheme="majorHAnsi" w:hAnsiTheme="majorHAnsi"/>
          <w:b/>
          <w:color w:val="111111"/>
          <w:sz w:val="20"/>
          <w:szCs w:val="20"/>
          <w:shd w:val="clear" w:color="auto" w:fill="FFFFFF"/>
          <w:lang w:val="en-US"/>
        </w:rPr>
        <w:tab/>
      </w:r>
      <w:r>
        <w:rPr>
          <w:rFonts w:cs="Arial" w:asciiTheme="majorHAnsi" w:hAnsiTheme="majorHAnsi"/>
          <w:b/>
          <w:color w:val="111111"/>
          <w:sz w:val="20"/>
          <w:szCs w:val="20"/>
          <w:shd w:val="clear" w:color="auto" w:fill="FFFFFF"/>
          <w:lang w:val="en-US"/>
        </w:rPr>
        <w:tab/>
      </w:r>
      <w:r>
        <w:rPr>
          <w:rFonts w:cs="Arial" w:asciiTheme="majorHAnsi" w:hAnsiTheme="majorHAnsi"/>
          <w:b/>
          <w:color w:val="111111"/>
          <w:sz w:val="20"/>
          <w:szCs w:val="20"/>
          <w:shd w:val="clear" w:color="auto" w:fill="FFFFFF"/>
          <w:lang w:val="en-US"/>
        </w:rPr>
        <w:t>REVENUE (SALES) – COST OF SALES</w:t>
      </w: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r>
        <w:rPr>
          <w:rFonts w:cs="Arial" w:asciiTheme="majorHAnsi" w:hAnsiTheme="majorHAnsi"/>
          <w:b/>
          <w:sz w:val="20"/>
          <w:szCs w:val="20"/>
          <w:lang w:val="en-US"/>
        </w:rPr>
        <w:t>Distribution costs</w:t>
      </w:r>
      <w:r>
        <w:rPr>
          <w:rFonts w:cs="Arial" w:asciiTheme="majorHAnsi" w:hAnsiTheme="majorHAnsi"/>
          <w:sz w:val="20"/>
          <w:szCs w:val="20"/>
          <w:lang w:val="en-US"/>
        </w:rPr>
        <w:t xml:space="preserve"> are £28000. We have the information that salesmen are owed </w:t>
      </w:r>
      <w:r>
        <w:rPr>
          <w:rFonts w:cs="Arial" w:asciiTheme="majorHAnsi" w:hAnsiTheme="majorHAnsi"/>
          <w:sz w:val="20"/>
          <w:szCs w:val="20"/>
        </w:rPr>
        <w:t>commission of £3000 in respect of December sales</w:t>
      </w:r>
      <w:r>
        <w:rPr>
          <w:rFonts w:cs="Arial" w:asciiTheme="majorHAnsi" w:hAnsiTheme="majorHAnsi"/>
          <w:sz w:val="20"/>
          <w:szCs w:val="20"/>
          <w:lang w:val="en-US"/>
        </w:rPr>
        <w:t xml:space="preserve">. </w:t>
      </w:r>
      <w:r>
        <w:rPr>
          <w:rFonts w:cs="Arial" w:asciiTheme="majorHAnsi" w:hAnsiTheme="majorHAnsi"/>
          <w:sz w:val="20"/>
          <w:szCs w:val="20"/>
        </w:rPr>
        <w:t>It will be paid on 31st January 2019</w:t>
      </w:r>
      <w:r>
        <w:rPr>
          <w:rFonts w:cs="Arial" w:asciiTheme="majorHAnsi" w:hAnsiTheme="majorHAnsi"/>
          <w:sz w:val="20"/>
          <w:szCs w:val="20"/>
          <w:lang w:val="en-US"/>
        </w:rPr>
        <w:t xml:space="preserve">. The amount for distribution costs increase with </w:t>
      </w:r>
      <w:r>
        <w:rPr>
          <w:rFonts w:cs="Arial" w:asciiTheme="majorHAnsi" w:hAnsiTheme="majorHAnsi"/>
          <w:sz w:val="20"/>
          <w:szCs w:val="20"/>
        </w:rPr>
        <w:t>£3000</w:t>
      </w:r>
      <w:r>
        <w:rPr>
          <w:rFonts w:cs="Arial" w:asciiTheme="majorHAnsi" w:hAnsiTheme="majorHAnsi"/>
          <w:sz w:val="20"/>
          <w:szCs w:val="20"/>
          <w:lang w:val="en-US"/>
        </w:rPr>
        <w:t>. At the Balance sheet the same amount is included in Current liabilities (the amount for Trade creditors + owed commission = £171355 + £3000 = £174355).</w:t>
      </w:r>
    </w:p>
    <w:p>
      <w:pPr>
        <w:jc w:val="both"/>
        <w:rPr>
          <w:rFonts w:cs="Arial" w:asciiTheme="majorHAnsi" w:hAnsiTheme="majorHAnsi"/>
          <w:sz w:val="20"/>
          <w:szCs w:val="20"/>
          <w:lang w:val="en-US"/>
        </w:rPr>
      </w:pPr>
      <w:r>
        <w:rPr>
          <w:rFonts w:cs="Arial" w:asciiTheme="majorHAnsi" w:hAnsiTheme="majorHAnsi"/>
          <w:b/>
          <w:sz w:val="20"/>
          <w:szCs w:val="20"/>
          <w:lang w:val="en-US"/>
        </w:rPr>
        <w:t>Administration expenses/ Operating expenses</w:t>
      </w:r>
      <w:r>
        <w:rPr>
          <w:rFonts w:cs="Arial" w:asciiTheme="majorHAnsi" w:hAnsiTheme="majorHAnsi"/>
          <w:sz w:val="20"/>
          <w:szCs w:val="20"/>
          <w:lang w:val="en-US"/>
        </w:rPr>
        <w:t xml:space="preserve"> are represented as a sum of </w:t>
      </w:r>
      <w:r>
        <w:rPr>
          <w:rFonts w:eastAsia="Times New Roman" w:cs="Arial" w:asciiTheme="majorHAnsi" w:hAnsiTheme="majorHAnsi"/>
          <w:sz w:val="20"/>
          <w:szCs w:val="20"/>
          <w:lang w:eastAsia="bg-BG"/>
        </w:rPr>
        <w:t>Ordinary dividend paid</w:t>
      </w:r>
      <w:r>
        <w:rPr>
          <w:rFonts w:eastAsia="Times New Roman" w:cs="Arial" w:asciiTheme="majorHAnsi" w:hAnsiTheme="majorHAnsi"/>
          <w:sz w:val="20"/>
          <w:szCs w:val="20"/>
          <w:lang w:val="en-US" w:eastAsia="bg-BG"/>
        </w:rPr>
        <w:t xml:space="preserve"> + </w:t>
      </w:r>
      <w:r>
        <w:rPr>
          <w:rFonts w:eastAsia="Times New Roman" w:cs="Arial" w:asciiTheme="majorHAnsi" w:hAnsiTheme="majorHAnsi"/>
          <w:sz w:val="20"/>
          <w:szCs w:val="20"/>
          <w:lang w:eastAsia="bg-BG"/>
        </w:rPr>
        <w:t>Preference dividend paid</w:t>
      </w:r>
      <w:r>
        <w:rPr>
          <w:rFonts w:eastAsia="Times New Roman" w:cs="Arial" w:asciiTheme="majorHAnsi" w:hAnsiTheme="majorHAnsi"/>
          <w:sz w:val="20"/>
          <w:szCs w:val="20"/>
          <w:lang w:val="en-US" w:eastAsia="bg-BG"/>
        </w:rPr>
        <w:t xml:space="preserve"> + </w:t>
      </w:r>
      <w:r>
        <w:rPr>
          <w:rFonts w:eastAsia="Times New Roman" w:cs="Arial" w:asciiTheme="majorHAnsi" w:hAnsiTheme="majorHAnsi"/>
          <w:sz w:val="20"/>
          <w:szCs w:val="20"/>
          <w:lang w:eastAsia="bg-BG"/>
        </w:rPr>
        <w:t>Administrative expenses</w:t>
      </w:r>
      <w:r>
        <w:rPr>
          <w:rFonts w:eastAsia="Times New Roman" w:cs="Arial" w:asciiTheme="majorHAnsi" w:hAnsiTheme="majorHAnsi"/>
          <w:sz w:val="20"/>
          <w:szCs w:val="20"/>
          <w:lang w:val="en-US" w:eastAsia="bg-BG"/>
        </w:rPr>
        <w:t xml:space="preserve"> + </w:t>
      </w:r>
      <w:r>
        <w:rPr>
          <w:rFonts w:eastAsia="Times New Roman" w:cs="Arial" w:asciiTheme="majorHAnsi" w:hAnsiTheme="majorHAnsi"/>
          <w:sz w:val="20"/>
          <w:szCs w:val="20"/>
          <w:lang w:eastAsia="bg-BG"/>
        </w:rPr>
        <w:t>Directors remuneration</w:t>
      </w:r>
      <w:r>
        <w:rPr>
          <w:rFonts w:eastAsia="Times New Roman" w:cs="Arial" w:asciiTheme="majorHAnsi" w:hAnsiTheme="majorHAnsi"/>
          <w:sz w:val="20"/>
          <w:szCs w:val="20"/>
          <w:lang w:val="en-US" w:eastAsia="bg-BG"/>
        </w:rPr>
        <w:t xml:space="preserve"> (£20000+£30000+£30000+£5000=£85000). </w:t>
      </w:r>
    </w:p>
    <w:p>
      <w:pPr>
        <w:pStyle w:val="9"/>
        <w:shd w:val="clear" w:color="auto" w:fill="FFFFFF"/>
        <w:spacing w:before="0" w:beforeAutospacing="0" w:after="0" w:afterAutospacing="0"/>
        <w:jc w:val="both"/>
        <w:rPr>
          <w:rFonts w:cs="Arial" w:asciiTheme="majorHAnsi" w:hAnsiTheme="majorHAnsi"/>
          <w:color w:val="111111"/>
          <w:sz w:val="20"/>
          <w:szCs w:val="20"/>
          <w:lang w:val="en-US"/>
        </w:rPr>
      </w:pPr>
      <w:r>
        <w:rPr>
          <w:rFonts w:cs="Arial" w:asciiTheme="majorHAnsi" w:hAnsiTheme="majorHAnsi"/>
          <w:b/>
          <w:color w:val="111111"/>
          <w:sz w:val="20"/>
          <w:szCs w:val="20"/>
          <w:u w:val="single"/>
          <w:lang w:val="en-US"/>
        </w:rPr>
        <w:t>Operating profit</w:t>
      </w:r>
      <w:r>
        <w:rPr>
          <w:rFonts w:cs="Arial" w:asciiTheme="majorHAnsi" w:hAnsiTheme="majorHAnsi"/>
          <w:b/>
          <w:color w:val="111111"/>
          <w:sz w:val="20"/>
          <w:szCs w:val="20"/>
          <w:lang w:val="en-US"/>
        </w:rPr>
        <w:t xml:space="preserve"> </w:t>
      </w:r>
      <w:r>
        <w:rPr>
          <w:rFonts w:cs="Arial" w:asciiTheme="majorHAnsi" w:hAnsiTheme="majorHAnsi"/>
          <w:color w:val="111111"/>
          <w:sz w:val="20"/>
          <w:szCs w:val="20"/>
          <w:lang w:val="en-US"/>
        </w:rPr>
        <w:t>or Earnings before Interest and Taxes (EBIT)</w:t>
      </w:r>
    </w:p>
    <w:p>
      <w:pPr>
        <w:pStyle w:val="9"/>
        <w:shd w:val="clear" w:color="auto" w:fill="FFFFFF"/>
        <w:spacing w:before="0" w:beforeAutospacing="0" w:after="0" w:afterAutospacing="0"/>
        <w:jc w:val="both"/>
        <w:rPr>
          <w:rFonts w:cs="Arial" w:asciiTheme="majorHAnsi" w:hAnsiTheme="majorHAnsi"/>
          <w:color w:val="111111"/>
          <w:sz w:val="20"/>
          <w:szCs w:val="20"/>
        </w:rPr>
      </w:pPr>
      <w:r>
        <w:rPr>
          <w:rFonts w:cs="Arial" w:asciiTheme="majorHAnsi" w:hAnsiTheme="majorHAnsi"/>
          <w:color w:val="222222"/>
          <w:sz w:val="20"/>
          <w:szCs w:val="20"/>
          <w:shd w:val="clear" w:color="auto" w:fill="FFFFFF"/>
        </w:rPr>
        <w:t>Operating profit is the profitability of the business, before taking into account interest and taxes. To determine operating profit, </w:t>
      </w:r>
      <w:r>
        <w:rPr>
          <w:rFonts w:cs="Arial" w:asciiTheme="majorHAnsi" w:hAnsiTheme="majorHAnsi"/>
          <w:color w:val="222222"/>
          <w:sz w:val="20"/>
          <w:szCs w:val="20"/>
          <w:shd w:val="clear" w:color="auto" w:fill="FFFFFF"/>
          <w:lang w:val="en-US"/>
        </w:rPr>
        <w:t>operating expenses</w:t>
      </w:r>
      <w:r>
        <w:rPr>
          <w:rFonts w:cs="Arial" w:asciiTheme="majorHAnsi" w:hAnsiTheme="majorHAnsi"/>
          <w:color w:val="222222"/>
          <w:sz w:val="20"/>
          <w:szCs w:val="20"/>
          <w:shd w:val="clear" w:color="auto" w:fill="FFFFFF"/>
        </w:rPr>
        <w:t xml:space="preserve"> are subtracted from gross profit. Operating profit is a key number for managers to watch as it reflects the</w:t>
      </w:r>
      <w:r>
        <w:rPr>
          <w:rFonts w:cs="Arial" w:asciiTheme="majorHAnsi" w:hAnsiTheme="majorHAnsi"/>
          <w:color w:val="222222"/>
          <w:sz w:val="20"/>
          <w:szCs w:val="20"/>
          <w:shd w:val="clear" w:color="auto" w:fill="FFFFFF"/>
          <w:lang w:val="en-US"/>
        </w:rPr>
        <w:t xml:space="preserve"> revenue</w:t>
      </w:r>
      <w:r>
        <w:rPr>
          <w:rFonts w:cs="Arial" w:asciiTheme="majorHAnsi" w:hAnsiTheme="majorHAnsi"/>
          <w:color w:val="222222"/>
          <w:sz w:val="20"/>
          <w:szCs w:val="20"/>
          <w:shd w:val="clear" w:color="auto" w:fill="FFFFFF"/>
        </w:rPr>
        <w:t> and expenses that they can control.</w:t>
      </w:r>
      <w:r>
        <w:rPr>
          <w:rFonts w:cs="Arial" w:asciiTheme="majorHAnsi" w:hAnsiTheme="majorHAnsi"/>
          <w:color w:val="111111"/>
          <w:sz w:val="20"/>
          <w:szCs w:val="20"/>
        </w:rPr>
        <w:t> </w:t>
      </w:r>
    </w:p>
    <w:p>
      <w:pPr>
        <w:pStyle w:val="9"/>
        <w:shd w:val="clear" w:color="auto" w:fill="FFFFFF"/>
        <w:spacing w:before="0" w:beforeAutospacing="0" w:after="0" w:afterAutospacing="0"/>
        <w:jc w:val="both"/>
        <w:rPr>
          <w:rFonts w:cs="Arial" w:asciiTheme="majorHAnsi" w:hAnsiTheme="majorHAnsi"/>
          <w:color w:val="111111"/>
          <w:sz w:val="20"/>
          <w:szCs w:val="20"/>
          <w:lang w:val="en-US"/>
        </w:rPr>
      </w:pPr>
      <w:r>
        <w:rPr>
          <w:rFonts w:cs="Arial" w:asciiTheme="majorHAnsi" w:hAnsiTheme="majorHAnsi"/>
          <w:color w:val="111111"/>
          <w:sz w:val="20"/>
          <w:szCs w:val="20"/>
        </w:rPr>
        <w:t>Operating profit can be calculated using the following formula:</w:t>
      </w:r>
    </w:p>
    <w:p>
      <w:pPr>
        <w:pStyle w:val="9"/>
        <w:shd w:val="clear" w:color="auto" w:fill="FFFFFF"/>
        <w:spacing w:before="0" w:beforeAutospacing="0" w:after="0" w:afterAutospacing="0"/>
        <w:jc w:val="both"/>
        <w:rPr>
          <w:rFonts w:cs="Arial" w:asciiTheme="majorHAnsi" w:hAnsiTheme="majorHAnsi"/>
          <w:color w:val="111111"/>
          <w:sz w:val="20"/>
          <w:szCs w:val="20"/>
          <w:lang w:val="en-US"/>
        </w:rPr>
      </w:pPr>
    </w:p>
    <w:p>
      <w:pPr>
        <w:pStyle w:val="9"/>
        <w:shd w:val="clear" w:color="auto" w:fill="FFFFFF"/>
        <w:spacing w:before="0" w:beforeAutospacing="0" w:after="240" w:afterAutospacing="0"/>
        <w:ind w:left="2835" w:hanging="2835"/>
        <w:jc w:val="both"/>
        <w:rPr>
          <w:rStyle w:val="6"/>
          <w:rFonts w:cs="Arial" w:asciiTheme="majorHAnsi" w:hAnsiTheme="majorHAnsi"/>
          <w:sz w:val="20"/>
          <w:szCs w:val="20"/>
          <w:lang w:val="en-US"/>
        </w:rPr>
      </w:pPr>
      <w:r>
        <w:rPr>
          <w:rStyle w:val="6"/>
          <w:rFonts w:cs="Arial" w:asciiTheme="majorHAnsi" w:hAnsiTheme="majorHAnsi"/>
          <w:color w:val="111111"/>
          <w:sz w:val="20"/>
          <w:szCs w:val="20"/>
        </w:rPr>
        <w:t xml:space="preserve">OPERATING PROFIT = </w:t>
      </w:r>
      <w:r>
        <w:rPr>
          <w:rStyle w:val="6"/>
          <w:rFonts w:cs="Arial" w:asciiTheme="majorHAnsi" w:hAnsiTheme="majorHAnsi"/>
          <w:color w:val="111111"/>
          <w:sz w:val="20"/>
          <w:szCs w:val="20"/>
          <w:lang w:val="en-US"/>
        </w:rPr>
        <w:tab/>
      </w:r>
      <w:r>
        <w:rPr>
          <w:rFonts w:cs="Arial" w:asciiTheme="majorHAnsi" w:hAnsiTheme="majorHAnsi"/>
          <w:b/>
          <w:color w:val="111111"/>
          <w:sz w:val="20"/>
          <w:szCs w:val="20"/>
          <w:shd w:val="clear" w:color="auto" w:fill="FFFFFF"/>
          <w:lang w:val="en-US"/>
        </w:rPr>
        <w:t>REVENUE (SALES) – COST OF SALES</w:t>
      </w:r>
      <w:r>
        <w:rPr>
          <w:rStyle w:val="6"/>
          <w:rFonts w:cs="Arial" w:asciiTheme="majorHAnsi" w:hAnsiTheme="majorHAnsi"/>
          <w:color w:val="111111"/>
          <w:sz w:val="20"/>
          <w:szCs w:val="20"/>
        </w:rPr>
        <w:t xml:space="preserve"> –</w:t>
      </w:r>
      <w:r>
        <w:rPr>
          <w:rStyle w:val="6"/>
          <w:rFonts w:cs="Arial" w:asciiTheme="majorHAnsi" w:hAnsiTheme="majorHAnsi"/>
          <w:color w:val="111111"/>
          <w:sz w:val="20"/>
          <w:szCs w:val="20"/>
          <w:lang w:val="en-US"/>
        </w:rPr>
        <w:t xml:space="preserve"> </w:t>
      </w:r>
      <w:r>
        <w:rPr>
          <w:rFonts w:cs="Arial" w:asciiTheme="majorHAnsi" w:hAnsiTheme="majorHAnsi"/>
          <w:b/>
          <w:sz w:val="20"/>
          <w:szCs w:val="20"/>
          <w:lang w:val="en-US"/>
        </w:rPr>
        <w:t xml:space="preserve">OPERATING EXPENSES </w:t>
      </w:r>
      <w:r>
        <w:rPr>
          <w:rFonts w:cs="Arial" w:asciiTheme="majorHAnsi" w:hAnsiTheme="majorHAnsi"/>
          <w:sz w:val="20"/>
          <w:szCs w:val="20"/>
          <w:lang w:val="en-US"/>
        </w:rPr>
        <w:t>(which are represented as a sum of distribution costs + administration costs)</w:t>
      </w:r>
      <w:r>
        <w:rPr>
          <w:rStyle w:val="6"/>
          <w:rFonts w:cs="Arial" w:asciiTheme="majorHAnsi" w:hAnsiTheme="majorHAnsi"/>
          <w:color w:val="111111"/>
          <w:sz w:val="20"/>
          <w:szCs w:val="20"/>
        </w:rPr>
        <w:t xml:space="preserve"> – </w:t>
      </w:r>
      <w:r>
        <w:rPr>
          <w:rStyle w:val="6"/>
          <w:rFonts w:cs="Arial" w:asciiTheme="majorHAnsi" w:hAnsiTheme="majorHAnsi"/>
          <w:sz w:val="20"/>
          <w:szCs w:val="20"/>
        </w:rPr>
        <w:t>DEPRECIATION – AMORTIZATION</w:t>
      </w:r>
    </w:p>
    <w:p>
      <w:pPr>
        <w:pStyle w:val="9"/>
        <w:shd w:val="clear" w:color="auto" w:fill="FFFFFF"/>
        <w:spacing w:before="0" w:beforeAutospacing="0" w:after="240" w:afterAutospacing="0"/>
        <w:jc w:val="both"/>
        <w:rPr>
          <w:rFonts w:cs="Arial" w:asciiTheme="majorHAnsi" w:hAnsiTheme="majorHAnsi"/>
          <w:sz w:val="20"/>
          <w:szCs w:val="20"/>
          <w:lang w:val="en-US"/>
        </w:rPr>
      </w:pPr>
      <w:r>
        <w:rPr>
          <w:rFonts w:cs="Arial" w:asciiTheme="majorHAnsi" w:hAnsiTheme="majorHAnsi"/>
          <w:b/>
          <w:sz w:val="20"/>
          <w:szCs w:val="20"/>
          <w:u w:val="single"/>
          <w:shd w:val="clear" w:color="auto" w:fill="FFFFFF"/>
        </w:rPr>
        <w:t>Net profit</w:t>
      </w:r>
      <w:r>
        <w:rPr>
          <w:rFonts w:cs="Arial" w:asciiTheme="majorHAnsi" w:hAnsiTheme="majorHAnsi"/>
          <w:sz w:val="20"/>
          <w:szCs w:val="20"/>
          <w:shd w:val="clear" w:color="auto" w:fill="FFFFFF"/>
        </w:rPr>
        <w:t xml:space="preserve"> is the measurement of a company's profit once operating costs, taxes, interest and depreciation have all been subtracted from its total revenues. The term is often referred to as a company's 'bottom line' and may also be described as 'net earnings' or 'net income'.</w:t>
      </w:r>
    </w:p>
    <w:p>
      <w:pPr>
        <w:ind w:left="2835" w:hanging="2835"/>
        <w:jc w:val="both"/>
        <w:rPr>
          <w:rFonts w:cs="Arial" w:asciiTheme="majorHAnsi" w:hAnsiTheme="majorHAnsi"/>
          <w:b/>
          <w:sz w:val="20"/>
          <w:szCs w:val="20"/>
          <w:lang w:val="en-US"/>
        </w:rPr>
      </w:pPr>
      <w:r>
        <w:rPr>
          <w:rFonts w:cs="Arial" w:asciiTheme="majorHAnsi" w:hAnsiTheme="majorHAnsi"/>
          <w:b/>
          <w:sz w:val="20"/>
          <w:szCs w:val="20"/>
          <w:lang w:val="en-US"/>
        </w:rPr>
        <w:t xml:space="preserve">NET PROFIT = </w:t>
      </w:r>
      <w:r>
        <w:rPr>
          <w:rFonts w:cs="Arial" w:asciiTheme="majorHAnsi" w:hAnsiTheme="majorHAnsi"/>
          <w:b/>
          <w:sz w:val="20"/>
          <w:szCs w:val="20"/>
          <w:lang w:val="en-US"/>
        </w:rPr>
        <w:tab/>
      </w:r>
      <w:r>
        <w:rPr>
          <w:rFonts w:cs="Arial" w:asciiTheme="majorHAnsi" w:hAnsiTheme="majorHAnsi"/>
          <w:b/>
          <w:sz w:val="20"/>
          <w:szCs w:val="20"/>
          <w:lang w:val="en-US"/>
        </w:rPr>
        <w:t>REVENUE (SALES) – COST OF SALES – OPERATING EXPENSES – INTEREST PAID – TAXATION</w:t>
      </w:r>
    </w:p>
    <w:p>
      <w:pPr>
        <w:jc w:val="both"/>
        <w:rPr>
          <w:rFonts w:cs="Arial" w:asciiTheme="majorHAnsi" w:hAnsiTheme="majorHAnsi"/>
          <w:sz w:val="20"/>
          <w:szCs w:val="20"/>
          <w:lang w:val="en-US"/>
        </w:rPr>
      </w:pPr>
    </w:p>
    <w:p>
      <w:pPr>
        <w:jc w:val="both"/>
        <w:rPr>
          <w:rFonts w:cs="Arial" w:asciiTheme="majorHAnsi" w:hAnsiTheme="majorHAnsi"/>
          <w:b/>
          <w:i/>
          <w:sz w:val="20"/>
          <w:szCs w:val="20"/>
          <w:u w:val="single"/>
          <w:lang w:val="en-US"/>
        </w:rPr>
      </w:pPr>
      <w:r>
        <w:rPr>
          <w:rFonts w:cs="Arial" w:asciiTheme="majorHAnsi" w:hAnsiTheme="majorHAnsi"/>
          <w:b/>
          <w:i/>
          <w:sz w:val="20"/>
          <w:szCs w:val="20"/>
          <w:u w:val="single"/>
          <w:lang w:val="en-US"/>
        </w:rPr>
        <w:t>BALANCE SHEET as at 31/12/2018</w:t>
      </w:r>
    </w:p>
    <w:p>
      <w:pPr>
        <w:jc w:val="both"/>
        <w:rPr>
          <w:rFonts w:cs="Arial" w:asciiTheme="majorHAnsi" w:hAnsiTheme="majorHAnsi"/>
          <w:sz w:val="20"/>
          <w:szCs w:val="20"/>
          <w:lang w:val="en-US"/>
        </w:rPr>
      </w:pPr>
      <w:r>
        <w:rPr>
          <w:rFonts w:cs="Arial" w:asciiTheme="majorHAnsi" w:hAnsiTheme="majorHAnsi"/>
          <w:b/>
          <w:sz w:val="20"/>
          <w:szCs w:val="20"/>
          <w:lang w:val="en-US"/>
        </w:rPr>
        <w:t>Definition</w:t>
      </w:r>
      <w:r>
        <w:rPr>
          <w:rFonts w:cs="Arial" w:asciiTheme="majorHAnsi" w:hAnsiTheme="majorHAnsi"/>
          <w:sz w:val="20"/>
          <w:szCs w:val="20"/>
          <w:lang w:val="en-US"/>
        </w:rPr>
        <w:t>: A balance sheet is a financial statement that reports a company's assets, liabilities and shareholders' equity at a specific point in time, and provides a basis for computing rates of return and evaluating its capital structure. It is a financial statement that provides a snapshot of what a company owns and owes, as well as the amount invested by shareholders.</w:t>
      </w:r>
    </w:p>
    <w:p>
      <w:pPr>
        <w:jc w:val="both"/>
        <w:rPr>
          <w:rFonts w:cs="Arial" w:asciiTheme="majorHAnsi" w:hAnsiTheme="majorHAnsi"/>
          <w:sz w:val="20"/>
          <w:szCs w:val="20"/>
          <w:lang w:val="en-US"/>
        </w:rPr>
      </w:pPr>
      <w:r>
        <w:rPr>
          <w:rFonts w:cs="Arial" w:asciiTheme="majorHAnsi" w:hAnsiTheme="majorHAnsi"/>
          <w:sz w:val="20"/>
          <w:szCs w:val="20"/>
          <w:lang w:val="en-US"/>
        </w:rPr>
        <w:t>The balance sheet is used alongside other important financial statements such as the income statement and statement of cash flows in conducting fundamental analysis or calculating financial ratios.</w:t>
      </w:r>
    </w:p>
    <w:p>
      <w:pPr>
        <w:jc w:val="both"/>
        <w:rPr>
          <w:rFonts w:cs="Arial" w:asciiTheme="majorHAnsi" w:hAnsiTheme="majorHAnsi"/>
          <w:sz w:val="20"/>
          <w:szCs w:val="20"/>
          <w:lang w:val="en-US"/>
        </w:rPr>
      </w:pPr>
      <w:r>
        <w:rPr>
          <w:rFonts w:cs="Arial" w:asciiTheme="majorHAnsi" w:hAnsiTheme="majorHAnsi"/>
          <w:sz w:val="20"/>
          <w:szCs w:val="20"/>
          <w:lang w:val="en-US"/>
        </w:rPr>
        <w:t xml:space="preserve">The amount of ‘Plant and equipment’ is shown as </w:t>
      </w:r>
      <w:r>
        <w:rPr>
          <w:rFonts w:cs="Arial" w:asciiTheme="majorHAnsi" w:hAnsiTheme="majorHAnsi"/>
          <w:b/>
          <w:sz w:val="20"/>
          <w:szCs w:val="20"/>
          <w:lang w:val="en-US"/>
        </w:rPr>
        <w:t xml:space="preserve">Non-current assets </w:t>
      </w:r>
      <w:r>
        <w:rPr>
          <w:rFonts w:cs="Arial" w:asciiTheme="majorHAnsi" w:hAnsiTheme="majorHAnsi"/>
          <w:sz w:val="20"/>
          <w:szCs w:val="20"/>
          <w:lang w:val="en-US"/>
        </w:rPr>
        <w:t>in the Balance sheet.</w:t>
      </w:r>
    </w:p>
    <w:p>
      <w:pPr>
        <w:jc w:val="both"/>
        <w:rPr>
          <w:rFonts w:eastAsia="Times New Roman" w:cs="Arial" w:asciiTheme="majorHAnsi" w:hAnsiTheme="majorHAnsi"/>
          <w:sz w:val="20"/>
          <w:szCs w:val="20"/>
          <w:lang w:val="en-US" w:eastAsia="bg-BG"/>
        </w:rPr>
      </w:pPr>
      <w:r>
        <w:rPr>
          <w:rFonts w:cs="Arial" w:asciiTheme="majorHAnsi" w:hAnsiTheme="majorHAnsi"/>
          <w:b/>
          <w:sz w:val="20"/>
          <w:szCs w:val="20"/>
          <w:lang w:val="en-US"/>
        </w:rPr>
        <w:t>Current assets</w:t>
      </w:r>
      <w:r>
        <w:rPr>
          <w:rFonts w:cs="Arial" w:asciiTheme="majorHAnsi" w:hAnsiTheme="majorHAnsi"/>
          <w:sz w:val="20"/>
          <w:szCs w:val="20"/>
          <w:lang w:val="en-US"/>
        </w:rPr>
        <w:t xml:space="preserve"> is shown as a sum of </w:t>
      </w:r>
      <w:r>
        <w:rPr>
          <w:rFonts w:eastAsia="Times New Roman" w:cs="Arial" w:asciiTheme="majorHAnsi" w:hAnsiTheme="majorHAnsi"/>
          <w:sz w:val="20"/>
          <w:szCs w:val="20"/>
          <w:lang w:eastAsia="bg-BG"/>
        </w:rPr>
        <w:t>Stock at 31st December 2018</w:t>
      </w:r>
      <w:r>
        <w:rPr>
          <w:rFonts w:eastAsia="Times New Roman" w:cs="Arial" w:asciiTheme="majorHAnsi" w:hAnsiTheme="majorHAnsi"/>
          <w:sz w:val="20"/>
          <w:szCs w:val="20"/>
          <w:lang w:val="en-US" w:eastAsia="bg-BG"/>
        </w:rPr>
        <w:t xml:space="preserve"> (Inventory) + </w:t>
      </w:r>
      <w:r>
        <w:rPr>
          <w:rFonts w:eastAsia="Times New Roman" w:cs="Arial" w:asciiTheme="majorHAnsi" w:hAnsiTheme="majorHAnsi"/>
          <w:sz w:val="20"/>
          <w:szCs w:val="20"/>
          <w:lang w:eastAsia="bg-BG"/>
        </w:rPr>
        <w:t>Trade creditors</w:t>
      </w:r>
      <w:r>
        <w:rPr>
          <w:rFonts w:eastAsia="Times New Roman" w:cs="Arial" w:asciiTheme="majorHAnsi" w:hAnsiTheme="majorHAnsi"/>
          <w:sz w:val="20"/>
          <w:szCs w:val="20"/>
          <w:lang w:val="en-US" w:eastAsia="bg-BG"/>
        </w:rPr>
        <w:t xml:space="preserve"> (Trade receivables) + </w:t>
      </w:r>
      <w:r>
        <w:rPr>
          <w:rFonts w:eastAsia="Times New Roman" w:cs="Arial" w:asciiTheme="majorHAnsi" w:hAnsiTheme="majorHAnsi"/>
          <w:sz w:val="20"/>
          <w:szCs w:val="20"/>
          <w:lang w:eastAsia="bg-BG"/>
        </w:rPr>
        <w:t>Cash and bank</w:t>
      </w:r>
      <w:r>
        <w:rPr>
          <w:rFonts w:eastAsia="Times New Roman" w:cs="Arial" w:asciiTheme="majorHAnsi" w:hAnsiTheme="majorHAnsi"/>
          <w:sz w:val="20"/>
          <w:szCs w:val="20"/>
          <w:lang w:val="en-US" w:eastAsia="bg-BG"/>
        </w:rPr>
        <w:t xml:space="preserve"> (£330600 + £170125 + £12900 = £513625). </w:t>
      </w:r>
    </w:p>
    <w:p>
      <w:pPr>
        <w:jc w:val="both"/>
        <w:rPr>
          <w:rFonts w:cs="Arial" w:asciiTheme="majorHAnsi" w:hAnsiTheme="majorHAnsi"/>
          <w:sz w:val="20"/>
          <w:szCs w:val="20"/>
          <w:lang w:val="en-US"/>
        </w:rPr>
      </w:pPr>
      <w:r>
        <w:rPr>
          <w:rFonts w:eastAsia="Times New Roman" w:cs="Arial" w:asciiTheme="majorHAnsi" w:hAnsiTheme="majorHAnsi"/>
          <w:sz w:val="20"/>
          <w:szCs w:val="20"/>
          <w:lang w:val="en-US" w:eastAsia="bg-BG"/>
        </w:rPr>
        <w:t>After I reflect the receivables from customers for the good sold for the amount £980 the final amount of Current assets will be £514605 (= £330600 + £171105 + £12900)</w:t>
      </w: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r>
        <w:rPr>
          <w:rFonts w:cs="Arial" w:asciiTheme="majorHAnsi" w:hAnsiTheme="majorHAnsi"/>
          <w:sz w:val="20"/>
          <w:szCs w:val="20"/>
          <w:lang w:val="en-US"/>
        </w:rPr>
        <w:t xml:space="preserve">The amount for the Ordinary (£310`000) and Preference shares (£300`000) are shown in the Balance sheet as a part of the </w:t>
      </w:r>
      <w:r>
        <w:rPr>
          <w:rFonts w:cs="Arial" w:asciiTheme="majorHAnsi" w:hAnsiTheme="majorHAnsi"/>
          <w:b/>
          <w:sz w:val="20"/>
          <w:szCs w:val="20"/>
          <w:lang w:val="en-US"/>
        </w:rPr>
        <w:t>Equity</w:t>
      </w:r>
      <w:r>
        <w:rPr>
          <w:rFonts w:cs="Arial" w:asciiTheme="majorHAnsi" w:hAnsiTheme="majorHAnsi"/>
          <w:sz w:val="20"/>
          <w:szCs w:val="20"/>
          <w:lang w:val="en-US"/>
        </w:rPr>
        <w:t xml:space="preserve">. </w:t>
      </w:r>
    </w:p>
    <w:p>
      <w:pPr>
        <w:jc w:val="both"/>
        <w:rPr>
          <w:rFonts w:cs="Arial" w:asciiTheme="majorHAnsi" w:hAnsiTheme="majorHAnsi"/>
          <w:sz w:val="20"/>
          <w:szCs w:val="20"/>
          <w:lang w:val="en-US"/>
        </w:rPr>
      </w:pPr>
      <w:r>
        <w:rPr>
          <w:rFonts w:cs="Arial" w:asciiTheme="majorHAnsi" w:hAnsiTheme="majorHAnsi"/>
          <w:sz w:val="20"/>
          <w:szCs w:val="20"/>
          <w:lang w:val="en-US"/>
        </w:rPr>
        <w:t xml:space="preserve">I accept that the issued the Debentures from the Company are to be redeemed after one year. They are shown under </w:t>
      </w:r>
      <w:r>
        <w:rPr>
          <w:rFonts w:cs="Arial" w:asciiTheme="majorHAnsi" w:hAnsiTheme="majorHAnsi"/>
          <w:b/>
          <w:sz w:val="20"/>
          <w:szCs w:val="20"/>
          <w:lang w:val="en-US"/>
        </w:rPr>
        <w:t>Non-Current Liabilities</w:t>
      </w:r>
      <w:r>
        <w:rPr>
          <w:rFonts w:cs="Arial" w:asciiTheme="majorHAnsi" w:hAnsiTheme="majorHAnsi"/>
          <w:sz w:val="20"/>
          <w:szCs w:val="20"/>
          <w:lang w:val="en-US"/>
        </w:rPr>
        <w:t xml:space="preserve"> in the Balance Sheet. </w:t>
      </w:r>
    </w:p>
    <w:p>
      <w:pPr>
        <w:jc w:val="both"/>
        <w:rPr>
          <w:rFonts w:cs="Arial" w:asciiTheme="majorHAnsi" w:hAnsiTheme="majorHAnsi"/>
          <w:sz w:val="20"/>
          <w:szCs w:val="20"/>
          <w:lang w:val="en-US"/>
        </w:rPr>
      </w:pPr>
      <w:r>
        <w:rPr>
          <w:rFonts w:cs="Arial" w:asciiTheme="majorHAnsi" w:hAnsiTheme="majorHAnsi"/>
          <w:sz w:val="20"/>
          <w:szCs w:val="20"/>
          <w:lang w:val="en-US"/>
        </w:rPr>
        <w:t xml:space="preserve">The amount for Trade creditors is shown at the balance sheet as </w:t>
      </w:r>
      <w:r>
        <w:rPr>
          <w:rFonts w:cs="Arial" w:asciiTheme="majorHAnsi" w:hAnsiTheme="majorHAnsi"/>
          <w:b/>
          <w:sz w:val="20"/>
          <w:szCs w:val="20"/>
          <w:lang w:val="en-US"/>
        </w:rPr>
        <w:t>Current liabilities</w:t>
      </w:r>
      <w:r>
        <w:rPr>
          <w:rFonts w:cs="Arial" w:asciiTheme="majorHAnsi" w:hAnsiTheme="majorHAnsi"/>
          <w:sz w:val="20"/>
          <w:szCs w:val="20"/>
          <w:lang w:val="en-US"/>
        </w:rPr>
        <w:t xml:space="preserve">. There is a commission of £3000 owed to the salesmen </w:t>
      </w:r>
      <w:r>
        <w:rPr>
          <w:rFonts w:cs="Arial" w:asciiTheme="majorHAnsi" w:hAnsiTheme="majorHAnsi"/>
          <w:sz w:val="20"/>
          <w:szCs w:val="20"/>
        </w:rPr>
        <w:t>in respect of December sales</w:t>
      </w:r>
      <w:r>
        <w:rPr>
          <w:rFonts w:cs="Arial" w:asciiTheme="majorHAnsi" w:hAnsiTheme="majorHAnsi"/>
          <w:sz w:val="20"/>
          <w:szCs w:val="20"/>
          <w:lang w:val="en-US"/>
        </w:rPr>
        <w:t xml:space="preserve">. </w:t>
      </w:r>
      <w:r>
        <w:rPr>
          <w:rFonts w:cs="Arial" w:asciiTheme="majorHAnsi" w:hAnsiTheme="majorHAnsi"/>
          <w:sz w:val="20"/>
          <w:szCs w:val="20"/>
        </w:rPr>
        <w:t>It will be paid on 31st January 2019</w:t>
      </w:r>
      <w:r>
        <w:rPr>
          <w:rFonts w:cs="Arial" w:asciiTheme="majorHAnsi" w:hAnsiTheme="majorHAnsi"/>
          <w:sz w:val="20"/>
          <w:szCs w:val="20"/>
          <w:lang w:val="en-US"/>
        </w:rPr>
        <w:t>. That is why I increase the amount for Trade creditors from £171355 to £174355 (=£171355 + £3000)</w:t>
      </w:r>
    </w:p>
    <w:p>
      <w:pPr>
        <w:jc w:val="both"/>
        <w:rPr>
          <w:rFonts w:cs="Arial" w:asciiTheme="majorHAnsi" w:hAnsiTheme="majorHAnsi"/>
          <w:sz w:val="20"/>
          <w:szCs w:val="20"/>
          <w:lang w:val="en-US"/>
        </w:rPr>
      </w:pPr>
      <w:r>
        <w:rPr>
          <w:rFonts w:cs="Arial" w:asciiTheme="majorHAnsi" w:hAnsiTheme="majorHAnsi"/>
          <w:b/>
          <w:sz w:val="20"/>
          <w:szCs w:val="20"/>
          <w:lang w:val="en-US"/>
        </w:rPr>
        <w:t>Definition for Equity:</w:t>
      </w:r>
      <w:r>
        <w:rPr>
          <w:rFonts w:cs="Arial" w:asciiTheme="majorHAnsi" w:hAnsiTheme="majorHAnsi"/>
          <w:sz w:val="20"/>
          <w:szCs w:val="20"/>
          <w:lang w:val="en-US"/>
        </w:rPr>
        <w:t xml:space="preserve"> The Equity typically referred to as shareholders' equity (or 'owners’ equity' for privately held companies), represents the amount of money that would be returned to a company’s shareholders if all of the assets were liquidated and all of the company's debt was paid off in the case of liquidation. In the case of acquisition, it is the value of company sale minus any liabilities owed by the company not transferred with the sale. In addition, shareholder equity can represent the book value of a company. It also represents the pro-rata ownership of a company's shares. </w:t>
      </w:r>
      <w:r>
        <w:rPr>
          <w:rFonts w:ascii="Tahoma" w:hAnsi="Tahoma" w:cs="Tahoma"/>
          <w:sz w:val="20"/>
          <w:szCs w:val="20"/>
          <w:lang w:val="en-US"/>
        </w:rPr>
        <w:t>﻿</w:t>
      </w:r>
      <w:r>
        <w:rPr>
          <w:rFonts w:cs="Arial" w:asciiTheme="majorHAnsi" w:hAnsiTheme="majorHAnsi"/>
          <w:sz w:val="20"/>
          <w:szCs w:val="20"/>
          <w:lang w:val="en-US"/>
        </w:rPr>
        <w:t>Equity can be found on a company's balance sheet and is one of the most common pieces of data employed by analysts to assess the financial health of a company.</w:t>
      </w:r>
    </w:p>
    <w:p>
      <w:pPr>
        <w:jc w:val="both"/>
        <w:rPr>
          <w:rFonts w:cs="Arial" w:asciiTheme="majorHAnsi" w:hAnsiTheme="majorHAnsi"/>
          <w:sz w:val="20"/>
          <w:szCs w:val="20"/>
          <w:lang w:val="en-US"/>
        </w:rPr>
      </w:pPr>
      <w:r>
        <w:rPr>
          <w:rFonts w:cs="Arial" w:asciiTheme="majorHAnsi" w:hAnsiTheme="majorHAnsi"/>
          <w:sz w:val="20"/>
          <w:szCs w:val="20"/>
          <w:lang w:val="en-US"/>
        </w:rPr>
        <w:t>The Equity/Capital of a company represents the amount of shares (ordinary and preference), other reserves, and the retained earnings from previous years and current profit before taxation.</w:t>
      </w:r>
    </w:p>
    <w:p>
      <w:pPr>
        <w:jc w:val="both"/>
        <w:rPr>
          <w:rFonts w:cs="Arial" w:asciiTheme="majorHAnsi" w:hAnsiTheme="majorHAnsi"/>
          <w:sz w:val="20"/>
          <w:szCs w:val="20"/>
          <w:lang w:val="en-US"/>
        </w:rPr>
      </w:pPr>
      <w:r>
        <w:rPr>
          <w:rFonts w:cs="Arial" w:asciiTheme="majorHAnsi" w:hAnsiTheme="majorHAnsi"/>
          <w:sz w:val="20"/>
          <w:szCs w:val="20"/>
          <w:lang w:val="en-US"/>
        </w:rPr>
        <w:t>The Balance sheet is balanced after we calculate the Profit before taxation which amount should be included in the total amount of equity.</w:t>
      </w: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sz w:val="20"/>
          <w:szCs w:val="20"/>
          <w:lang w:val="en-US"/>
        </w:rPr>
      </w:pPr>
    </w:p>
    <w:p>
      <w:pPr>
        <w:jc w:val="both"/>
        <w:rPr>
          <w:rFonts w:cs="Arial" w:asciiTheme="majorHAnsi" w:hAnsiTheme="majorHAnsi"/>
          <w:b/>
          <w:i/>
          <w:sz w:val="20"/>
          <w:szCs w:val="20"/>
          <w:u w:val="single"/>
          <w:lang w:val="en-US"/>
        </w:rPr>
      </w:pPr>
      <w:r>
        <w:rPr>
          <w:rFonts w:cs="Arial" w:asciiTheme="majorHAnsi" w:hAnsiTheme="majorHAnsi"/>
          <w:b/>
          <w:i/>
          <w:sz w:val="20"/>
          <w:szCs w:val="20"/>
          <w:u w:val="single"/>
          <w:lang w:val="en-US"/>
        </w:rPr>
        <w:t>QUESTION 2</w:t>
      </w:r>
    </w:p>
    <w:p>
      <w:pPr>
        <w:jc w:val="both"/>
        <w:rPr>
          <w:rFonts w:asciiTheme="majorHAnsi" w:hAnsiTheme="majorHAnsi"/>
          <w:sz w:val="20"/>
          <w:szCs w:val="20"/>
        </w:rPr>
      </w:pPr>
      <w:r>
        <w:rPr>
          <w:rFonts w:asciiTheme="majorHAnsi" w:hAnsiTheme="majorHAnsi"/>
          <w:sz w:val="20"/>
          <w:szCs w:val="20"/>
        </w:rPr>
        <w:t>Chocco plc is a long-established chocolate and confectionery manufacturer. All products are manufactured in the UK, but sales are made worldwide. It is a growing but competitive market. Given below are extracts from their financial statements</w:t>
      </w:r>
      <w:r>
        <w:rPr>
          <w:rFonts w:asciiTheme="majorHAnsi" w:hAnsiTheme="majorHAnsi"/>
          <w:sz w:val="20"/>
          <w:szCs w:val="20"/>
          <w:lang w:val="en-US"/>
        </w:rPr>
        <w:t>.</w:t>
      </w:r>
    </w:p>
    <w:p>
      <w:pPr>
        <w:pStyle w:val="8"/>
        <w:rPr>
          <w:rFonts w:asciiTheme="majorHAnsi" w:hAnsiTheme="majorHAnsi"/>
          <w:sz w:val="20"/>
          <w:szCs w:val="20"/>
        </w:rPr>
      </w:pPr>
    </w:p>
    <w:tbl>
      <w:tblPr>
        <w:tblStyle w:val="7"/>
        <w:tblW w:w="7060" w:type="dxa"/>
        <w:tblInd w:w="55" w:type="dxa"/>
        <w:tblLayout w:type="fixed"/>
        <w:tblCellMar>
          <w:top w:w="0" w:type="dxa"/>
          <w:left w:w="70" w:type="dxa"/>
          <w:bottom w:w="0" w:type="dxa"/>
          <w:right w:w="70" w:type="dxa"/>
        </w:tblCellMar>
      </w:tblPr>
      <w:tblGrid>
        <w:gridCol w:w="5140"/>
        <w:gridCol w:w="960"/>
        <w:gridCol w:w="960"/>
      </w:tblGrid>
      <w:tr>
        <w:tblPrEx>
          <w:tblLayout w:type="fixed"/>
          <w:tblCellMar>
            <w:top w:w="0" w:type="dxa"/>
            <w:left w:w="70" w:type="dxa"/>
            <w:bottom w:w="0" w:type="dxa"/>
            <w:right w:w="70" w:type="dxa"/>
          </w:tblCellMar>
        </w:tblPrEx>
        <w:trPr>
          <w:trHeight w:val="315" w:hRule="atLeast"/>
        </w:trPr>
        <w:tc>
          <w:tcPr>
            <w:tcW w:w="5140" w:type="dxa"/>
            <w:tcBorders>
              <w:top w:val="single" w:color="auto" w:sz="4" w:space="0"/>
              <w:left w:val="nil"/>
              <w:bottom w:val="double" w:color="auto" w:sz="6" w:space="0"/>
              <w:right w:val="nil"/>
            </w:tcBorders>
            <w:shd w:val="clear" w:color="000000" w:fill="C4BD97"/>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Income statement for the year ended 31st December</w:t>
            </w:r>
          </w:p>
        </w:tc>
        <w:tc>
          <w:tcPr>
            <w:tcW w:w="960" w:type="dxa"/>
            <w:tcBorders>
              <w:top w:val="single" w:color="auto" w:sz="4" w:space="0"/>
              <w:left w:val="nil"/>
              <w:bottom w:val="double" w:color="auto" w:sz="6" w:space="0"/>
              <w:right w:val="nil"/>
            </w:tcBorders>
            <w:shd w:val="clear" w:color="000000" w:fill="C4BD97"/>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2019</w:t>
            </w:r>
          </w:p>
        </w:tc>
        <w:tc>
          <w:tcPr>
            <w:tcW w:w="960" w:type="dxa"/>
            <w:tcBorders>
              <w:top w:val="single" w:color="auto" w:sz="4" w:space="0"/>
              <w:left w:val="nil"/>
              <w:bottom w:val="double" w:color="auto" w:sz="6" w:space="0"/>
              <w:right w:val="nil"/>
            </w:tcBorders>
            <w:shd w:val="clear" w:color="000000" w:fill="C4BD97"/>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2018</w:t>
            </w:r>
          </w:p>
        </w:tc>
      </w:tr>
      <w:tr>
        <w:tblPrEx>
          <w:tblLayout w:type="fixed"/>
          <w:tblCellMar>
            <w:top w:w="0" w:type="dxa"/>
            <w:left w:w="70" w:type="dxa"/>
            <w:bottom w:w="0" w:type="dxa"/>
            <w:right w:w="70" w:type="dxa"/>
          </w:tblCellMar>
        </w:tblPrEx>
        <w:trPr>
          <w:trHeight w:val="315"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£m</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£m</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Revenue</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6738</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6441</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Cost of sales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3235</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3096</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single" w:color="auto" w:sz="4" w:space="0"/>
              <w:left w:val="nil"/>
              <w:bottom w:val="single" w:color="auto" w:sz="4" w:space="0"/>
              <w:right w:val="nil"/>
            </w:tcBorders>
            <w:shd w:val="clear" w:color="auto" w:fill="auto"/>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Gross profit</w:t>
            </w:r>
          </w:p>
        </w:tc>
        <w:tc>
          <w:tcPr>
            <w:tcW w:w="960"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3503</w:t>
            </w:r>
          </w:p>
        </w:tc>
        <w:tc>
          <w:tcPr>
            <w:tcW w:w="960"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3345</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Distribution costs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437</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422</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Marketing and selling costs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1324</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1274</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Administrative expenses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937</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950</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single" w:color="auto" w:sz="4" w:space="0"/>
              <w:left w:val="nil"/>
              <w:bottom w:val="single" w:color="auto" w:sz="4" w:space="0"/>
              <w:right w:val="nil"/>
            </w:tcBorders>
            <w:shd w:val="clear" w:color="auto" w:fill="auto"/>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Operating profit</w:t>
            </w:r>
          </w:p>
        </w:tc>
        <w:tc>
          <w:tcPr>
            <w:tcW w:w="960"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805</w:t>
            </w:r>
          </w:p>
        </w:tc>
        <w:tc>
          <w:tcPr>
            <w:tcW w:w="960"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699</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Profit/loss on sale of fixed assets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19</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5</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Investment income</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22</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26</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Interest payable</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226</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181</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single" w:color="auto" w:sz="4" w:space="0"/>
              <w:left w:val="nil"/>
              <w:bottom w:val="single" w:color="auto" w:sz="4" w:space="0"/>
              <w:right w:val="nil"/>
            </w:tcBorders>
            <w:shd w:val="clear" w:color="auto" w:fill="auto"/>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Profit/(loss) before taxation</w:t>
            </w:r>
          </w:p>
        </w:tc>
        <w:tc>
          <w:tcPr>
            <w:tcW w:w="960"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620</w:t>
            </w:r>
          </w:p>
        </w:tc>
        <w:tc>
          <w:tcPr>
            <w:tcW w:w="960" w:type="dxa"/>
            <w:tcBorders>
              <w:top w:val="single" w:color="auto" w:sz="4" w:space="0"/>
              <w:left w:val="nil"/>
              <w:bottom w:val="single" w:color="auto" w:sz="4" w:space="0"/>
              <w:right w:val="nil"/>
            </w:tcBorders>
            <w:shd w:val="clear" w:color="auto" w:fill="auto"/>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539</w:t>
            </w:r>
          </w:p>
        </w:tc>
      </w:tr>
      <w:tr>
        <w:tblPrEx>
          <w:tblLayout w:type="fixed"/>
          <w:tblCellMar>
            <w:top w:w="0" w:type="dxa"/>
            <w:left w:w="70" w:type="dxa"/>
            <w:bottom w:w="0" w:type="dxa"/>
            <w:right w:w="70" w:type="dxa"/>
          </w:tblCellMar>
        </w:tblPrEx>
        <w:trPr>
          <w:trHeight w:val="315"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Taxation</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189</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173</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30" w:hRule="atLeast"/>
        </w:trPr>
        <w:tc>
          <w:tcPr>
            <w:tcW w:w="5140" w:type="dxa"/>
            <w:tcBorders>
              <w:top w:val="double" w:color="auto" w:sz="6" w:space="0"/>
              <w:left w:val="nil"/>
              <w:bottom w:val="double" w:color="auto" w:sz="6" w:space="0"/>
              <w:right w:val="nil"/>
            </w:tcBorders>
            <w:shd w:val="clear" w:color="000000" w:fill="BFBFBF"/>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Profit for the year</w:t>
            </w:r>
          </w:p>
        </w:tc>
        <w:tc>
          <w:tcPr>
            <w:tcW w:w="960" w:type="dxa"/>
            <w:tcBorders>
              <w:top w:val="double" w:color="auto" w:sz="6" w:space="0"/>
              <w:left w:val="nil"/>
              <w:bottom w:val="double" w:color="auto" w:sz="6"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431</w:t>
            </w:r>
          </w:p>
        </w:tc>
        <w:tc>
          <w:tcPr>
            <w:tcW w:w="960" w:type="dxa"/>
            <w:tcBorders>
              <w:top w:val="double" w:color="auto" w:sz="6" w:space="0"/>
              <w:left w:val="nil"/>
              <w:bottom w:val="double" w:color="auto" w:sz="6"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366</w:t>
            </w:r>
          </w:p>
        </w:tc>
      </w:tr>
    </w:tbl>
    <w:p>
      <w:pPr>
        <w:jc w:val="both"/>
        <w:rPr>
          <w:rFonts w:cs="Arial" w:asciiTheme="majorHAnsi" w:hAnsiTheme="majorHAnsi"/>
          <w:sz w:val="20"/>
          <w:szCs w:val="20"/>
          <w:lang w:val="en-US"/>
        </w:rPr>
      </w:pPr>
    </w:p>
    <w:tbl>
      <w:tblPr>
        <w:tblStyle w:val="7"/>
        <w:tblW w:w="7060" w:type="dxa"/>
        <w:tblInd w:w="55" w:type="dxa"/>
        <w:tblLayout w:type="fixed"/>
        <w:tblCellMar>
          <w:top w:w="0" w:type="dxa"/>
          <w:left w:w="70" w:type="dxa"/>
          <w:bottom w:w="0" w:type="dxa"/>
          <w:right w:w="70" w:type="dxa"/>
        </w:tblCellMar>
      </w:tblPr>
      <w:tblGrid>
        <w:gridCol w:w="5140"/>
        <w:gridCol w:w="960"/>
        <w:gridCol w:w="960"/>
      </w:tblGrid>
      <w:tr>
        <w:tblPrEx>
          <w:tblLayout w:type="fixed"/>
          <w:tblCellMar>
            <w:top w:w="0" w:type="dxa"/>
            <w:left w:w="70" w:type="dxa"/>
            <w:bottom w:w="0" w:type="dxa"/>
            <w:right w:w="70" w:type="dxa"/>
          </w:tblCellMar>
        </w:tblPrEx>
        <w:trPr>
          <w:trHeight w:val="315" w:hRule="atLeast"/>
        </w:trPr>
        <w:tc>
          <w:tcPr>
            <w:tcW w:w="5140" w:type="dxa"/>
            <w:tcBorders>
              <w:top w:val="single" w:color="auto" w:sz="4" w:space="0"/>
              <w:left w:val="nil"/>
              <w:bottom w:val="double" w:color="auto" w:sz="6" w:space="0"/>
              <w:right w:val="nil"/>
            </w:tcBorders>
            <w:shd w:val="clear" w:color="000000" w:fill="C4BD97"/>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Statement of Financial Position as at 31st December</w:t>
            </w:r>
          </w:p>
        </w:tc>
        <w:tc>
          <w:tcPr>
            <w:tcW w:w="960" w:type="dxa"/>
            <w:tcBorders>
              <w:top w:val="single" w:color="auto" w:sz="4" w:space="0"/>
              <w:left w:val="nil"/>
              <w:bottom w:val="double" w:color="auto" w:sz="6" w:space="0"/>
              <w:right w:val="nil"/>
            </w:tcBorders>
            <w:shd w:val="clear" w:color="000000" w:fill="C4BD97"/>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2019</w:t>
            </w:r>
          </w:p>
        </w:tc>
        <w:tc>
          <w:tcPr>
            <w:tcW w:w="960" w:type="dxa"/>
            <w:tcBorders>
              <w:top w:val="single" w:color="auto" w:sz="4" w:space="0"/>
              <w:left w:val="nil"/>
              <w:bottom w:val="double" w:color="auto" w:sz="6" w:space="0"/>
              <w:right w:val="nil"/>
            </w:tcBorders>
            <w:shd w:val="clear" w:color="000000" w:fill="C4BD97"/>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2018</w:t>
            </w:r>
          </w:p>
        </w:tc>
      </w:tr>
      <w:tr>
        <w:tblPrEx>
          <w:tblLayout w:type="fixed"/>
          <w:tblCellMar>
            <w:top w:w="0" w:type="dxa"/>
            <w:left w:w="70" w:type="dxa"/>
            <w:bottom w:w="0" w:type="dxa"/>
            <w:right w:w="70" w:type="dxa"/>
          </w:tblCellMar>
        </w:tblPrEx>
        <w:trPr>
          <w:trHeight w:val="315"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£m</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£m</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Non- Current assets</w:t>
            </w: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Intangible assets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5485</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5809</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Property, plant and equipment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1613</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1605</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Investments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335</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318</w:t>
            </w:r>
          </w:p>
        </w:tc>
      </w:tr>
      <w:tr>
        <w:tblPrEx>
          <w:tblLayout w:type="fixed"/>
          <w:tblCellMar>
            <w:top w:w="0" w:type="dxa"/>
            <w:left w:w="70" w:type="dxa"/>
            <w:bottom w:w="0" w:type="dxa"/>
            <w:right w:w="70" w:type="dxa"/>
          </w:tblCellMar>
        </w:tblPrEx>
        <w:trPr>
          <w:trHeight w:val="300" w:hRule="atLeast"/>
        </w:trPr>
        <w:tc>
          <w:tcPr>
            <w:tcW w:w="5140" w:type="dxa"/>
            <w:tcBorders>
              <w:top w:val="single" w:color="auto" w:sz="4" w:space="0"/>
              <w:left w:val="nil"/>
              <w:bottom w:val="single" w:color="auto" w:sz="4" w:space="0"/>
              <w:right w:val="nil"/>
            </w:tcBorders>
            <w:shd w:val="clear" w:color="000000" w:fill="BFBFBF"/>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Total Non-current assets</w:t>
            </w:r>
          </w:p>
        </w:tc>
        <w:tc>
          <w:tcPr>
            <w:tcW w:w="960" w:type="dxa"/>
            <w:tcBorders>
              <w:top w:val="single" w:color="auto" w:sz="4" w:space="0"/>
              <w:left w:val="nil"/>
              <w:bottom w:val="single" w:color="auto" w:sz="4"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7433</w:t>
            </w:r>
          </w:p>
        </w:tc>
        <w:tc>
          <w:tcPr>
            <w:tcW w:w="960" w:type="dxa"/>
            <w:tcBorders>
              <w:top w:val="single" w:color="auto" w:sz="4" w:space="0"/>
              <w:left w:val="nil"/>
              <w:bottom w:val="single" w:color="auto" w:sz="4"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7732</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Current assets</w:t>
            </w: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Inventory</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708</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659</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Trade receivables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1249</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1287</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Investments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145</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232</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Cash</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201</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177</w:t>
            </w:r>
          </w:p>
        </w:tc>
      </w:tr>
      <w:tr>
        <w:tblPrEx>
          <w:tblLayout w:type="fixed"/>
          <w:tblCellMar>
            <w:top w:w="0" w:type="dxa"/>
            <w:left w:w="70" w:type="dxa"/>
            <w:bottom w:w="0" w:type="dxa"/>
            <w:right w:w="70" w:type="dxa"/>
          </w:tblCellMar>
        </w:tblPrEx>
        <w:trPr>
          <w:trHeight w:val="300" w:hRule="atLeast"/>
        </w:trPr>
        <w:tc>
          <w:tcPr>
            <w:tcW w:w="5140" w:type="dxa"/>
            <w:tcBorders>
              <w:top w:val="single" w:color="auto" w:sz="4" w:space="0"/>
              <w:left w:val="nil"/>
              <w:bottom w:val="single" w:color="auto" w:sz="4" w:space="0"/>
              <w:right w:val="nil"/>
            </w:tcBorders>
            <w:shd w:val="clear" w:color="000000" w:fill="BFBFBF"/>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Total current assets</w:t>
            </w:r>
          </w:p>
        </w:tc>
        <w:tc>
          <w:tcPr>
            <w:tcW w:w="960" w:type="dxa"/>
            <w:tcBorders>
              <w:top w:val="single" w:color="auto" w:sz="4" w:space="0"/>
              <w:left w:val="nil"/>
              <w:bottom w:val="single" w:color="auto" w:sz="4"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2303</w:t>
            </w:r>
          </w:p>
        </w:tc>
        <w:tc>
          <w:tcPr>
            <w:tcW w:w="960" w:type="dxa"/>
            <w:tcBorders>
              <w:top w:val="single" w:color="auto" w:sz="4" w:space="0"/>
              <w:left w:val="nil"/>
              <w:bottom w:val="single" w:color="auto" w:sz="4"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2355</w:t>
            </w:r>
          </w:p>
        </w:tc>
      </w:tr>
      <w:tr>
        <w:tblPrEx>
          <w:tblLayout w:type="fixed"/>
          <w:tblCellMar>
            <w:top w:w="0" w:type="dxa"/>
            <w:left w:w="70" w:type="dxa"/>
            <w:bottom w:w="0" w:type="dxa"/>
            <w:right w:w="70" w:type="dxa"/>
          </w:tblCellMar>
        </w:tblPrEx>
        <w:trPr>
          <w:trHeight w:val="315"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b/>
                <w:bCs/>
                <w:i/>
                <w:iCs/>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b/>
                <w:bCs/>
                <w:i/>
                <w:iCs/>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b/>
                <w:bCs/>
                <w:i/>
                <w:iCs/>
                <w:color w:val="000000"/>
                <w:sz w:val="20"/>
                <w:szCs w:val="20"/>
                <w:lang w:eastAsia="bg-BG"/>
              </w:rPr>
            </w:pPr>
          </w:p>
        </w:tc>
      </w:tr>
      <w:tr>
        <w:tblPrEx>
          <w:tblLayout w:type="fixed"/>
          <w:tblCellMar>
            <w:top w:w="0" w:type="dxa"/>
            <w:left w:w="70" w:type="dxa"/>
            <w:bottom w:w="0" w:type="dxa"/>
            <w:right w:w="70" w:type="dxa"/>
          </w:tblCellMar>
        </w:tblPrEx>
        <w:trPr>
          <w:trHeight w:val="345" w:hRule="atLeast"/>
        </w:trPr>
        <w:tc>
          <w:tcPr>
            <w:tcW w:w="5140" w:type="dxa"/>
            <w:tcBorders>
              <w:top w:val="double" w:color="auto" w:sz="6" w:space="0"/>
              <w:left w:val="nil"/>
              <w:bottom w:val="double" w:color="auto" w:sz="6" w:space="0"/>
              <w:right w:val="nil"/>
            </w:tcBorders>
            <w:shd w:val="clear" w:color="000000" w:fill="808080"/>
            <w:vAlign w:val="bottom"/>
          </w:tcPr>
          <w:p>
            <w:pPr>
              <w:spacing w:after="0" w:line="240" w:lineRule="auto"/>
              <w:rPr>
                <w:rFonts w:eastAsia="Times New Roman" w:cs="Calibri" w:asciiTheme="majorHAnsi" w:hAnsiTheme="majorHAnsi"/>
                <w:b/>
                <w:bCs/>
                <w:i/>
                <w:iCs/>
                <w:color w:val="000000"/>
                <w:sz w:val="20"/>
                <w:szCs w:val="20"/>
                <w:lang w:eastAsia="bg-BG"/>
              </w:rPr>
            </w:pPr>
            <w:r>
              <w:rPr>
                <w:rFonts w:eastAsia="Times New Roman" w:cs="Calibri" w:asciiTheme="majorHAnsi" w:hAnsiTheme="majorHAnsi"/>
                <w:b/>
                <w:bCs/>
                <w:i/>
                <w:iCs/>
                <w:color w:val="000000"/>
                <w:sz w:val="20"/>
                <w:szCs w:val="20"/>
                <w:lang w:eastAsia="bg-BG"/>
              </w:rPr>
              <w:t>Total assets</w:t>
            </w:r>
          </w:p>
        </w:tc>
        <w:tc>
          <w:tcPr>
            <w:tcW w:w="960" w:type="dxa"/>
            <w:tcBorders>
              <w:top w:val="double" w:color="auto" w:sz="6" w:space="0"/>
              <w:left w:val="nil"/>
              <w:bottom w:val="double" w:color="auto" w:sz="6" w:space="0"/>
              <w:right w:val="nil"/>
            </w:tcBorders>
            <w:shd w:val="clear" w:color="000000" w:fill="808080"/>
            <w:vAlign w:val="bottom"/>
          </w:tcPr>
          <w:p>
            <w:pPr>
              <w:spacing w:after="0" w:line="240" w:lineRule="auto"/>
              <w:jc w:val="right"/>
              <w:rPr>
                <w:rFonts w:eastAsia="Times New Roman" w:cs="Calibri" w:asciiTheme="majorHAnsi" w:hAnsiTheme="majorHAnsi"/>
                <w:b/>
                <w:bCs/>
                <w:i/>
                <w:iCs/>
                <w:color w:val="000000"/>
                <w:sz w:val="20"/>
                <w:szCs w:val="20"/>
                <w:lang w:eastAsia="bg-BG"/>
              </w:rPr>
            </w:pPr>
            <w:r>
              <w:rPr>
                <w:rFonts w:eastAsia="Times New Roman" w:cs="Calibri" w:asciiTheme="majorHAnsi" w:hAnsiTheme="majorHAnsi"/>
                <w:b/>
                <w:bCs/>
                <w:i/>
                <w:iCs/>
                <w:color w:val="000000"/>
                <w:sz w:val="20"/>
                <w:szCs w:val="20"/>
                <w:lang w:eastAsia="bg-BG"/>
              </w:rPr>
              <w:t>9736</w:t>
            </w:r>
          </w:p>
        </w:tc>
        <w:tc>
          <w:tcPr>
            <w:tcW w:w="960" w:type="dxa"/>
            <w:tcBorders>
              <w:top w:val="double" w:color="auto" w:sz="6" w:space="0"/>
              <w:left w:val="nil"/>
              <w:bottom w:val="double" w:color="auto" w:sz="6" w:space="0"/>
              <w:right w:val="nil"/>
            </w:tcBorders>
            <w:shd w:val="clear" w:color="000000" w:fill="808080"/>
            <w:vAlign w:val="bottom"/>
          </w:tcPr>
          <w:p>
            <w:pPr>
              <w:spacing w:after="0" w:line="240" w:lineRule="auto"/>
              <w:jc w:val="right"/>
              <w:rPr>
                <w:rFonts w:eastAsia="Times New Roman" w:cs="Calibri" w:asciiTheme="majorHAnsi" w:hAnsiTheme="majorHAnsi"/>
                <w:b/>
                <w:bCs/>
                <w:i/>
                <w:iCs/>
                <w:color w:val="000000"/>
                <w:sz w:val="20"/>
                <w:szCs w:val="20"/>
                <w:lang w:eastAsia="bg-BG"/>
              </w:rPr>
            </w:pPr>
            <w:r>
              <w:rPr>
                <w:rFonts w:eastAsia="Times New Roman" w:cs="Calibri" w:asciiTheme="majorHAnsi" w:hAnsiTheme="majorHAnsi"/>
                <w:b/>
                <w:bCs/>
                <w:i/>
                <w:iCs/>
                <w:color w:val="000000"/>
                <w:sz w:val="20"/>
                <w:szCs w:val="20"/>
                <w:lang w:eastAsia="bg-BG"/>
              </w:rPr>
              <w:t>10087</w:t>
            </w:r>
          </w:p>
        </w:tc>
      </w:tr>
      <w:tr>
        <w:tblPrEx>
          <w:tblLayout w:type="fixed"/>
          <w:tblCellMar>
            <w:top w:w="0" w:type="dxa"/>
            <w:left w:w="70" w:type="dxa"/>
            <w:bottom w:w="0" w:type="dxa"/>
            <w:right w:w="70" w:type="dxa"/>
          </w:tblCellMar>
        </w:tblPrEx>
        <w:trPr>
          <w:trHeight w:val="315"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Current liabilities</w:t>
            </w: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Trade payables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583</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655</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Other creditors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1928</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2391</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single" w:color="auto" w:sz="4" w:space="0"/>
              <w:left w:val="nil"/>
              <w:bottom w:val="single" w:color="auto" w:sz="4" w:space="0"/>
              <w:right w:val="nil"/>
            </w:tcBorders>
            <w:shd w:val="clear" w:color="000000" w:fill="BFBFBF"/>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Total current liabilities</w:t>
            </w:r>
          </w:p>
        </w:tc>
        <w:tc>
          <w:tcPr>
            <w:tcW w:w="960" w:type="dxa"/>
            <w:tcBorders>
              <w:top w:val="single" w:color="auto" w:sz="4" w:space="0"/>
              <w:left w:val="nil"/>
              <w:bottom w:val="single" w:color="auto" w:sz="4"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val="en-US" w:eastAsia="bg-BG"/>
              </w:rPr>
            </w:pPr>
            <w:r>
              <w:rPr>
                <w:rFonts w:eastAsia="Times New Roman" w:cs="Calibri" w:asciiTheme="majorHAnsi" w:hAnsiTheme="majorHAnsi"/>
                <w:b/>
                <w:bCs/>
                <w:color w:val="000000"/>
                <w:sz w:val="20"/>
                <w:szCs w:val="20"/>
                <w:lang w:val="en-US" w:eastAsia="bg-BG"/>
              </w:rPr>
              <w:t>(</w:t>
            </w:r>
            <w:r>
              <w:rPr>
                <w:rFonts w:eastAsia="Times New Roman" w:cs="Calibri" w:asciiTheme="majorHAnsi" w:hAnsiTheme="majorHAnsi"/>
                <w:b/>
                <w:bCs/>
                <w:color w:val="000000"/>
                <w:sz w:val="20"/>
                <w:szCs w:val="20"/>
                <w:lang w:eastAsia="bg-BG"/>
              </w:rPr>
              <w:t>2511</w:t>
            </w:r>
            <w:r>
              <w:rPr>
                <w:rFonts w:eastAsia="Times New Roman" w:cs="Calibri" w:asciiTheme="majorHAnsi" w:hAnsiTheme="majorHAnsi"/>
                <w:b/>
                <w:bCs/>
                <w:color w:val="000000"/>
                <w:sz w:val="20"/>
                <w:szCs w:val="20"/>
                <w:lang w:val="en-US" w:eastAsia="bg-BG"/>
              </w:rPr>
              <w:t>)</w:t>
            </w:r>
          </w:p>
        </w:tc>
        <w:tc>
          <w:tcPr>
            <w:tcW w:w="960" w:type="dxa"/>
            <w:tcBorders>
              <w:top w:val="single" w:color="auto" w:sz="4" w:space="0"/>
              <w:left w:val="nil"/>
              <w:bottom w:val="single" w:color="auto" w:sz="4"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val="en-US" w:eastAsia="bg-BG"/>
              </w:rPr>
            </w:pPr>
            <w:r>
              <w:rPr>
                <w:rFonts w:eastAsia="Times New Roman" w:cs="Calibri" w:asciiTheme="majorHAnsi" w:hAnsiTheme="majorHAnsi"/>
                <w:b/>
                <w:bCs/>
                <w:color w:val="000000"/>
                <w:sz w:val="20"/>
                <w:szCs w:val="20"/>
                <w:lang w:val="en-US" w:eastAsia="bg-BG"/>
              </w:rPr>
              <w:t>(</w:t>
            </w:r>
            <w:r>
              <w:rPr>
                <w:rFonts w:eastAsia="Times New Roman" w:cs="Calibri" w:asciiTheme="majorHAnsi" w:hAnsiTheme="majorHAnsi"/>
                <w:b/>
                <w:bCs/>
                <w:color w:val="000000"/>
                <w:sz w:val="20"/>
                <w:szCs w:val="20"/>
                <w:lang w:eastAsia="bg-BG"/>
              </w:rPr>
              <w:t>3046</w:t>
            </w:r>
            <w:r>
              <w:rPr>
                <w:rFonts w:eastAsia="Times New Roman" w:cs="Calibri" w:asciiTheme="majorHAnsi" w:hAnsiTheme="majorHAnsi"/>
                <w:b/>
                <w:bCs/>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Non current liabilities</w:t>
            </w: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Loans and other borrowings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4137</w:t>
            </w:r>
            <w:r>
              <w:rPr>
                <w:rFonts w:eastAsia="Times New Roman" w:cs="Calibri" w:asciiTheme="majorHAnsi" w:hAnsiTheme="majorHAnsi"/>
                <w:color w:val="000000"/>
                <w:sz w:val="20"/>
                <w:szCs w:val="20"/>
                <w:lang w:val="en-US" w:eastAsia="bg-BG"/>
              </w:rPr>
              <w:t>)</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val="en-US" w:eastAsia="bg-BG"/>
              </w:rPr>
              <w:t>(</w:t>
            </w:r>
            <w:r>
              <w:rPr>
                <w:rFonts w:eastAsia="Times New Roman" w:cs="Calibri" w:asciiTheme="majorHAnsi" w:hAnsiTheme="majorHAnsi"/>
                <w:color w:val="000000"/>
                <w:sz w:val="20"/>
                <w:szCs w:val="20"/>
                <w:lang w:eastAsia="bg-BG"/>
              </w:rPr>
              <w:t>4129</w:t>
            </w:r>
            <w:r>
              <w:rPr>
                <w:rFonts w:eastAsia="Times New Roman" w:cs="Calibri" w:asciiTheme="majorHAnsi" w:hAnsiTheme="majorHAnsi"/>
                <w:color w:val="000000"/>
                <w:sz w:val="20"/>
                <w:szCs w:val="20"/>
                <w:lang w:val="en-US" w:eastAsia="bg-BG"/>
              </w:rPr>
              <w:t>)</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Equity</w:t>
            </w: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Ordinary share capital (50p shares)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300</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300</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Share premium</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1071</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1071</w:t>
            </w:r>
          </w:p>
        </w:tc>
      </w:tr>
      <w:tr>
        <w:tblPrEx>
          <w:tblLayout w:type="fixed"/>
          <w:tblCellMar>
            <w:top w:w="0" w:type="dxa"/>
            <w:left w:w="70" w:type="dxa"/>
            <w:bottom w:w="0" w:type="dxa"/>
            <w:right w:w="70" w:type="dxa"/>
          </w:tblCellMar>
        </w:tblPrEx>
        <w:trPr>
          <w:trHeight w:val="300"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Retained profits</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1717</w:t>
            </w:r>
          </w:p>
        </w:tc>
        <w:tc>
          <w:tcPr>
            <w:tcW w:w="960" w:type="dxa"/>
            <w:tcBorders>
              <w:top w:val="nil"/>
              <w:left w:val="nil"/>
              <w:bottom w:val="nil"/>
              <w:right w:val="nil"/>
            </w:tcBorders>
            <w:shd w:val="clear" w:color="auto" w:fill="auto"/>
            <w:vAlign w:val="bottom"/>
          </w:tcPr>
          <w:p>
            <w:pPr>
              <w:spacing w:after="0" w:line="240" w:lineRule="auto"/>
              <w:jc w:val="right"/>
              <w:rPr>
                <w:rFonts w:eastAsia="Times New Roman" w:cs="Calibri" w:asciiTheme="majorHAnsi" w:hAnsiTheme="majorHAnsi"/>
                <w:color w:val="000000"/>
                <w:sz w:val="20"/>
                <w:szCs w:val="20"/>
                <w:lang w:eastAsia="bg-BG"/>
              </w:rPr>
            </w:pPr>
            <w:r>
              <w:rPr>
                <w:rFonts w:eastAsia="Times New Roman" w:cs="Calibri" w:asciiTheme="majorHAnsi" w:hAnsiTheme="majorHAnsi"/>
                <w:color w:val="000000"/>
                <w:sz w:val="20"/>
                <w:szCs w:val="20"/>
                <w:lang w:eastAsia="bg-BG"/>
              </w:rPr>
              <w:t>1541</w:t>
            </w:r>
          </w:p>
        </w:tc>
      </w:tr>
      <w:tr>
        <w:tblPrEx>
          <w:tblLayout w:type="fixed"/>
          <w:tblCellMar>
            <w:top w:w="0" w:type="dxa"/>
            <w:left w:w="70" w:type="dxa"/>
            <w:bottom w:w="0" w:type="dxa"/>
            <w:right w:w="70" w:type="dxa"/>
          </w:tblCellMar>
        </w:tblPrEx>
        <w:trPr>
          <w:trHeight w:val="300" w:hRule="atLeast"/>
        </w:trPr>
        <w:tc>
          <w:tcPr>
            <w:tcW w:w="5140" w:type="dxa"/>
            <w:tcBorders>
              <w:top w:val="single" w:color="auto" w:sz="4" w:space="0"/>
              <w:left w:val="nil"/>
              <w:bottom w:val="single" w:color="auto" w:sz="4" w:space="0"/>
              <w:right w:val="nil"/>
            </w:tcBorders>
            <w:shd w:val="clear" w:color="000000" w:fill="BFBFBF"/>
            <w:vAlign w:val="bottom"/>
          </w:tcPr>
          <w:p>
            <w:pPr>
              <w:spacing w:after="0" w:line="240" w:lineRule="auto"/>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Total equity</w:t>
            </w:r>
          </w:p>
        </w:tc>
        <w:tc>
          <w:tcPr>
            <w:tcW w:w="960" w:type="dxa"/>
            <w:tcBorders>
              <w:top w:val="single" w:color="auto" w:sz="4" w:space="0"/>
              <w:left w:val="nil"/>
              <w:bottom w:val="single" w:color="auto" w:sz="4"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3088</w:t>
            </w:r>
          </w:p>
        </w:tc>
        <w:tc>
          <w:tcPr>
            <w:tcW w:w="960" w:type="dxa"/>
            <w:tcBorders>
              <w:top w:val="single" w:color="auto" w:sz="4" w:space="0"/>
              <w:left w:val="nil"/>
              <w:bottom w:val="single" w:color="auto" w:sz="4" w:space="0"/>
              <w:right w:val="nil"/>
            </w:tcBorders>
            <w:shd w:val="clear" w:color="000000" w:fill="BFBFBF"/>
            <w:vAlign w:val="bottom"/>
          </w:tcPr>
          <w:p>
            <w:pPr>
              <w:spacing w:after="0" w:line="240" w:lineRule="auto"/>
              <w:jc w:val="right"/>
              <w:rPr>
                <w:rFonts w:eastAsia="Times New Roman" w:cs="Calibri" w:asciiTheme="majorHAnsi" w:hAnsiTheme="majorHAnsi"/>
                <w:b/>
                <w:bCs/>
                <w:color w:val="000000"/>
                <w:sz w:val="20"/>
                <w:szCs w:val="20"/>
                <w:lang w:eastAsia="bg-BG"/>
              </w:rPr>
            </w:pPr>
            <w:r>
              <w:rPr>
                <w:rFonts w:eastAsia="Times New Roman" w:cs="Calibri" w:asciiTheme="majorHAnsi" w:hAnsiTheme="majorHAnsi"/>
                <w:b/>
                <w:bCs/>
                <w:color w:val="000000"/>
                <w:sz w:val="20"/>
                <w:szCs w:val="20"/>
                <w:lang w:eastAsia="bg-BG"/>
              </w:rPr>
              <w:t>2912</w:t>
            </w:r>
          </w:p>
        </w:tc>
      </w:tr>
      <w:tr>
        <w:tblPrEx>
          <w:tblLayout w:type="fixed"/>
          <w:tblCellMar>
            <w:top w:w="0" w:type="dxa"/>
            <w:left w:w="70" w:type="dxa"/>
            <w:bottom w:w="0" w:type="dxa"/>
            <w:right w:w="70" w:type="dxa"/>
          </w:tblCellMar>
        </w:tblPrEx>
        <w:trPr>
          <w:trHeight w:val="315" w:hRule="atLeast"/>
        </w:trPr>
        <w:tc>
          <w:tcPr>
            <w:tcW w:w="514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c>
          <w:tcPr>
            <w:tcW w:w="960" w:type="dxa"/>
            <w:tcBorders>
              <w:top w:val="nil"/>
              <w:left w:val="nil"/>
              <w:bottom w:val="nil"/>
              <w:right w:val="nil"/>
            </w:tcBorders>
            <w:shd w:val="clear" w:color="auto" w:fill="auto"/>
            <w:vAlign w:val="bottom"/>
          </w:tcPr>
          <w:p>
            <w:pPr>
              <w:spacing w:after="0" w:line="240" w:lineRule="auto"/>
              <w:rPr>
                <w:rFonts w:eastAsia="Times New Roman" w:cs="Calibri" w:asciiTheme="majorHAnsi" w:hAnsiTheme="majorHAnsi"/>
                <w:color w:val="000000"/>
                <w:sz w:val="20"/>
                <w:szCs w:val="20"/>
                <w:lang w:eastAsia="bg-BG"/>
              </w:rPr>
            </w:pPr>
          </w:p>
        </w:tc>
      </w:tr>
      <w:tr>
        <w:tblPrEx>
          <w:tblLayout w:type="fixed"/>
          <w:tblCellMar>
            <w:top w:w="0" w:type="dxa"/>
            <w:left w:w="70" w:type="dxa"/>
            <w:bottom w:w="0" w:type="dxa"/>
            <w:right w:w="70" w:type="dxa"/>
          </w:tblCellMar>
        </w:tblPrEx>
        <w:trPr>
          <w:trHeight w:val="345" w:hRule="atLeast"/>
        </w:trPr>
        <w:tc>
          <w:tcPr>
            <w:tcW w:w="5140" w:type="dxa"/>
            <w:tcBorders>
              <w:top w:val="double" w:color="auto" w:sz="6" w:space="0"/>
              <w:left w:val="nil"/>
              <w:bottom w:val="double" w:color="auto" w:sz="6" w:space="0"/>
              <w:right w:val="nil"/>
            </w:tcBorders>
            <w:shd w:val="clear" w:color="000000" w:fill="808080"/>
            <w:vAlign w:val="bottom"/>
          </w:tcPr>
          <w:p>
            <w:pPr>
              <w:spacing w:after="0" w:line="240" w:lineRule="auto"/>
              <w:rPr>
                <w:rFonts w:eastAsia="Times New Roman" w:cs="Calibri" w:asciiTheme="majorHAnsi" w:hAnsiTheme="majorHAnsi"/>
                <w:b/>
                <w:bCs/>
                <w:i/>
                <w:iCs/>
                <w:color w:val="000000"/>
                <w:sz w:val="20"/>
                <w:szCs w:val="20"/>
                <w:lang w:eastAsia="bg-BG"/>
              </w:rPr>
            </w:pPr>
            <w:r>
              <w:rPr>
                <w:rFonts w:eastAsia="Times New Roman" w:cs="Calibri" w:asciiTheme="majorHAnsi" w:hAnsiTheme="majorHAnsi"/>
                <w:b/>
                <w:bCs/>
                <w:i/>
                <w:iCs/>
                <w:color w:val="000000"/>
                <w:sz w:val="20"/>
                <w:szCs w:val="20"/>
                <w:lang w:eastAsia="bg-BG"/>
              </w:rPr>
              <w:t>Total liabilities &amp; equity</w:t>
            </w:r>
          </w:p>
        </w:tc>
        <w:tc>
          <w:tcPr>
            <w:tcW w:w="960" w:type="dxa"/>
            <w:tcBorders>
              <w:top w:val="double" w:color="auto" w:sz="6" w:space="0"/>
              <w:left w:val="nil"/>
              <w:bottom w:val="double" w:color="auto" w:sz="6" w:space="0"/>
              <w:right w:val="nil"/>
            </w:tcBorders>
            <w:shd w:val="clear" w:color="000000" w:fill="808080"/>
            <w:vAlign w:val="bottom"/>
          </w:tcPr>
          <w:p>
            <w:pPr>
              <w:spacing w:after="0" w:line="240" w:lineRule="auto"/>
              <w:jc w:val="right"/>
              <w:rPr>
                <w:rFonts w:eastAsia="Times New Roman" w:cs="Calibri" w:asciiTheme="majorHAnsi" w:hAnsiTheme="majorHAnsi"/>
                <w:b/>
                <w:bCs/>
                <w:i/>
                <w:iCs/>
                <w:color w:val="000000"/>
                <w:sz w:val="20"/>
                <w:szCs w:val="20"/>
                <w:lang w:eastAsia="bg-BG"/>
              </w:rPr>
            </w:pPr>
            <w:r>
              <w:rPr>
                <w:rFonts w:eastAsia="Times New Roman" w:cs="Calibri" w:asciiTheme="majorHAnsi" w:hAnsiTheme="majorHAnsi"/>
                <w:b/>
                <w:bCs/>
                <w:i/>
                <w:iCs/>
                <w:color w:val="000000"/>
                <w:sz w:val="20"/>
                <w:szCs w:val="20"/>
                <w:lang w:eastAsia="bg-BG"/>
              </w:rPr>
              <w:t>9736</w:t>
            </w:r>
          </w:p>
        </w:tc>
        <w:tc>
          <w:tcPr>
            <w:tcW w:w="960" w:type="dxa"/>
            <w:tcBorders>
              <w:top w:val="double" w:color="auto" w:sz="6" w:space="0"/>
              <w:left w:val="nil"/>
              <w:bottom w:val="double" w:color="auto" w:sz="6" w:space="0"/>
              <w:right w:val="nil"/>
            </w:tcBorders>
            <w:shd w:val="clear" w:color="000000" w:fill="808080"/>
            <w:vAlign w:val="bottom"/>
          </w:tcPr>
          <w:p>
            <w:pPr>
              <w:spacing w:after="0" w:line="240" w:lineRule="auto"/>
              <w:jc w:val="right"/>
              <w:rPr>
                <w:rFonts w:eastAsia="Times New Roman" w:cs="Calibri" w:asciiTheme="majorHAnsi" w:hAnsiTheme="majorHAnsi"/>
                <w:b/>
                <w:bCs/>
                <w:i/>
                <w:iCs/>
                <w:color w:val="000000"/>
                <w:sz w:val="20"/>
                <w:szCs w:val="20"/>
                <w:lang w:eastAsia="bg-BG"/>
              </w:rPr>
            </w:pPr>
            <w:r>
              <w:rPr>
                <w:rFonts w:eastAsia="Times New Roman" w:cs="Calibri" w:asciiTheme="majorHAnsi" w:hAnsiTheme="majorHAnsi"/>
                <w:b/>
                <w:bCs/>
                <w:i/>
                <w:iCs/>
                <w:color w:val="000000"/>
                <w:sz w:val="20"/>
                <w:szCs w:val="20"/>
                <w:lang w:eastAsia="bg-BG"/>
              </w:rPr>
              <w:t>10087</w:t>
            </w:r>
          </w:p>
        </w:tc>
      </w:tr>
    </w:tbl>
    <w:p>
      <w:pPr>
        <w:pStyle w:val="8"/>
        <w:rPr>
          <w:rFonts w:asciiTheme="majorHAnsi" w:hAnsiTheme="majorHAnsi"/>
          <w:b/>
          <w:bCs/>
          <w:color w:val="auto"/>
          <w:sz w:val="20"/>
          <w:szCs w:val="20"/>
          <w:lang w:val="en-US"/>
        </w:rPr>
      </w:pPr>
    </w:p>
    <w:p>
      <w:pPr>
        <w:pStyle w:val="8"/>
        <w:rPr>
          <w:rFonts w:asciiTheme="majorHAnsi" w:hAnsiTheme="majorHAnsi"/>
          <w:color w:val="auto"/>
          <w:sz w:val="20"/>
          <w:szCs w:val="20"/>
        </w:rPr>
      </w:pPr>
      <w:r>
        <w:rPr>
          <w:rFonts w:asciiTheme="majorHAnsi" w:hAnsiTheme="majorHAnsi"/>
          <w:b/>
          <w:bCs/>
          <w:color w:val="auto"/>
          <w:sz w:val="20"/>
          <w:szCs w:val="20"/>
        </w:rPr>
        <w:t xml:space="preserve">Additional information: </w:t>
      </w:r>
    </w:p>
    <w:p>
      <w:pPr>
        <w:pStyle w:val="8"/>
        <w:rPr>
          <w:rFonts w:asciiTheme="majorHAnsi" w:hAnsiTheme="majorHAnsi"/>
          <w:color w:val="auto"/>
          <w:sz w:val="20"/>
          <w:szCs w:val="20"/>
        </w:rPr>
      </w:pPr>
      <w:r>
        <w:rPr>
          <w:rFonts w:asciiTheme="majorHAnsi" w:hAnsiTheme="majorHAnsi"/>
          <w:color w:val="auto"/>
          <w:sz w:val="20"/>
          <w:szCs w:val="20"/>
        </w:rPr>
        <w:t xml:space="preserve">i. During 2019 a total dividend of £255m was paid (2018: £242m) </w:t>
      </w:r>
    </w:p>
    <w:p>
      <w:pPr>
        <w:pStyle w:val="8"/>
        <w:rPr>
          <w:rFonts w:asciiTheme="majorHAnsi" w:hAnsiTheme="majorHAnsi"/>
          <w:color w:val="auto"/>
          <w:sz w:val="20"/>
          <w:szCs w:val="20"/>
        </w:rPr>
      </w:pPr>
    </w:p>
    <w:p>
      <w:pPr>
        <w:pStyle w:val="8"/>
        <w:rPr>
          <w:rFonts w:asciiTheme="majorHAnsi" w:hAnsiTheme="majorHAnsi"/>
          <w:color w:val="auto"/>
          <w:sz w:val="20"/>
          <w:szCs w:val="20"/>
        </w:rPr>
      </w:pPr>
      <w:r>
        <w:rPr>
          <w:rFonts w:asciiTheme="majorHAnsi" w:hAnsiTheme="majorHAnsi"/>
          <w:color w:val="auto"/>
          <w:sz w:val="20"/>
          <w:szCs w:val="20"/>
        </w:rPr>
        <w:t xml:space="preserve">ii. The average share price during 2019 was £5.12 (2018: £4.00). </w:t>
      </w:r>
    </w:p>
    <w:p>
      <w:pPr>
        <w:pStyle w:val="8"/>
        <w:rPr>
          <w:rFonts w:asciiTheme="majorHAnsi" w:hAnsiTheme="majorHAnsi"/>
          <w:color w:val="auto"/>
          <w:sz w:val="20"/>
          <w:szCs w:val="20"/>
        </w:rPr>
      </w:pPr>
    </w:p>
    <w:p>
      <w:pPr>
        <w:pStyle w:val="8"/>
        <w:rPr>
          <w:rFonts w:asciiTheme="majorHAnsi" w:hAnsiTheme="majorHAnsi"/>
          <w:color w:val="auto"/>
          <w:sz w:val="20"/>
          <w:szCs w:val="20"/>
        </w:rPr>
      </w:pPr>
      <w:r>
        <w:rPr>
          <w:rFonts w:asciiTheme="majorHAnsi" w:hAnsiTheme="majorHAnsi"/>
          <w:b/>
          <w:bCs/>
          <w:color w:val="auto"/>
          <w:sz w:val="20"/>
          <w:szCs w:val="20"/>
        </w:rPr>
        <w:t xml:space="preserve">Required: </w:t>
      </w:r>
    </w:p>
    <w:p>
      <w:pPr>
        <w:pStyle w:val="8"/>
        <w:rPr>
          <w:rFonts w:asciiTheme="majorHAnsi" w:hAnsiTheme="majorHAnsi"/>
          <w:color w:val="auto"/>
          <w:sz w:val="20"/>
          <w:szCs w:val="20"/>
        </w:rPr>
      </w:pPr>
      <w:r>
        <w:rPr>
          <w:rFonts w:asciiTheme="majorHAnsi" w:hAnsiTheme="majorHAnsi"/>
          <w:color w:val="auto"/>
          <w:sz w:val="20"/>
          <w:szCs w:val="20"/>
        </w:rPr>
        <w:t xml:space="preserve">a. Prepare a schedule of ratios for Chocco plc for 2019 and 2018. </w:t>
      </w:r>
      <w:r>
        <w:rPr>
          <w:rFonts w:asciiTheme="majorHAnsi" w:hAnsiTheme="majorHAnsi"/>
          <w:b/>
          <w:bCs/>
          <w:color w:val="auto"/>
          <w:sz w:val="20"/>
          <w:szCs w:val="20"/>
        </w:rPr>
        <w:t xml:space="preserve">[40 marks] </w:t>
      </w:r>
    </w:p>
    <w:p>
      <w:pPr>
        <w:pStyle w:val="8"/>
        <w:rPr>
          <w:rFonts w:asciiTheme="majorHAnsi" w:hAnsiTheme="majorHAnsi"/>
          <w:color w:val="auto"/>
          <w:sz w:val="20"/>
          <w:szCs w:val="20"/>
        </w:rPr>
      </w:pPr>
    </w:p>
    <w:p>
      <w:pPr>
        <w:jc w:val="both"/>
        <w:rPr>
          <w:rFonts w:asciiTheme="majorHAnsi" w:hAnsiTheme="majorHAnsi"/>
          <w:b/>
          <w:bCs/>
          <w:sz w:val="20"/>
          <w:szCs w:val="20"/>
          <w:lang w:val="en-US"/>
        </w:rPr>
      </w:pPr>
      <w:r>
        <w:rPr>
          <w:rFonts w:asciiTheme="majorHAnsi" w:hAnsiTheme="majorHAnsi"/>
          <w:sz w:val="20"/>
          <w:szCs w:val="20"/>
        </w:rPr>
        <w:t xml:space="preserve">b. Using the information in the financial statements and the ratios you have calculated, comment on the financial performance and position of Chocco plc. </w:t>
      </w:r>
      <w:r>
        <w:rPr>
          <w:rFonts w:asciiTheme="majorHAnsi" w:hAnsiTheme="majorHAnsi"/>
          <w:b/>
          <w:bCs/>
          <w:sz w:val="20"/>
          <w:szCs w:val="20"/>
        </w:rPr>
        <w:t>[10 marks]</w:t>
      </w:r>
    </w:p>
    <w:p>
      <w:pPr>
        <w:jc w:val="both"/>
        <w:rPr>
          <w:rFonts w:cs="Arial" w:asciiTheme="majorHAnsi" w:hAnsiTheme="majorHAnsi"/>
          <w:b/>
          <w:bCs/>
          <w:i/>
          <w:sz w:val="20"/>
          <w:szCs w:val="20"/>
          <w:u w:val="single"/>
          <w:lang w:val="en-US"/>
        </w:rPr>
      </w:pPr>
    </w:p>
    <w:p>
      <w:pPr>
        <w:jc w:val="both"/>
        <w:rPr>
          <w:rFonts w:cs="Arial" w:asciiTheme="majorHAnsi" w:hAnsiTheme="majorHAnsi"/>
          <w:b/>
          <w:bCs/>
          <w:i/>
          <w:sz w:val="20"/>
          <w:szCs w:val="20"/>
          <w:u w:val="single"/>
          <w:lang w:val="en-US"/>
        </w:rPr>
      </w:pPr>
      <w:r>
        <w:rPr>
          <w:rFonts w:cs="Arial" w:asciiTheme="majorHAnsi" w:hAnsiTheme="majorHAnsi"/>
          <w:b/>
          <w:bCs/>
          <w:i/>
          <w:sz w:val="20"/>
          <w:szCs w:val="20"/>
          <w:u w:val="single"/>
          <w:lang w:val="en-US"/>
        </w:rPr>
        <w:t>SOLUTION OF QUESTION 2</w:t>
      </w:r>
    </w:p>
    <w:p>
      <w:pPr>
        <w:pStyle w:val="12"/>
        <w:numPr>
          <w:ilvl w:val="0"/>
          <w:numId w:val="1"/>
        </w:numPr>
        <w:ind w:left="567" w:hanging="425"/>
        <w:jc w:val="both"/>
        <w:rPr>
          <w:rFonts w:cs="Arial" w:asciiTheme="majorHAnsi" w:hAnsiTheme="majorHAnsi"/>
          <w:bCs/>
          <w:sz w:val="20"/>
          <w:szCs w:val="20"/>
          <w:lang w:val="en-US"/>
        </w:rPr>
      </w:pPr>
      <w:r>
        <w:rPr>
          <w:rFonts w:eastAsia="Times New Roman" w:cs="Calibri" w:asciiTheme="majorHAnsi" w:hAnsiTheme="majorHAnsi"/>
          <w:b/>
          <w:bCs/>
          <w:color w:val="000000"/>
          <w:sz w:val="20"/>
          <w:szCs w:val="20"/>
          <w:lang w:eastAsia="bg-BG"/>
        </w:rPr>
        <w:t>INVESTMENT RATIO</w:t>
      </w:r>
    </w:p>
    <w:p>
      <w:pPr>
        <w:pStyle w:val="12"/>
        <w:numPr>
          <w:ilvl w:val="0"/>
          <w:numId w:val="2"/>
        </w:numPr>
        <w:ind w:left="567" w:hanging="425"/>
        <w:jc w:val="both"/>
        <w:rPr>
          <w:rFonts w:cs="Arial" w:asciiTheme="majorHAnsi" w:hAnsiTheme="majorHAnsi"/>
          <w:bCs/>
          <w:sz w:val="20"/>
          <w:szCs w:val="20"/>
          <w:lang w:val="en-US"/>
        </w:rPr>
      </w:pPr>
      <w:r>
        <w:rPr>
          <w:rFonts w:eastAsia="Times New Roman" w:cs="Calibri" w:asciiTheme="majorHAnsi" w:hAnsiTheme="majorHAnsi"/>
          <w:b/>
          <w:bCs/>
          <w:color w:val="000000"/>
          <w:sz w:val="20"/>
          <w:szCs w:val="20"/>
          <w:lang w:eastAsia="bg-BG"/>
        </w:rPr>
        <w:t>Return on capital employed (ROCE)</w:t>
      </w:r>
    </w:p>
    <w:p>
      <w:pPr>
        <w:pStyle w:val="12"/>
        <w:ind w:left="567"/>
        <w:jc w:val="both"/>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eastAsia="bg-BG"/>
        </w:rPr>
        <w:t>Return on capital employed (ROCE) is a financial ratio that can be used in assessing a company's profitability and capital efficiency. In other words, the ratio can help to understand how well a company is generating profits from its capital. The ROCE ratio is one of several profitability ratios financial managers, stakeholders, and potential investors may use when analyzing a company for investment. The calculation of ROCE tells you the amount of profit a company is generating per £1 of capital employed. Obviously, the more profit per £1 a company can generate the better. Thus, a higher ROCE indicates stronger profitability across company comparisons.</w:t>
      </w:r>
    </w:p>
    <w:p>
      <w:pPr>
        <w:pStyle w:val="12"/>
        <w:ind w:left="567" w:hanging="425"/>
        <w:jc w:val="both"/>
        <w:rPr>
          <w:rFonts w:cs="Arial" w:asciiTheme="majorHAnsi" w:hAnsiTheme="majorHAnsi"/>
          <w:bCs/>
          <w:sz w:val="20"/>
          <w:szCs w:val="20"/>
          <w:lang w:val="en-US"/>
        </w:rPr>
      </w:pPr>
    </w:p>
    <w:p>
      <w:pPr>
        <w:pStyle w:val="12"/>
        <w:ind w:left="567" w:hanging="425"/>
        <w:jc w:val="both"/>
        <w:rPr>
          <w:rFonts w:eastAsia="Times New Roman" w:cs="Calibri" w:asciiTheme="majorHAnsi" w:hAnsiTheme="majorHAnsi"/>
          <w:color w:val="000000"/>
          <w:sz w:val="20"/>
          <w:szCs w:val="20"/>
          <w:lang w:val="en-US" w:eastAsia="bg-BG"/>
        </w:rPr>
      </w:pPr>
      <w:r>
        <w:rPr>
          <w:rFonts w:eastAsia="Times New Roman" w:cs="Calibri" w:asciiTheme="majorHAnsi" w:hAnsiTheme="majorHAnsi"/>
          <w:b/>
          <w:bCs/>
          <w:color w:val="000000"/>
          <w:sz w:val="20"/>
          <w:szCs w:val="20"/>
          <w:lang w:eastAsia="bg-BG"/>
        </w:rPr>
        <w:t>ROCE = EBIT (Earnings before Interest and tax) / Capital employed</w:t>
      </w:r>
    </w:p>
    <w:p>
      <w:pPr>
        <w:pStyle w:val="12"/>
        <w:ind w:left="567" w:hanging="425"/>
        <w:jc w:val="both"/>
        <w:rPr>
          <w:rFonts w:eastAsia="Times New Roman" w:cs="Calibri" w:asciiTheme="majorHAnsi" w:hAnsiTheme="majorHAnsi"/>
          <w:color w:val="000000"/>
          <w:sz w:val="20"/>
          <w:szCs w:val="20"/>
          <w:lang w:val="en-US" w:eastAsia="bg-BG"/>
        </w:rPr>
      </w:pPr>
      <w:r>
        <w:rPr>
          <w:rFonts w:eastAsia="Times New Roman" w:cs="Calibri" w:asciiTheme="majorHAnsi" w:hAnsiTheme="majorHAnsi"/>
          <w:color w:val="000000"/>
          <w:sz w:val="20"/>
          <w:szCs w:val="20"/>
          <w:lang w:eastAsia="bg-BG"/>
        </w:rPr>
        <w:t>where Capital employed is = Total assets - Current liabilities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Calculations/Result</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699/(10087-3046) * 100 = 10%</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805/(9736-2511) * 100 = 11%</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In 2018 for every £100 have been invested in the company, it get £10 in return. This pace continues in 2019 with a slightly increase with 1%</w:t>
      </w:r>
    </w:p>
    <w:p>
      <w:pPr>
        <w:pStyle w:val="12"/>
        <w:ind w:left="567" w:hanging="425"/>
        <w:jc w:val="both"/>
        <w:rPr>
          <w:rFonts w:cs="Arial" w:asciiTheme="majorHAnsi" w:hAnsiTheme="majorHAnsi"/>
          <w:bCs/>
          <w:sz w:val="20"/>
          <w:szCs w:val="20"/>
          <w:lang w:val="en-US"/>
        </w:rPr>
      </w:pPr>
    </w:p>
    <w:p>
      <w:pPr>
        <w:pStyle w:val="12"/>
        <w:numPr>
          <w:ilvl w:val="0"/>
          <w:numId w:val="2"/>
        </w:numPr>
        <w:ind w:left="567" w:hanging="425"/>
        <w:jc w:val="both"/>
        <w:rPr>
          <w:rFonts w:cs="Arial" w:asciiTheme="majorHAnsi" w:hAnsiTheme="majorHAnsi"/>
          <w:bCs/>
          <w:sz w:val="20"/>
          <w:szCs w:val="20"/>
          <w:lang w:val="en-US"/>
        </w:rPr>
      </w:pPr>
      <w:r>
        <w:rPr>
          <w:rFonts w:eastAsia="Times New Roman" w:cs="Calibri" w:asciiTheme="majorHAnsi" w:hAnsiTheme="majorHAnsi"/>
          <w:b/>
          <w:bCs/>
          <w:color w:val="000000"/>
          <w:sz w:val="20"/>
          <w:szCs w:val="20"/>
          <w:lang w:eastAsia="bg-BG"/>
        </w:rPr>
        <w:t>Return on equity (ROE)</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Return on equity (ROE) is a measure of financial performance calculated by dividing net income by shareholders' equity. Because shareholders' equity is equal to a company’s assets minus its debt, ROE is considered the return on net assets. ROE is considered a measure of the profitability of a corporation in relation to stockholders’ equity. Net income is the amount of income, net of expense, and taxes that a company generates for a given period. Average shareholders' equity is calculated by adding equity at the beginning of the period. The beginning and end of the period should coincide with the period during which the net income is earned. Net income over the last full fiscal year, or trailing 12 months, is found on the income statement – a sum of financial activity over that period. Shareholders' equity comes from the balance sheet – a running balance of a company’s entire history of changes in assets and liabilities. It is considered best practice to calculate ROE based on average equity over a period because of the mismatch between the income statement and the balance sheet. A common shortcut for investors is to consider a return on equity near the long-term average of the S&amp;P 500 (14%) as an acceptable ratio and anything less than 10% as poor.</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ROE = Net Income / Average shareholders' equity</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366 / 2912 * 100 = 13%</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431 / 3088 * 100 = 14%</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In 2018 for every £100 the shareholders get in return £13. This is acceptable and considered as a high rate in return on equity. In 2019 we can see an increase with 1%. The company has a good profitability in relation to equity</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p>
    <w:p>
      <w:pPr>
        <w:pStyle w:val="12"/>
        <w:numPr>
          <w:ilvl w:val="0"/>
          <w:numId w:val="2"/>
        </w:numPr>
        <w:ind w:left="567" w:hanging="425"/>
        <w:jc w:val="both"/>
        <w:rPr>
          <w:rFonts w:cs="Arial" w:asciiTheme="majorHAnsi" w:hAnsiTheme="majorHAnsi"/>
          <w:bCs/>
          <w:sz w:val="20"/>
          <w:szCs w:val="20"/>
          <w:lang w:val="en-US"/>
        </w:rPr>
      </w:pPr>
      <w:r>
        <w:rPr>
          <w:rFonts w:eastAsia="Times New Roman" w:cs="Calibri" w:asciiTheme="majorHAnsi" w:hAnsiTheme="majorHAnsi"/>
          <w:b/>
          <w:bCs/>
          <w:color w:val="000000"/>
          <w:sz w:val="20"/>
          <w:szCs w:val="20"/>
          <w:lang w:eastAsia="bg-BG"/>
        </w:rPr>
        <w:t>Earnings per share (EPS)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EPS indicates how much money a company makes for each share of its stock, and is a widely used metric to estimate corporate value. A higher EPS indicates greater value because investors will pay more for a company's shares if they think the company has higher profits relative to its share price.</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EPS = Net profit (earnings) / Ordinary shares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366/300 = 1.22</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431/300 = 1.44</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In 2018 for every ordinary share held in the company, it earns £1,22 of net profit. EPS ratio increases in 2019. The company has a strong financial position and therefore reliable company to invest.</w:t>
      </w:r>
    </w:p>
    <w:p>
      <w:pPr>
        <w:ind w:left="567" w:hanging="425"/>
        <w:jc w:val="both"/>
        <w:rPr>
          <w:rFonts w:cs="Arial" w:asciiTheme="majorHAnsi" w:hAnsiTheme="majorHAnsi"/>
          <w:bCs/>
          <w:sz w:val="20"/>
          <w:szCs w:val="20"/>
          <w:lang w:val="en-US"/>
        </w:rPr>
      </w:pPr>
    </w:p>
    <w:p>
      <w:pPr>
        <w:pStyle w:val="12"/>
        <w:numPr>
          <w:ilvl w:val="0"/>
          <w:numId w:val="1"/>
        </w:numPr>
        <w:ind w:left="567" w:hanging="425"/>
        <w:jc w:val="both"/>
        <w:rPr>
          <w:rFonts w:cs="Arial" w:asciiTheme="majorHAnsi" w:hAnsiTheme="majorHAnsi"/>
          <w:bCs/>
          <w:sz w:val="20"/>
          <w:szCs w:val="20"/>
          <w:lang w:val="en-US"/>
        </w:rPr>
      </w:pPr>
      <w:r>
        <w:rPr>
          <w:rFonts w:eastAsia="Times New Roman" w:cs="Calibri" w:asciiTheme="majorHAnsi" w:hAnsiTheme="majorHAnsi"/>
          <w:b/>
          <w:bCs/>
          <w:color w:val="000000"/>
          <w:sz w:val="20"/>
          <w:szCs w:val="20"/>
          <w:lang w:eastAsia="bg-BG"/>
        </w:rPr>
        <w:t>PROFITABILITY RATIOS</w:t>
      </w:r>
    </w:p>
    <w:p>
      <w:pPr>
        <w:pStyle w:val="12"/>
        <w:numPr>
          <w:ilvl w:val="0"/>
          <w:numId w:val="3"/>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Gross profit margin (GPM)</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Gross profit margin is a metric analysts use to assess a company's financial health by calculating the amount of money left over from product sales after subtracting the cost of goods sold (COGS). Sometimes referred to as the gross margin ratio, gross profit margin is frequently expressed as a percentage of sales. A company's gross profit margin percentage is calculated by first subtracting the cost of goods sold (COGS) from the net sales (gross revenues minus returns, allowances, and discounts). This figure is then divided by net sales, to calculate the gross profit margin in percentage terms.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Gross Profit Margin = (Net Sales − COGS) / Net Sales</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where COGS = cost of goods sold</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(6441-3096) / 6441 * 100 = 52%</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(6738-3235)/6738 * 100 = 52%</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company works with a margin of 52% of the Gross profit. This means that the company will earn £52 on every £100 sales. The ratio doesn't fluctuates in last 2 years.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p>
    <w:p>
      <w:pPr>
        <w:pStyle w:val="12"/>
        <w:numPr>
          <w:ilvl w:val="0"/>
          <w:numId w:val="3"/>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Net profit margin (NPM)</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net profit margin is equal to how much net income or profit is generated as a percentage of revenue. Net profit margin is the ratio of net profits to revenues for a company or business segment. Net profit margin is typically expressed as a percentage but can also be represented in decimal form. The net profit margin illustrates how much of each GBP in revenue collected by a company translates into profit.</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Net income is also called the bottom line for a company or the net profit. Net profit margin is also called net margin. The term net profits is equivalent to net income on the income statement, and one can use the terms interchangeably.</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Net profit margin is one of the most important indicators of a company's financial health. By tracking increases and decreases in its net profit margin, a company can assess whether current practices are working and forecast profits based on revenues. Because companies express net profit margin as a percentage rather than a amount, it is possible to compare the profitability of two or more businesses regardless of size.</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Net Profit Margin = (R – COGS – E – I – T) / R * 100</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Where:</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R = Revenue</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COGS = Cost Of Goods Sold</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E = Operating and other expenses</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I = Interest paid</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T = Taxes paid</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366/6441 * 100 = 6%</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431 / 6738 * 100 = 6%</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Net profit is to low comparing to the Gross profit. It is only 6% after operating costs, Interest paid and Taxation are divided. The largest part is occupied by marketing and selling costs. They account for nearly 50% of total operating costs both in 2018 and 2019</w:t>
      </w:r>
    </w:p>
    <w:p>
      <w:pPr>
        <w:ind w:left="567" w:hanging="425"/>
        <w:jc w:val="both"/>
        <w:rPr>
          <w:rFonts w:cs="Arial" w:asciiTheme="majorHAnsi" w:hAnsiTheme="majorHAnsi"/>
          <w:bCs/>
          <w:sz w:val="20"/>
          <w:szCs w:val="20"/>
          <w:lang w:val="en-US"/>
        </w:rPr>
      </w:pPr>
    </w:p>
    <w:p>
      <w:pPr>
        <w:pStyle w:val="12"/>
        <w:numPr>
          <w:ilvl w:val="0"/>
          <w:numId w:val="1"/>
        </w:numPr>
        <w:ind w:left="567" w:hanging="425"/>
        <w:jc w:val="both"/>
        <w:rPr>
          <w:rFonts w:cs="Arial" w:asciiTheme="majorHAnsi" w:hAnsiTheme="majorHAnsi"/>
          <w:bCs/>
          <w:sz w:val="20"/>
          <w:szCs w:val="20"/>
          <w:lang w:val="en-US"/>
        </w:rPr>
      </w:pPr>
      <w:r>
        <w:rPr>
          <w:rFonts w:eastAsia="Times New Roman" w:cs="Calibri" w:asciiTheme="majorHAnsi" w:hAnsiTheme="majorHAnsi"/>
          <w:b/>
          <w:bCs/>
          <w:color w:val="000000"/>
          <w:sz w:val="20"/>
          <w:szCs w:val="20"/>
          <w:lang w:eastAsia="bg-BG"/>
        </w:rPr>
        <w:t>EFFICIENCY RATIOS</w:t>
      </w:r>
    </w:p>
    <w:p>
      <w:pPr>
        <w:pStyle w:val="12"/>
        <w:numPr>
          <w:ilvl w:val="0"/>
          <w:numId w:val="4"/>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Asset turnover</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asset turnover ratio measures the value of a company's sales or revenues relative to the value of its assets. The asset turnover ratio can be used as an indicator of the efficiency with which a company is using its assets to generate revenue.</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higher the asset turnover ratio, the more efficient a company is at generating revenue from its assets. Conversely, if a company has a low asset turnover ratio, it indicates it is not efficiently using its assets to generate sales.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Asset turnover is the ratio of total sales or revenue to average assets.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This metric helps investors understand how effectively companies are using their assets to generate sales.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Investors use the asset turnover ratio to compare similar companies in the same sector or group.</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 company's asset turnover ratio can be impacted by large asset sales as well as significant asset purchases in a given year. Typically, the asset turnover ratio is calculated on an annual basis. The higher the asset turnover ratio, the better the company is performing, since higher ratios imply that the company is generating more revenue per GBP of assets. The asset turnover ratio tends to be higher for companies in certain sectors than in others. Retail and consumer staples, for example, have relatively small asset bases but have high sales volume—thus, they have the highest average asset turnover ratio. Conversely, firms in sectors such as utilities and real estate have large asset bases and low asset turnover.</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Since this ratio can vary widely from one industry to the next, comparing the asset turnover ratios of a retail company and a telecommunications company would not be very productive. Comparisons are only meaningful when they are made for different companies within the same sector.</w:t>
      </w:r>
    </w:p>
    <w:p>
      <w:pPr>
        <w:pStyle w:val="12"/>
        <w:ind w:left="567" w:hanging="425"/>
        <w:jc w:val="both"/>
        <w:rPr>
          <w:rFonts w:cs="Arial" w:asciiTheme="majorHAnsi" w:hAnsiTheme="majorHAnsi"/>
          <w:b/>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Assets Turnover = Total turnover / Capital employed,</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where Capital employed is = Total assets - Current liabilities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6411 / (10087-3046) = 0.91</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6738 / (9736-2511) = 0.93</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asset turnover is with low result in both 2018 and 2019. It is under 1. This means that the company is not efficiently using assets to generate sales</w:t>
      </w:r>
    </w:p>
    <w:p>
      <w:pPr>
        <w:pStyle w:val="12"/>
        <w:ind w:left="567" w:hanging="425"/>
        <w:jc w:val="both"/>
        <w:rPr>
          <w:rFonts w:cs="Arial" w:asciiTheme="majorHAnsi" w:hAnsiTheme="majorHAnsi"/>
          <w:bCs/>
          <w:sz w:val="20"/>
          <w:szCs w:val="20"/>
          <w:lang w:val="en-US"/>
        </w:rPr>
      </w:pPr>
    </w:p>
    <w:p>
      <w:pPr>
        <w:pStyle w:val="12"/>
        <w:numPr>
          <w:ilvl w:val="0"/>
          <w:numId w:val="4"/>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Stock holding period / Inventory Turnover</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Inventory turnover is a ratio showing how many times a company has sold and replaced inventory during a given period. A company can then divide the days in the period by the inventory turnover formula to calculate the days it takes to sell the inventory on hand. Calculating inventory turnover can help businesses make better decisions on pricing, manufacturing, marketing and purchasing new inventory.</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Inventory turnover measures how fast a company sells inventory and how analysts compare it to industry averages. A low turnover implies weak sales and possibly excess inventory, also known as overstocking. It may indicate a problem with the goods being offered for sale or be a result of too little marketing.</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 high ratio implies either strong sales or insufficient inventory. The former is desirable while the latter could lead to lost business. Sometimes a low inventory turnover rate is a good thing, such as when prices are expected to rise (inventory pre-positioned to meet fast-rising demand) or when shortages are anticipated.</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speed at which a company can sell inventory is a critical measure of business performance. Retailers that move inventory out faster tend to outperform. The longer an item is held, the higher its holding cost will be, and the fewer reasons consumers will have to return to the shop for new items.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Inventory Turnover = (Inventory / Cost Of Goods Sold) * 365</w:t>
      </w:r>
    </w:p>
    <w:p>
      <w:pPr>
        <w:pStyle w:val="12"/>
        <w:ind w:left="567" w:hanging="425"/>
        <w:jc w:val="both"/>
        <w:rPr>
          <w:rFonts w:cs="Arial" w:asciiTheme="majorHAnsi" w:hAnsiTheme="majorHAnsi"/>
          <w:b/>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(659/3096) * 365 = 78 days</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(708/3235) * 365 = 80 days</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inventory turnover is higher then a month (twice and more) and it increases in 2019 (it takes 80 days to turn inventory into sales). The company is manufacturer and the sales are made worldwide. In connection with this information, we can assume that this is a normal period, as the company must maintain stocks in order to have a smooth production.</w:t>
      </w:r>
    </w:p>
    <w:p>
      <w:pPr>
        <w:pStyle w:val="12"/>
        <w:ind w:left="567" w:hanging="425"/>
        <w:jc w:val="both"/>
        <w:rPr>
          <w:rFonts w:cs="Arial" w:asciiTheme="majorHAnsi" w:hAnsiTheme="majorHAnsi"/>
          <w:bCs/>
          <w:sz w:val="20"/>
          <w:szCs w:val="20"/>
          <w:lang w:val="en-US"/>
        </w:rPr>
      </w:pPr>
    </w:p>
    <w:p>
      <w:pPr>
        <w:pStyle w:val="12"/>
        <w:numPr>
          <w:ilvl w:val="0"/>
          <w:numId w:val="4"/>
        </w:numPr>
        <w:ind w:left="567" w:hanging="425"/>
        <w:jc w:val="both"/>
        <w:rPr>
          <w:rFonts w:cs="Arial" w:asciiTheme="majorHAnsi" w:hAnsiTheme="majorHAnsi"/>
          <w:bCs/>
          <w:sz w:val="20"/>
          <w:szCs w:val="20"/>
          <w:lang w:val="en-US"/>
        </w:rPr>
      </w:pPr>
      <w:r>
        <w:rPr>
          <w:rFonts w:cs="Arial" w:asciiTheme="majorHAnsi" w:hAnsiTheme="majorHAnsi"/>
          <w:b/>
          <w:bCs/>
          <w:sz w:val="20"/>
          <w:szCs w:val="20"/>
          <w:lang w:val="en-US"/>
        </w:rPr>
        <w:t>Debtors collection period / Average Collection Period</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average collection period is the amount of time it takes for a business to receive payments owed by its clients in terms of accounts receivable (AR). Companies calculate the average collection period to make sure they have enough cash on hand to meet their financial obligations.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average collection period is calculated by dividing the average balance of accounts receivable by total net credit sales for the period and multiplying the quotient by the number of days in the period.</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Average collection periods are most important for companies that rely heavily on receivables for their cash flows.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average collection period represents the average number of days between the date a credit sale is made and the date the purchaser pays for that sale. A company's average collection period is indicative of the effectiveness of its accounts receivable management practices. Businesses must be able to manage their average collection period in order to ensure they operate smoothly.</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 lower average collection period is generally more favorable than a higher average collection period. A low average collection period indicates the organization collects payments faster. There is a downside to this, though, as it may indicate its credit terms are too strict. Customers may seek suppliers or service providers with more lenient payment terms.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average balance of accounts receivable is calculated by adding the opening balance in accounts receivable (AR) and ending balance in accounts receivable and dividing that total by two. When calculating the average collection period for an entire year, 365 may be used as the number of days in one year for simplicity.</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Debtors Collection Period = Trade receivables / Sales * 365</w:t>
      </w:r>
    </w:p>
    <w:p>
      <w:pPr>
        <w:pStyle w:val="12"/>
        <w:ind w:left="567" w:hanging="425"/>
        <w:jc w:val="both"/>
        <w:rPr>
          <w:rFonts w:cs="Arial" w:asciiTheme="majorHAnsi" w:hAnsiTheme="majorHAnsi"/>
          <w:b/>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(1287/6441) * 365 = 73 days</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(1249/6738) * 365 = 68 days</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It takes at around 70 days for the company to collect its payments. The ratio varies slightly during 2018 and 2019 (decreases to 68 days comparing with 2018 - 73 days). In order to make our final decision whether this indicator is within acceptable norms, we need to know how the company negotiates payments with its customers. Given the fact that the company sells its products worldwide, this indicator can be considered as acceptable.</w:t>
      </w:r>
    </w:p>
    <w:p>
      <w:pPr>
        <w:pStyle w:val="12"/>
        <w:ind w:left="567" w:hanging="425"/>
        <w:jc w:val="both"/>
        <w:rPr>
          <w:rFonts w:cs="Arial" w:asciiTheme="majorHAnsi" w:hAnsiTheme="majorHAnsi"/>
          <w:bCs/>
          <w:sz w:val="20"/>
          <w:szCs w:val="20"/>
          <w:lang w:val="en-US"/>
        </w:rPr>
      </w:pPr>
    </w:p>
    <w:p>
      <w:pPr>
        <w:pStyle w:val="12"/>
        <w:numPr>
          <w:ilvl w:val="0"/>
          <w:numId w:val="4"/>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Creditors payment period / Days Payable Outstanding (DPO)</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Days payable outstanding (DPO) is a financial ratio that indicates the average time (in days) that a company takes to pay its bills and invoices to its trade creditors, which may include suppliers, vendors, or financiers. The ratio is typically calculated on a quarterly or annual basis, and indicates how well the company’s cash outflows are being managed.</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 company with a higher value of DPO takes longer to pay its bills, which means that it can retain available funds for a longer duration, allowing the company an opportunity to utilize those funds in a better way to maximize the benefits. A high DPO, however, may also be a red flag indicating an inability to pay its bills on time.</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Days payable outstanding (DPO) computes the average number of days a company needs to pay its bills and obligations.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Companies that have a high DPO can delay making payments and use the available cash for short-term investments and to increase their working capital and free cash flow.</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However, higher values of DPO, though desirable, may not always be a positive for the business as it may signal a cash shortfall and inability to pay.</w:t>
      </w:r>
    </w:p>
    <w:p>
      <w:pPr>
        <w:pStyle w:val="12"/>
        <w:ind w:left="567" w:hanging="425"/>
        <w:jc w:val="both"/>
        <w:rPr>
          <w:rFonts w:cs="Arial" w:asciiTheme="majorHAnsi" w:hAnsiTheme="majorHAnsi"/>
          <w:b/>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Creditors payment period = Trade payables / Credit Purchases (or Cost of sales) * 365</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(655/3096) * 365 = 77 days</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(583/3235) * 365 = 66 days</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It takes at around 70 days for the company to pay its bills to trade creditors, which may include suppliers, vendors, or financiers. The ratio varies slightly during 2018 and 2019 (decreases to  66 days comparing with 2018 - 77 days)</w:t>
      </w:r>
    </w:p>
    <w:p>
      <w:pPr>
        <w:pStyle w:val="12"/>
        <w:ind w:left="567" w:hanging="425"/>
        <w:jc w:val="both"/>
        <w:rPr>
          <w:rFonts w:cs="Arial" w:asciiTheme="majorHAnsi" w:hAnsiTheme="majorHAnsi"/>
          <w:bCs/>
          <w:sz w:val="20"/>
          <w:szCs w:val="20"/>
          <w:lang w:val="en-US"/>
        </w:rPr>
      </w:pPr>
    </w:p>
    <w:p>
      <w:pPr>
        <w:pStyle w:val="12"/>
        <w:numPr>
          <w:ilvl w:val="0"/>
          <w:numId w:val="1"/>
        </w:numPr>
        <w:ind w:left="567" w:hanging="425"/>
        <w:jc w:val="both"/>
        <w:rPr>
          <w:rFonts w:cs="Arial" w:asciiTheme="majorHAnsi" w:hAnsiTheme="majorHAnsi"/>
          <w:bCs/>
          <w:sz w:val="20"/>
          <w:szCs w:val="20"/>
          <w:lang w:val="en-US"/>
        </w:rPr>
      </w:pPr>
      <w:r>
        <w:rPr>
          <w:rFonts w:eastAsia="Times New Roman" w:cs="Calibri" w:asciiTheme="majorHAnsi" w:hAnsiTheme="majorHAnsi"/>
          <w:b/>
          <w:bCs/>
          <w:color w:val="000000"/>
          <w:sz w:val="20"/>
          <w:szCs w:val="20"/>
          <w:lang w:eastAsia="bg-BG"/>
        </w:rPr>
        <w:t>LIQUIDITY RATIOS</w:t>
      </w:r>
    </w:p>
    <w:p>
      <w:pPr>
        <w:pStyle w:val="12"/>
        <w:numPr>
          <w:ilvl w:val="0"/>
          <w:numId w:val="5"/>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Current ratio</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current ratio is a liquidity ratio that measures a company's ability to pay short-term obligations or those due within one year. It tells investors and analysts how a company can maximize the current assets on its balance sheet to satisfy its current debt and other payables.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current ratio compares all of a company’s current assets to its current liabilities. These are usually defined as assets that are cash or will be turned into cash in a year or less, and liabilities that will be paid in a year or less.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current ratio is sometimes referred to as the “working capital” ratio and helps investors understand more about a company’s ability to cover its short-term debt with its current assets.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Current Ratio =  Current assets / Current liabilities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2355 / 3046 = 0.77</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2303 / 2511 = 0.92</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Current ratio is still under 1 in 2019. It slightly increase in 2019 comparing to 2018. The company's ability to pay short-term obligations due by a year is still low. A current ratio of 1 or more means that current assets are more than current liabilities and the company should not face any liquidity problem.</w:t>
      </w:r>
    </w:p>
    <w:p>
      <w:pPr>
        <w:pStyle w:val="12"/>
        <w:ind w:left="567" w:hanging="425"/>
        <w:jc w:val="both"/>
        <w:rPr>
          <w:rFonts w:cs="Arial" w:asciiTheme="majorHAnsi" w:hAnsiTheme="majorHAnsi"/>
          <w:bCs/>
          <w:sz w:val="20"/>
          <w:szCs w:val="20"/>
          <w:lang w:val="en-US"/>
        </w:rPr>
      </w:pPr>
    </w:p>
    <w:p>
      <w:pPr>
        <w:pStyle w:val="12"/>
        <w:numPr>
          <w:ilvl w:val="0"/>
          <w:numId w:val="5"/>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Quick asset ratio</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quick ratio is an indicator of a company’s short-term liquidity position and measures a company’s ability to meet its short-term obligations with its most liquid assets. Since it indicates the company’s ability to instantly use its near-cash assets (assets that can be converted quickly to cash) to pay down its current liabilities, it is also called the acid test ratio. An acid test is a quick test designed to produce instant results – hence, the name.</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quick ratio indicates a company's capacity to pay its current liabilities without needing to sell its inventory or get additional financing.</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quick ratio is considered a more conservative measure than the current ratio, which includes all current assets as coverage for current liabilities.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higher the ratio result, the better a company's liquidity and financial health; the lower the ratio, the more likely the company will struggle with paying debts.</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quick ratio measures the GBP amount of liquid assets available against the GBP amount of current liabilities of a company. Liquid assets are the assets that can be quickly converted into cash with minimal impact on the price received in the open market, while current liabilities are a company's debts or obligations that are due to be paid to creditors within one year.</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 xml:space="preserve">A result of 1 is considered to be the normal quick ratio. It indicates that the company is fully equipped with exactly enough assets to be instantly liquidated to pay off its current liabilities. A company that has a quick ratio of less than 1 may not be able to fully pay off its current liabilities in the short term, while a company having a quick ratio higher than 1 can instantly get rid of its current liabilities. </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While such numbers-based ratios offer insight into the viability and certain aspects of a business, they may not provide a complete picture of the overall health of the business. It is important to look at other associated measures to assess the true picture.</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Quick Asset Ratio = (Current Asset – Inventory) / Current Liabilities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(2355-659) / 3046 = 0.56</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(2303-708) / 2511 = 0.64</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Quick asset ratio is low in 2018 (0,56) and slightly increase in 2019 but still under 1 which means that the company is with a low quick liquidity and it will meet difficulties if has to pay its current obligations due by a year. The amount of other debtors is more than 70% comparing to all current liabilities. To make our final interpretation for this ratio we will need more information about other debtors</w:t>
      </w:r>
    </w:p>
    <w:p>
      <w:pPr>
        <w:pStyle w:val="12"/>
        <w:ind w:left="567" w:hanging="425"/>
        <w:jc w:val="both"/>
        <w:rPr>
          <w:rFonts w:cs="Arial" w:asciiTheme="majorHAnsi" w:hAnsiTheme="majorHAnsi"/>
          <w:bCs/>
          <w:sz w:val="20"/>
          <w:szCs w:val="20"/>
          <w:lang w:val="en-US"/>
        </w:rPr>
      </w:pPr>
    </w:p>
    <w:p>
      <w:pPr>
        <w:pStyle w:val="12"/>
        <w:numPr>
          <w:ilvl w:val="0"/>
          <w:numId w:val="1"/>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FINANCING RATIOS</w:t>
      </w:r>
    </w:p>
    <w:p>
      <w:pPr>
        <w:pStyle w:val="12"/>
        <w:numPr>
          <w:ilvl w:val="0"/>
          <w:numId w:val="6"/>
        </w:numPr>
        <w:ind w:left="567" w:hanging="283"/>
        <w:jc w:val="both"/>
        <w:rPr>
          <w:rFonts w:cs="Arial" w:asciiTheme="majorHAnsi" w:hAnsiTheme="majorHAnsi"/>
          <w:b/>
          <w:bCs/>
          <w:sz w:val="20"/>
          <w:szCs w:val="20"/>
          <w:lang w:val="en-US"/>
        </w:rPr>
      </w:pPr>
      <w:r>
        <w:rPr>
          <w:rFonts w:cs="Arial" w:asciiTheme="majorHAnsi" w:hAnsiTheme="majorHAnsi"/>
          <w:b/>
          <w:bCs/>
          <w:sz w:val="20"/>
          <w:szCs w:val="20"/>
          <w:lang w:val="en-US"/>
        </w:rPr>
        <w:t>Gearing ratio</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gearing ratio is a financial ratio that compares some form of owner's equity (or capital) to debt, or funds borrowed by the company. Gearing is a measurement of the entity’s financial leverage, which demonstrates the degree to which a firm's activities are funded by shareholders' funds versus creditor's funds.</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gearing ratio is a measure of financial leverage that demonstrates the degree to which a firm's operations are funded by equity capital versus debt financing.</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Gearing ratios are a group of financial metrics that compare shareholders' equity to company debt in various ways to assess the company's amount of leverage and financial stability.</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Gearing is a measure of how much of a company's operations are funded using debt versus the funding received from shareholders as equity.</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Gearing ratios have more meaning when they are compared against the gearing ratios of other companies in the same industry.</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 high gearing ratio typically indicates a high degree of leverage, although this does not always indicate a company is in poor financial condition. Instead, a company with a high gearing ratio has a riskier financing structure than a company with a lower gearing ratio.</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
          <w:bCs/>
          <w:sz w:val="20"/>
          <w:szCs w:val="20"/>
          <w:lang w:val="en-US"/>
        </w:rPr>
        <w:t>Gearing Ratio = Debt / Total equity</w:t>
      </w:r>
      <w:r>
        <w:rPr>
          <w:rFonts w:cs="Arial" w:asciiTheme="majorHAnsi" w:hAnsiTheme="majorHAnsi"/>
          <w:bCs/>
          <w:sz w:val="20"/>
          <w:szCs w:val="20"/>
          <w:lang w:val="en-US"/>
        </w:rPr>
        <w:t>,</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Where Total equity = Debt + shareholders’ equity</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4129 / (4129 + 2912) * 100 = 59%</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4137 / (4137+3088) * 100 = 57%</w:t>
      </w:r>
    </w:p>
    <w:p>
      <w:pPr>
        <w:pStyle w:val="12"/>
        <w:ind w:left="567" w:hanging="425"/>
        <w:jc w:val="both"/>
        <w:rPr>
          <w:rFonts w:cs="Arial" w:asciiTheme="majorHAnsi" w:hAnsiTheme="majorHAnsi"/>
          <w:bCs/>
          <w:sz w:val="20"/>
          <w:szCs w:val="20"/>
          <w:lang w:val="en-US"/>
        </w:rPr>
      </w:pP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threshold for the leverage of the company in both 2018 and 2019 is nearly 60%. This is slightly than the normal acceptable threshold. More than 50% of the funds of the company are from external sources (such as banks)</w:t>
      </w:r>
    </w:p>
    <w:p>
      <w:pPr>
        <w:pStyle w:val="12"/>
        <w:ind w:left="567" w:hanging="425"/>
        <w:jc w:val="both"/>
        <w:rPr>
          <w:rFonts w:cs="Arial" w:asciiTheme="majorHAnsi" w:hAnsiTheme="majorHAnsi"/>
          <w:b/>
          <w:bCs/>
          <w:sz w:val="20"/>
          <w:szCs w:val="20"/>
          <w:lang w:val="en-US"/>
        </w:rPr>
      </w:pPr>
    </w:p>
    <w:p>
      <w:pPr>
        <w:pStyle w:val="12"/>
        <w:numPr>
          <w:ilvl w:val="0"/>
          <w:numId w:val="6"/>
        </w:numPr>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Interest cover</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interest coverage ratio is a debt ratio and profitability ratio used to determine how easily a company can pay interest on its outstanding debt. The interest coverage ratio may be calculated by dividing a company's earnings before interest and taxes (EBIT) by its interest expense during a given period by the company's interest payments due within the same period.</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Interest coverage ratio is also called “times interest earned.” Lenders, investors, and creditors often use this formula to determine a company's riskiness relative to its current debt or for future borrowing.</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interest coverage ratio is used to see how well a firm can pay the interest on outstanding debt.</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Also called the times-interest-earned ratio, this ratio is used by creditors and prospective lenders to assess the risk of lending capital to a firm.</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A higher coverage ratio is better, although the ideal ratio may vary by industry.</w:t>
      </w:r>
    </w:p>
    <w:p>
      <w:pPr>
        <w:pStyle w:val="12"/>
        <w:ind w:left="567"/>
        <w:jc w:val="both"/>
        <w:rPr>
          <w:rFonts w:cs="Arial" w:asciiTheme="majorHAnsi" w:hAnsiTheme="majorHAnsi"/>
          <w:bCs/>
          <w:sz w:val="20"/>
          <w:szCs w:val="20"/>
          <w:lang w:val="en-US"/>
        </w:rPr>
      </w:pPr>
      <w:r>
        <w:rPr>
          <w:rFonts w:cs="Arial" w:asciiTheme="majorHAnsi" w:hAnsiTheme="majorHAnsi"/>
          <w:bCs/>
          <w:sz w:val="20"/>
          <w:szCs w:val="20"/>
          <w:lang w:val="en-US"/>
        </w:rPr>
        <w:t>The interest coverage ratio measures how many times a company can cover its current interest payment with its available earnings. In other words, it measures the margin of safety a company has for paying interest on its debt during a given period. The interest coverage ratio is used to determine how easily a company can pay its interest expenses on outstanding debt.</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
          <w:bCs/>
          <w:sz w:val="20"/>
          <w:szCs w:val="20"/>
          <w:lang w:val="en-US"/>
        </w:rPr>
      </w:pPr>
      <w:r>
        <w:rPr>
          <w:rFonts w:cs="Arial" w:asciiTheme="majorHAnsi" w:hAnsiTheme="majorHAnsi"/>
          <w:b/>
          <w:bCs/>
          <w:sz w:val="20"/>
          <w:szCs w:val="20"/>
          <w:lang w:val="en-US"/>
        </w:rPr>
        <w:t>Interest Coverage Ratio = EBIT / Interest Expense</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where: EBIT = Earnings before interest and taxes</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2018: = 699 / 181 = 3.9</w:t>
      </w: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2019: = 805 / 226 = 3.6</w:t>
      </w:r>
    </w:p>
    <w:p>
      <w:pPr>
        <w:pStyle w:val="12"/>
        <w:ind w:left="567" w:hanging="425"/>
        <w:jc w:val="both"/>
        <w:rPr>
          <w:rFonts w:cs="Arial" w:asciiTheme="majorHAnsi" w:hAnsiTheme="majorHAnsi"/>
          <w:bCs/>
          <w:sz w:val="20"/>
          <w:szCs w:val="20"/>
          <w:lang w:val="en-US"/>
        </w:rPr>
      </w:pPr>
    </w:p>
    <w:p>
      <w:pPr>
        <w:pStyle w:val="12"/>
        <w:ind w:left="567" w:hanging="425"/>
        <w:jc w:val="both"/>
        <w:rPr>
          <w:rFonts w:cs="Arial" w:asciiTheme="majorHAnsi" w:hAnsiTheme="majorHAnsi"/>
          <w:bCs/>
          <w:sz w:val="20"/>
          <w:szCs w:val="20"/>
          <w:lang w:val="en-US"/>
        </w:rPr>
      </w:pPr>
      <w:r>
        <w:rPr>
          <w:rFonts w:cs="Arial" w:asciiTheme="majorHAnsi" w:hAnsiTheme="majorHAnsi"/>
          <w:bCs/>
          <w:sz w:val="20"/>
          <w:szCs w:val="20"/>
          <w:lang w:val="en-US"/>
        </w:rPr>
        <w:t>Interest cover Ratio is nearly 4 for both 2018 and 2019. The company is able to meet its current Interest payment.</w:t>
      </w:r>
    </w:p>
    <w:p>
      <w:pPr>
        <w:pStyle w:val="12"/>
        <w:ind w:left="567" w:hanging="425"/>
        <w:jc w:val="both"/>
        <w:rPr>
          <w:rFonts w:cs="Arial" w:asciiTheme="majorHAnsi" w:hAnsiTheme="majorHAnsi"/>
          <w:bCs/>
          <w:sz w:val="20"/>
          <w:szCs w:val="20"/>
          <w:lang w:val="en-US"/>
        </w:rPr>
      </w:pPr>
    </w:p>
    <w:sectPr>
      <w:headerReference r:id="rId3" w:type="default"/>
      <w:footerReference r:id="rId4" w:type="default"/>
      <w:pgSz w:w="11906" w:h="16838"/>
      <w:pgMar w:top="1417" w:right="849" w:bottom="1417" w:left="1134" w:header="708" w:footer="708" w:gutter="0"/>
      <w:pgNumType w:fmt="decimal"/>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Body">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46637406"/>
      <w:docPartObj>
        <w:docPartGallery w:val="autotext"/>
      </w:docPartObj>
    </w:sdtPr>
    <w:sdtContent>
      <w:p>
        <w:pPr>
          <w:pStyle w:val="2"/>
          <w:jc w:val="right"/>
        </w:pPr>
        <w:r>
          <w:fldChar w:fldCharType="begin"/>
        </w:r>
        <w:r>
          <w:instrText xml:space="preserve"> PAGE   \* MERGEFORMAT </w:instrText>
        </w:r>
        <w:r>
          <w:fldChar w:fldCharType="separate"/>
        </w:r>
        <w:r>
          <w:t>13</w:t>
        </w:r>
        <w:r>
          <w:fldChar w:fldCharType="end"/>
        </w:r>
      </w:p>
    </w:sdtContent>
  </w:sdt>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keepNext w:val="0"/>
      <w:keepLines w:val="0"/>
      <w:pageBreakBefore w:val="0"/>
      <w:widowControl/>
      <w:kinsoku/>
      <w:wordWrap/>
      <w:overflowPunct/>
      <w:topLinePunct w:val="0"/>
      <w:autoSpaceDE/>
      <w:autoSpaceDN/>
      <w:bidi w:val="0"/>
      <w:adjustRightInd/>
      <w:snapToGrid/>
      <w:jc w:val="both"/>
      <w:textAlignment w:val="auto"/>
      <w:outlineLvl w:val="9"/>
      <w:rPr>
        <w:rFonts w:eastAsia="+Body"/>
        <w:sz w:val="72"/>
        <w:szCs w:val="72"/>
        <w:lang w:val="en-US"/>
      </w:rPr>
    </w:pPr>
    <w:r>
      <w:rPr>
        <w:sz w:val="72"/>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zSVju0AAAAAUBAAAPAAAAAAAAAAEAIAAAACIAAABkcnMvZG93bnJldi54&#10;bWxQSwECFAAUAAAACACHTuJA2hmdFQICAAASBAAADgAAAAAAAAABACAAAAAfAQAAZHJzL2Uyb0Rv&#10;Yy54bWxQSwUGAAAAAAYABgBZAQAAkwUAAAAA&#10;">
              <v:fill on="f" focussize="0,0"/>
              <v:stroke on="f" weight="0.5pt"/>
              <v:imagedata o:title=""/>
              <o:lock v:ext="edit" aspectratio="f"/>
              <v:textbox inset="0mm,0mm,0mm,0mm" style="mso-fit-shape-to-text:t;">
                <w:txbxContent>
                  <w:p>
                    <w:pPr>
                      <w:pStyle w:val="3"/>
                      <w:rPr>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mc:Fallback>
      </mc:AlternateContent>
    </w:r>
    <w:bookmarkStart w:id="0" w:name="_GoBac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E42"/>
    <w:multiLevelType w:val="multilevel"/>
    <w:tmpl w:val="12207E42"/>
    <w:lvl w:ilvl="0" w:tentative="0">
      <w:start w:val="1"/>
      <w:numFmt w:val="decimal"/>
      <w:lvlText w:val="%1."/>
      <w:lvlJc w:val="left"/>
      <w:pPr>
        <w:ind w:left="1440" w:hanging="360"/>
      </w:pPr>
      <w:rPr>
        <w:rFonts w:hint="default" w:eastAsia="Times New Roman" w:cs="Calibri"/>
        <w:b/>
        <w:color w:val="000000"/>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1F95608C"/>
    <w:multiLevelType w:val="multilevel"/>
    <w:tmpl w:val="1F95608C"/>
    <w:lvl w:ilvl="0" w:tentative="0">
      <w:start w:val="1"/>
      <w:numFmt w:val="decimal"/>
      <w:lvlText w:val="%1."/>
      <w:lvlJc w:val="left"/>
      <w:pPr>
        <w:ind w:left="1440" w:hanging="360"/>
      </w:pPr>
      <w:rPr>
        <w:rFonts w:hint="default" w:eastAsia="Times New Roman" w:cs="Calibri"/>
        <w:b/>
        <w:color w:val="000000"/>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2C7712A3"/>
    <w:multiLevelType w:val="multilevel"/>
    <w:tmpl w:val="2C7712A3"/>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329E0EFC"/>
    <w:multiLevelType w:val="multilevel"/>
    <w:tmpl w:val="329E0EFC"/>
    <w:lvl w:ilvl="0" w:tentative="0">
      <w:start w:val="1"/>
      <w:numFmt w:val="upperRoman"/>
      <w:lvlText w:val="%1."/>
      <w:lvlJc w:val="left"/>
      <w:pPr>
        <w:ind w:left="1080" w:hanging="720"/>
      </w:pPr>
      <w:rPr>
        <w:rFonts w:hint="default" w:eastAsia="Times New Roman" w:cs="Calibri"/>
        <w:b/>
        <w:color w:val="00000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00268A2"/>
    <w:multiLevelType w:val="multilevel"/>
    <w:tmpl w:val="600268A2"/>
    <w:lvl w:ilvl="0" w:tentative="0">
      <w:start w:val="1"/>
      <w:numFmt w:val="decimal"/>
      <w:lvlText w:val="%1."/>
      <w:lvlJc w:val="left"/>
      <w:pPr>
        <w:ind w:left="1440" w:hanging="360"/>
      </w:pPr>
      <w:rPr>
        <w:rFonts w:hint="default" w:eastAsia="Times New Roman" w:cs="Calibri"/>
        <w:b/>
        <w:color w:val="000000"/>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5">
    <w:nsid w:val="7C8F469E"/>
    <w:multiLevelType w:val="multilevel"/>
    <w:tmpl w:val="7C8F469E"/>
    <w:lvl w:ilvl="0" w:tentative="0">
      <w:start w:val="1"/>
      <w:numFmt w:val="decimal"/>
      <w:lvlText w:val="%1."/>
      <w:lvlJc w:val="left"/>
      <w:pPr>
        <w:ind w:left="1440" w:hanging="360"/>
      </w:pPr>
      <w:rPr>
        <w:rFonts w:hint="default" w:eastAsia="Times New Roman" w:cs="Calibri"/>
        <w:b/>
        <w:color w:val="000000"/>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DC7"/>
    <w:rsid w:val="00016A7F"/>
    <w:rsid w:val="00081E44"/>
    <w:rsid w:val="000828EA"/>
    <w:rsid w:val="00093E9A"/>
    <w:rsid w:val="000B54BC"/>
    <w:rsid w:val="000D1968"/>
    <w:rsid w:val="000E3A9C"/>
    <w:rsid w:val="001539C3"/>
    <w:rsid w:val="0018298E"/>
    <w:rsid w:val="001B416F"/>
    <w:rsid w:val="0023495E"/>
    <w:rsid w:val="002379CF"/>
    <w:rsid w:val="002622F0"/>
    <w:rsid w:val="00291AB5"/>
    <w:rsid w:val="00314B53"/>
    <w:rsid w:val="00345A71"/>
    <w:rsid w:val="0035738D"/>
    <w:rsid w:val="003821BD"/>
    <w:rsid w:val="003E56DB"/>
    <w:rsid w:val="003F135C"/>
    <w:rsid w:val="00411924"/>
    <w:rsid w:val="004303D5"/>
    <w:rsid w:val="00442C32"/>
    <w:rsid w:val="00463294"/>
    <w:rsid w:val="004655D9"/>
    <w:rsid w:val="00477194"/>
    <w:rsid w:val="004A66A5"/>
    <w:rsid w:val="005055D0"/>
    <w:rsid w:val="00513C1F"/>
    <w:rsid w:val="0052375A"/>
    <w:rsid w:val="00530E70"/>
    <w:rsid w:val="00534088"/>
    <w:rsid w:val="00564DC8"/>
    <w:rsid w:val="0058211A"/>
    <w:rsid w:val="005878AA"/>
    <w:rsid w:val="0059475C"/>
    <w:rsid w:val="005D3698"/>
    <w:rsid w:val="005F758C"/>
    <w:rsid w:val="00605B0A"/>
    <w:rsid w:val="00664108"/>
    <w:rsid w:val="006B1B91"/>
    <w:rsid w:val="006C14B0"/>
    <w:rsid w:val="006C3184"/>
    <w:rsid w:val="006E2566"/>
    <w:rsid w:val="006F0AB5"/>
    <w:rsid w:val="006F2DC7"/>
    <w:rsid w:val="0077698F"/>
    <w:rsid w:val="00787CA0"/>
    <w:rsid w:val="0079270C"/>
    <w:rsid w:val="0079560E"/>
    <w:rsid w:val="007B7CF4"/>
    <w:rsid w:val="007E498B"/>
    <w:rsid w:val="00822184"/>
    <w:rsid w:val="00824047"/>
    <w:rsid w:val="00841E8B"/>
    <w:rsid w:val="00876AA2"/>
    <w:rsid w:val="00881F81"/>
    <w:rsid w:val="0088269E"/>
    <w:rsid w:val="00891420"/>
    <w:rsid w:val="008B0E3D"/>
    <w:rsid w:val="008B1627"/>
    <w:rsid w:val="008B784A"/>
    <w:rsid w:val="008C4738"/>
    <w:rsid w:val="008E203B"/>
    <w:rsid w:val="008F6821"/>
    <w:rsid w:val="008F6BDF"/>
    <w:rsid w:val="008F7E52"/>
    <w:rsid w:val="00907290"/>
    <w:rsid w:val="0092397B"/>
    <w:rsid w:val="009254AB"/>
    <w:rsid w:val="009423D4"/>
    <w:rsid w:val="009603C7"/>
    <w:rsid w:val="00970B25"/>
    <w:rsid w:val="009B69BB"/>
    <w:rsid w:val="009F1109"/>
    <w:rsid w:val="00A426DC"/>
    <w:rsid w:val="00A705E9"/>
    <w:rsid w:val="00A82BAC"/>
    <w:rsid w:val="00AF5172"/>
    <w:rsid w:val="00B11ABB"/>
    <w:rsid w:val="00B43695"/>
    <w:rsid w:val="00B4746C"/>
    <w:rsid w:val="00B70960"/>
    <w:rsid w:val="00B70FF5"/>
    <w:rsid w:val="00B92C7C"/>
    <w:rsid w:val="00BA52F5"/>
    <w:rsid w:val="00BB2E6F"/>
    <w:rsid w:val="00BF4E4F"/>
    <w:rsid w:val="00C03DC0"/>
    <w:rsid w:val="00C33340"/>
    <w:rsid w:val="00C467FA"/>
    <w:rsid w:val="00C757B9"/>
    <w:rsid w:val="00CA77CC"/>
    <w:rsid w:val="00CC4690"/>
    <w:rsid w:val="00D00FC9"/>
    <w:rsid w:val="00D1526C"/>
    <w:rsid w:val="00D758BB"/>
    <w:rsid w:val="00D80542"/>
    <w:rsid w:val="00DD7D6C"/>
    <w:rsid w:val="00E063CE"/>
    <w:rsid w:val="00E1132B"/>
    <w:rsid w:val="00E23AA8"/>
    <w:rsid w:val="00E46BBB"/>
    <w:rsid w:val="00E5424F"/>
    <w:rsid w:val="00E72DCF"/>
    <w:rsid w:val="00F23AAD"/>
    <w:rsid w:val="00F27652"/>
    <w:rsid w:val="00F3066F"/>
    <w:rsid w:val="00F323B2"/>
    <w:rsid w:val="00F745B8"/>
    <w:rsid w:val="00FA5627"/>
    <w:rsid w:val="00FB694D"/>
    <w:rsid w:val="00FF268C"/>
    <w:rsid w:val="2E35465E"/>
    <w:rsid w:val="63466284"/>
    <w:rsid w:val="773B5781"/>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bg-BG" w:eastAsia="en-US"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1"/>
    <w:unhideWhenUsed/>
    <w:qFormat/>
    <w:uiPriority w:val="99"/>
    <w:pPr>
      <w:tabs>
        <w:tab w:val="center" w:pos="4536"/>
        <w:tab w:val="right" w:pos="9072"/>
      </w:tabs>
      <w:spacing w:after="0" w:line="240" w:lineRule="auto"/>
    </w:pPr>
  </w:style>
  <w:style w:type="paragraph" w:styleId="3">
    <w:name w:val="header"/>
    <w:basedOn w:val="1"/>
    <w:link w:val="10"/>
    <w:unhideWhenUsed/>
    <w:uiPriority w:val="99"/>
    <w:pPr>
      <w:tabs>
        <w:tab w:val="center" w:pos="4536"/>
        <w:tab w:val="right" w:pos="9072"/>
      </w:tabs>
      <w:spacing w:after="0" w:line="240" w:lineRule="auto"/>
    </w:pPr>
  </w:style>
  <w:style w:type="character" w:styleId="5">
    <w:name w:val="Hyperlink"/>
    <w:basedOn w:val="4"/>
    <w:unhideWhenUsed/>
    <w:uiPriority w:val="99"/>
    <w:rPr>
      <w:color w:val="0000FF"/>
      <w:u w:val="single"/>
    </w:rPr>
  </w:style>
  <w:style w:type="character" w:styleId="6">
    <w:name w:val="Strong"/>
    <w:basedOn w:val="4"/>
    <w:qFormat/>
    <w:uiPriority w:val="22"/>
    <w:rPr>
      <w:b/>
      <w:bCs/>
    </w:rPr>
  </w:style>
  <w:style w:type="paragraph" w:customStyle="1" w:styleId="8">
    <w:name w:val="Default"/>
    <w:qFormat/>
    <w:uiPriority w:val="0"/>
    <w:pPr>
      <w:autoSpaceDE w:val="0"/>
      <w:autoSpaceDN w:val="0"/>
      <w:adjustRightInd w:val="0"/>
      <w:spacing w:after="0" w:line="240" w:lineRule="auto"/>
    </w:pPr>
    <w:rPr>
      <w:rFonts w:ascii="Arial" w:hAnsi="Arial" w:cs="Arial" w:eastAsiaTheme="minorHAnsi"/>
      <w:color w:val="000000"/>
      <w:sz w:val="24"/>
      <w:szCs w:val="24"/>
      <w:lang w:val="bg-BG" w:eastAsia="en-US" w:bidi="ar-SA"/>
    </w:rPr>
  </w:style>
  <w:style w:type="paragraph" w:customStyle="1" w:styleId="9">
    <w:name w:val="comp"/>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bg-BG"/>
    </w:rPr>
  </w:style>
  <w:style w:type="character" w:customStyle="1" w:styleId="10">
    <w:name w:val="Header Char"/>
    <w:basedOn w:val="4"/>
    <w:link w:val="3"/>
    <w:uiPriority w:val="99"/>
  </w:style>
  <w:style w:type="character" w:customStyle="1" w:styleId="11">
    <w:name w:val="Footer Char"/>
    <w:basedOn w:val="4"/>
    <w:link w:val="2"/>
    <w:qFormat/>
    <w:uiPriority w:val="99"/>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13</Pages>
  <Words>4748</Words>
  <Characters>27064</Characters>
  <Lines>225</Lines>
  <Paragraphs>63</Paragraphs>
  <TotalTime>2914</TotalTime>
  <ScaleCrop>false</ScaleCrop>
  <LinksUpToDate>false</LinksUpToDate>
  <CharactersWithSpaces>31749</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2020-11-05T10:10:00Z</dcterms:created>
  <dc:creator>HP</dc:creator>
  <cp:lastModifiedBy>G 50-30</cp:lastModifiedBy>
  <dcterms:modified xsi:type="dcterms:W3CDTF">2020-11-12T12:26:16Z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