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193F1" w14:textId="05DC7A83" w:rsidR="00EF7990" w:rsidRDefault="00E921B5">
      <w:pPr>
        <w:spacing w:after="312" w:line="259" w:lineRule="auto"/>
        <w:ind w:left="0" w:right="-1" w:firstLine="0"/>
      </w:pPr>
      <w:r>
        <w:t>+</w:t>
      </w:r>
      <w:r w:rsidR="009703C4">
        <w:rPr>
          <w:noProof/>
        </w:rPr>
        <w:drawing>
          <wp:inline distT="0" distB="0" distL="0" distR="0" wp14:anchorId="32F30412" wp14:editId="2FEFF42B">
            <wp:extent cx="5730875" cy="1975485"/>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7"/>
                    <a:stretch>
                      <a:fillRect/>
                    </a:stretch>
                  </pic:blipFill>
                  <pic:spPr>
                    <a:xfrm>
                      <a:off x="0" y="0"/>
                      <a:ext cx="5730875" cy="1975485"/>
                    </a:xfrm>
                    <a:prstGeom prst="rect">
                      <a:avLst/>
                    </a:prstGeom>
                  </pic:spPr>
                </pic:pic>
              </a:graphicData>
            </a:graphic>
          </wp:inline>
        </w:drawing>
      </w:r>
    </w:p>
    <w:p w14:paraId="095578D8" w14:textId="4461556A" w:rsidR="00EF7990" w:rsidRDefault="00F84D85">
      <w:pPr>
        <w:spacing w:after="215" w:line="259" w:lineRule="auto"/>
        <w:ind w:left="-5"/>
      </w:pPr>
      <w:r>
        <w:rPr>
          <w:b/>
        </w:rPr>
        <w:t>Module</w:t>
      </w:r>
      <w:r w:rsidR="009703C4">
        <w:rPr>
          <w:b/>
        </w:rPr>
        <w:t xml:space="preserve"> </w:t>
      </w:r>
      <w:r>
        <w:rPr>
          <w:b/>
        </w:rPr>
        <w:t>T</w:t>
      </w:r>
      <w:r w:rsidR="009703C4">
        <w:rPr>
          <w:b/>
        </w:rPr>
        <w:t>itle:  ACADEMIC AND EMPLOYABILITY SKILLS</w:t>
      </w:r>
    </w:p>
    <w:p w14:paraId="2F09A659" w14:textId="2FE70DC6" w:rsidR="00EF7990" w:rsidRDefault="009703C4">
      <w:pPr>
        <w:spacing w:after="215" w:line="259" w:lineRule="auto"/>
        <w:ind w:left="-5"/>
      </w:pPr>
      <w:r>
        <w:rPr>
          <w:b/>
        </w:rPr>
        <w:t xml:space="preserve">Course </w:t>
      </w:r>
      <w:r w:rsidR="00F84D85">
        <w:rPr>
          <w:b/>
        </w:rPr>
        <w:t>C</w:t>
      </w:r>
      <w:r>
        <w:rPr>
          <w:b/>
        </w:rPr>
        <w:t>ode: BMSW4001</w:t>
      </w:r>
    </w:p>
    <w:p w14:paraId="203F80CC" w14:textId="295AAB69" w:rsidR="00EF7990" w:rsidRDefault="009703C4">
      <w:pPr>
        <w:spacing w:after="215" w:line="259" w:lineRule="auto"/>
        <w:ind w:left="-5"/>
      </w:pPr>
      <w:r>
        <w:rPr>
          <w:b/>
        </w:rPr>
        <w:t xml:space="preserve">Student </w:t>
      </w:r>
      <w:r w:rsidR="00F84D85">
        <w:rPr>
          <w:b/>
        </w:rPr>
        <w:t>Name: Anthony Chukwunonso Agwuenu</w:t>
      </w:r>
    </w:p>
    <w:p w14:paraId="11360507" w14:textId="77777777" w:rsidR="00F84D85" w:rsidRDefault="009703C4">
      <w:pPr>
        <w:spacing w:after="215" w:line="259" w:lineRule="auto"/>
        <w:ind w:left="-5"/>
        <w:rPr>
          <w:b/>
        </w:rPr>
      </w:pPr>
      <w:r>
        <w:rPr>
          <w:b/>
        </w:rPr>
        <w:t xml:space="preserve">Student </w:t>
      </w:r>
      <w:r w:rsidR="00F84D85">
        <w:rPr>
          <w:b/>
        </w:rPr>
        <w:t>ID</w:t>
      </w:r>
      <w:r>
        <w:rPr>
          <w:b/>
        </w:rPr>
        <w:t>:</w:t>
      </w:r>
      <w:r w:rsidR="00F84D85">
        <w:rPr>
          <w:b/>
        </w:rPr>
        <w:t xml:space="preserve"> 1921241</w:t>
      </w:r>
    </w:p>
    <w:p w14:paraId="20F0475C" w14:textId="77777777" w:rsidR="00F84D85" w:rsidRDefault="00F84D85" w:rsidP="00F84D85">
      <w:pPr>
        <w:spacing w:after="215" w:line="259" w:lineRule="auto"/>
        <w:ind w:left="-5"/>
        <w:rPr>
          <w:b/>
        </w:rPr>
      </w:pPr>
      <w:r>
        <w:rPr>
          <w:b/>
        </w:rPr>
        <w:t>Assignment Title: Structured Academic Report 4 – 5 Topic to write on.</w:t>
      </w:r>
    </w:p>
    <w:p w14:paraId="3F3CCB21" w14:textId="05483AE4" w:rsidR="00EF7990" w:rsidRPr="00F84D85" w:rsidRDefault="00F84D85" w:rsidP="00F84D85">
      <w:pPr>
        <w:spacing w:after="215" w:line="259" w:lineRule="auto"/>
        <w:ind w:left="-5"/>
        <w:rPr>
          <w:b/>
        </w:rPr>
      </w:pPr>
      <w:r>
        <w:rPr>
          <w:b/>
        </w:rPr>
        <w:t>Module Lecturer’s Name: Joanna Walsh</w:t>
      </w:r>
      <w:r w:rsidR="009703C4">
        <w:br w:type="page"/>
      </w:r>
    </w:p>
    <w:p w14:paraId="1A499399" w14:textId="77777777" w:rsidR="00EF7990" w:rsidRDefault="009703C4">
      <w:pPr>
        <w:spacing w:after="215" w:line="259" w:lineRule="auto"/>
        <w:ind w:left="-5"/>
      </w:pPr>
      <w:r>
        <w:rPr>
          <w:b/>
        </w:rPr>
        <w:lastRenderedPageBreak/>
        <w:t>Table of content                                                                                                       Page</w:t>
      </w:r>
    </w:p>
    <w:sdt>
      <w:sdtPr>
        <w:rPr>
          <w:b w:val="0"/>
        </w:rPr>
        <w:id w:val="-1992628842"/>
        <w:docPartObj>
          <w:docPartGallery w:val="Table of Contents"/>
        </w:docPartObj>
      </w:sdtPr>
      <w:sdtEndPr/>
      <w:sdtContent>
        <w:p w14:paraId="13B0098F" w14:textId="77777777" w:rsidR="00EF7990" w:rsidRDefault="009703C4">
          <w:pPr>
            <w:pStyle w:val="TOC1"/>
            <w:tabs>
              <w:tab w:val="right" w:leader="dot" w:pos="9024"/>
            </w:tabs>
          </w:pPr>
          <w:r>
            <w:fldChar w:fldCharType="begin"/>
          </w:r>
          <w:r>
            <w:instrText xml:space="preserve"> TOC \o "1-1" \h \z \u </w:instrText>
          </w:r>
          <w:r>
            <w:fldChar w:fldCharType="separate"/>
          </w:r>
          <w:hyperlink w:anchor="_Toc6678">
            <w:r>
              <w:t>Introduction</w:t>
            </w:r>
            <w:r>
              <w:tab/>
            </w:r>
            <w:r>
              <w:fldChar w:fldCharType="begin"/>
            </w:r>
            <w:r>
              <w:instrText>PAGEREF _Toc6678 \h</w:instrText>
            </w:r>
            <w:r>
              <w:fldChar w:fldCharType="separate"/>
            </w:r>
            <w:r>
              <w:t>3</w:t>
            </w:r>
            <w:r>
              <w:fldChar w:fldCharType="end"/>
            </w:r>
          </w:hyperlink>
        </w:p>
        <w:p w14:paraId="636B7688" w14:textId="77777777" w:rsidR="00EF7990" w:rsidRDefault="009703C4">
          <w:pPr>
            <w:pStyle w:val="TOC1"/>
            <w:tabs>
              <w:tab w:val="right" w:leader="dot" w:pos="9024"/>
            </w:tabs>
          </w:pPr>
          <w:hyperlink w:anchor="_Toc6679">
            <w:r>
              <w:t>Note taking reflection using Gibbs reflective cycle</w:t>
            </w:r>
            <w:r>
              <w:tab/>
            </w:r>
            <w:r>
              <w:fldChar w:fldCharType="begin"/>
            </w:r>
            <w:r>
              <w:instrText>PAGEREF _Toc6679 \h</w:instrText>
            </w:r>
            <w:r>
              <w:fldChar w:fldCharType="separate"/>
            </w:r>
            <w:r>
              <w:t>4</w:t>
            </w:r>
            <w:r>
              <w:fldChar w:fldCharType="end"/>
            </w:r>
          </w:hyperlink>
        </w:p>
        <w:p w14:paraId="2CAF3977" w14:textId="77777777" w:rsidR="00EF7990" w:rsidRDefault="009703C4">
          <w:pPr>
            <w:pStyle w:val="TOC1"/>
            <w:tabs>
              <w:tab w:val="right" w:leader="dot" w:pos="9024"/>
            </w:tabs>
          </w:pPr>
          <w:hyperlink w:anchor="_Toc6680">
            <w:r>
              <w:t>Referencing, reflecting using the Gibbs r</w:t>
            </w:r>
            <w:r>
              <w:t>eflective cycle</w:t>
            </w:r>
            <w:r>
              <w:tab/>
            </w:r>
            <w:r>
              <w:fldChar w:fldCharType="begin"/>
            </w:r>
            <w:r>
              <w:instrText>PAGEREF _Toc6680 \h</w:instrText>
            </w:r>
            <w:r>
              <w:fldChar w:fldCharType="separate"/>
            </w:r>
            <w:r>
              <w:t>6</w:t>
            </w:r>
            <w:r>
              <w:fldChar w:fldCharType="end"/>
            </w:r>
          </w:hyperlink>
        </w:p>
        <w:p w14:paraId="593C5FF2" w14:textId="77777777" w:rsidR="00EF7990" w:rsidRDefault="009703C4">
          <w:pPr>
            <w:pStyle w:val="TOC1"/>
            <w:tabs>
              <w:tab w:val="right" w:leader="dot" w:pos="9024"/>
            </w:tabs>
          </w:pPr>
          <w:hyperlink w:anchor="_Toc6681">
            <w:r>
              <w:t>Paraphrasing, reflecting using the Gibbs reflective cycle</w:t>
            </w:r>
            <w:r>
              <w:tab/>
            </w:r>
            <w:r>
              <w:fldChar w:fldCharType="begin"/>
            </w:r>
            <w:r>
              <w:instrText>PAGEREF _Toc6681 \h</w:instrText>
            </w:r>
            <w:r>
              <w:fldChar w:fldCharType="separate"/>
            </w:r>
            <w:r>
              <w:t>7</w:t>
            </w:r>
            <w:r>
              <w:fldChar w:fldCharType="end"/>
            </w:r>
          </w:hyperlink>
        </w:p>
        <w:p w14:paraId="7C39BF52" w14:textId="77777777" w:rsidR="00EF7990" w:rsidRDefault="009703C4">
          <w:pPr>
            <w:pStyle w:val="TOC1"/>
            <w:tabs>
              <w:tab w:val="right" w:leader="dot" w:pos="9024"/>
            </w:tabs>
          </w:pPr>
          <w:hyperlink w:anchor="_Toc6682">
            <w:r>
              <w:t>Summary, reflecting using Gibbs reflective cycle</w:t>
            </w:r>
            <w:r>
              <w:tab/>
            </w:r>
            <w:r>
              <w:fldChar w:fldCharType="begin"/>
            </w:r>
            <w:r>
              <w:instrText>PAGEREF _Toc6682 \h</w:instrText>
            </w:r>
            <w:r>
              <w:fldChar w:fldCharType="separate"/>
            </w:r>
            <w:r>
              <w:t>8</w:t>
            </w:r>
            <w:r>
              <w:fldChar w:fldCharType="end"/>
            </w:r>
          </w:hyperlink>
        </w:p>
        <w:p w14:paraId="4E6DA905" w14:textId="77777777" w:rsidR="00EF7990" w:rsidRDefault="009703C4">
          <w:pPr>
            <w:pStyle w:val="TOC1"/>
            <w:tabs>
              <w:tab w:val="right" w:leader="dot" w:pos="9024"/>
            </w:tabs>
          </w:pPr>
          <w:hyperlink w:anchor="_Toc6683">
            <w:r>
              <w:t>Reflective writing, reflecting using Gibbs re</w:t>
            </w:r>
            <w:r>
              <w:t>flective cycle</w:t>
            </w:r>
            <w:r>
              <w:tab/>
            </w:r>
            <w:r>
              <w:fldChar w:fldCharType="begin"/>
            </w:r>
            <w:r>
              <w:instrText>PAGEREF _Toc6683 \h</w:instrText>
            </w:r>
            <w:r>
              <w:fldChar w:fldCharType="separate"/>
            </w:r>
            <w:r>
              <w:t>10</w:t>
            </w:r>
            <w:r>
              <w:fldChar w:fldCharType="end"/>
            </w:r>
          </w:hyperlink>
        </w:p>
        <w:p w14:paraId="5FFA04F3" w14:textId="77777777" w:rsidR="00EF7990" w:rsidRDefault="009703C4">
          <w:r>
            <w:fldChar w:fldCharType="end"/>
          </w:r>
        </w:p>
      </w:sdtContent>
    </w:sdt>
    <w:p w14:paraId="159CB9D8" w14:textId="77777777" w:rsidR="00EF7990" w:rsidRDefault="009703C4">
      <w:pPr>
        <w:spacing w:after="215" w:line="259" w:lineRule="auto"/>
        <w:ind w:left="-5"/>
      </w:pPr>
      <w:r>
        <w:rPr>
          <w:b/>
        </w:rPr>
        <w:t>Conclusion……………………………………………………………………………12</w:t>
      </w:r>
    </w:p>
    <w:p w14:paraId="38924599" w14:textId="77777777" w:rsidR="00EF7990" w:rsidRDefault="009703C4">
      <w:pPr>
        <w:spacing w:after="215" w:line="259" w:lineRule="auto"/>
        <w:ind w:left="-5"/>
      </w:pPr>
      <w:r>
        <w:rPr>
          <w:b/>
        </w:rPr>
        <w:t>Reference…………………………………………………………………………….13</w:t>
      </w:r>
      <w:r>
        <w:br w:type="page"/>
      </w:r>
    </w:p>
    <w:p w14:paraId="5E84C5EA" w14:textId="77777777" w:rsidR="00EF7990" w:rsidRDefault="009703C4">
      <w:pPr>
        <w:pStyle w:val="Heading1"/>
        <w:numPr>
          <w:ilvl w:val="0"/>
          <w:numId w:val="0"/>
        </w:numPr>
        <w:ind w:left="-5"/>
      </w:pPr>
      <w:bookmarkStart w:id="0" w:name="_Toc6678"/>
      <w:r>
        <w:lastRenderedPageBreak/>
        <w:t xml:space="preserve">Introduction </w:t>
      </w:r>
      <w:bookmarkEnd w:id="0"/>
    </w:p>
    <w:p w14:paraId="26A978DA" w14:textId="77777777" w:rsidR="00EF7990" w:rsidRDefault="009703C4">
      <w:pPr>
        <w:ind w:left="-5"/>
      </w:pPr>
      <w:r>
        <w:t>This report will evaluate the learning outcomes over the period of last term with the correlation of the impact on employability in the future. The report will reflect on the learning module with an understanding of how the different will contribute to mak</w:t>
      </w:r>
      <w:r>
        <w:t xml:space="preserve">ing a better student in the future. Five topics from the module will be taken into consideration and Gibbs reflective cycle framework will be used in reflecting the experiences of each topic. </w:t>
      </w:r>
      <w:r>
        <w:br w:type="page"/>
      </w:r>
    </w:p>
    <w:p w14:paraId="4E8E0AAD" w14:textId="678731FC" w:rsidR="00EF7990" w:rsidRDefault="009703C4">
      <w:pPr>
        <w:pStyle w:val="Heading1"/>
        <w:numPr>
          <w:ilvl w:val="0"/>
          <w:numId w:val="0"/>
        </w:numPr>
        <w:spacing w:after="314"/>
        <w:ind w:left="-5"/>
      </w:pPr>
      <w:bookmarkStart w:id="1" w:name="_Toc6679"/>
      <w:r>
        <w:lastRenderedPageBreak/>
        <w:t xml:space="preserve">Note taking reflection using Gibbs reflective </w:t>
      </w:r>
      <w:bookmarkEnd w:id="1"/>
      <w:r w:rsidR="00A85D61">
        <w:t>cycle.</w:t>
      </w:r>
    </w:p>
    <w:p w14:paraId="3A3C73A0" w14:textId="007723A9" w:rsidR="00EF7990" w:rsidRDefault="00A85D61">
      <w:pPr>
        <w:spacing w:after="229"/>
        <w:ind w:left="-5"/>
      </w:pPr>
      <w:r>
        <w:t>Gibbs (1988)</w:t>
      </w:r>
      <w:r w:rsidR="009703C4">
        <w:t xml:space="preserve"> suggest that reflection is the process of taking into account all the learning process within a particular task over a period time, through describing the experience, the feelings within the period, evaluating the learning outcomes, analysing the negat</w:t>
      </w:r>
      <w:r w:rsidR="009703C4">
        <w:t xml:space="preserve">ives and the positives, concluding and finally coming up with action plans that will be carried out in the future. Note taking is the is the process of writing down important information during lectures, seminars and symposium with the intention to use it </w:t>
      </w:r>
      <w:r w:rsidR="009703C4">
        <w:t xml:space="preserve">in the future, this could come in different forms such diagrams representation or linear note taking therefore depending on the source (Gaynor, 2013). The reflection on note </w:t>
      </w:r>
      <w:r>
        <w:t>taking.</w:t>
      </w:r>
    </w:p>
    <w:p w14:paraId="3C2CA6BA" w14:textId="77777777" w:rsidR="00EF7990" w:rsidRDefault="009703C4">
      <w:pPr>
        <w:numPr>
          <w:ilvl w:val="0"/>
          <w:numId w:val="1"/>
        </w:numPr>
        <w:spacing w:after="28"/>
        <w:ind w:hanging="360"/>
      </w:pPr>
      <w:r>
        <w:rPr>
          <w:b/>
        </w:rPr>
        <w:t>Description:</w:t>
      </w:r>
      <w:r>
        <w:t xml:space="preserve"> Note taking was not really a challenge for me at the starting</w:t>
      </w:r>
      <w:r>
        <w:t xml:space="preserve"> but with so many things that needed to be written within a short period the pressure start mounting. But with the understanding from the lecturer that I can develop new approach towards note taking, I discover that important information could be abbreviat</w:t>
      </w:r>
      <w:r>
        <w:t xml:space="preserve">ed and later on developed to become useful. Learning through the virtual platform further makes note taking a challenging mostly when trying to get an understating from the lecturer but a little distraction could lead missing some important information. </w:t>
      </w:r>
    </w:p>
    <w:p w14:paraId="1805131A" w14:textId="77777777" w:rsidR="00EF7990" w:rsidRDefault="009703C4">
      <w:pPr>
        <w:numPr>
          <w:ilvl w:val="0"/>
          <w:numId w:val="1"/>
        </w:numPr>
        <w:spacing w:after="28"/>
        <w:ind w:hanging="360"/>
      </w:pPr>
      <w:r>
        <w:rPr>
          <w:b/>
        </w:rPr>
        <w:t xml:space="preserve">Feelings: </w:t>
      </w:r>
      <w:r>
        <w:t>The feeling within this topic was great as I have an understanding about note taking on a normal circumstance because within the secular work environment taking minutes of the meeting was part of my responsibilities. Although on the academic grou</w:t>
      </w:r>
      <w:r>
        <w:t xml:space="preserve">nds it was challenging because once you missed a point one can refer to colleague to ask but the contrary this case was different. </w:t>
      </w:r>
    </w:p>
    <w:p w14:paraId="15BA84A5" w14:textId="77777777" w:rsidR="00EF7990" w:rsidRDefault="009703C4">
      <w:pPr>
        <w:numPr>
          <w:ilvl w:val="0"/>
          <w:numId w:val="1"/>
        </w:numPr>
        <w:spacing w:after="28"/>
        <w:ind w:hanging="360"/>
      </w:pPr>
      <w:r>
        <w:rPr>
          <w:b/>
        </w:rPr>
        <w:t xml:space="preserve">Evaluation: </w:t>
      </w:r>
      <w:r>
        <w:t>All through the period of learning this module I discover that there are more types of note taking a part of the</w:t>
      </w:r>
      <w:r>
        <w:t xml:space="preserve"> two mentioned in the portal, there is Cornell method, outlining method, mapping method, charting method and the sentence method (Gaynor, 2013). Having a broad understanding of the different methods of note taking gives a deeper knowledge of the topic and </w:t>
      </w:r>
      <w:r>
        <w:t xml:space="preserve">choosing the one that best suit me when taking note both in the classes and bringing out points from books.  </w:t>
      </w:r>
    </w:p>
    <w:p w14:paraId="2F7F6A43" w14:textId="77777777" w:rsidR="00EF7990" w:rsidRDefault="009703C4">
      <w:pPr>
        <w:numPr>
          <w:ilvl w:val="0"/>
          <w:numId w:val="1"/>
        </w:numPr>
        <w:ind w:hanging="360"/>
      </w:pPr>
      <w:r>
        <w:rPr>
          <w:b/>
        </w:rPr>
        <w:t xml:space="preserve">Analysis: </w:t>
      </w:r>
      <w:r>
        <w:t>The process of note taking becomes very significant in enabling me to understand the different approach needed to adequately gather info</w:t>
      </w:r>
      <w:r>
        <w:t xml:space="preserve">rmation that will be used in the future. The learning process becomes very interesting as I was able to take into consideration all types of note taking methodologies.   </w:t>
      </w:r>
    </w:p>
    <w:p w14:paraId="461C4848" w14:textId="77777777" w:rsidR="00EF7990" w:rsidRDefault="009703C4">
      <w:pPr>
        <w:numPr>
          <w:ilvl w:val="0"/>
          <w:numId w:val="1"/>
        </w:numPr>
        <w:spacing w:after="28"/>
        <w:ind w:hanging="360"/>
      </w:pPr>
      <w:r>
        <w:rPr>
          <w:b/>
        </w:rPr>
        <w:lastRenderedPageBreak/>
        <w:t xml:space="preserve">Conclusion: </w:t>
      </w:r>
      <w:r>
        <w:t xml:space="preserve">From the note taking classes I discover that the ability to write and be </w:t>
      </w:r>
      <w:r>
        <w:t xml:space="preserve">able to read is very significant to learning capabilities. The period I was taking these classes I discover that taking note adequately will help during the reflecting on the courses. </w:t>
      </w:r>
    </w:p>
    <w:p w14:paraId="460DD7FC" w14:textId="77777777" w:rsidR="00EF7990" w:rsidRDefault="009703C4">
      <w:pPr>
        <w:numPr>
          <w:ilvl w:val="0"/>
          <w:numId w:val="1"/>
        </w:numPr>
        <w:ind w:hanging="360"/>
      </w:pPr>
      <w:r>
        <w:rPr>
          <w:b/>
        </w:rPr>
        <w:t xml:space="preserve">Action plan:  </w:t>
      </w:r>
      <w:r>
        <w:t>In the future I am planning to spend more trying other fo</w:t>
      </w:r>
      <w:r>
        <w:t xml:space="preserve">rms of note taking mostly with the use of abbreviation to help me in writing fast. A also intend to pay more attention to the details of the note am taking to avoid missing important aspect of the classes. </w:t>
      </w:r>
    </w:p>
    <w:p w14:paraId="1C23B29E" w14:textId="77777777" w:rsidR="00EF7990" w:rsidRDefault="009703C4">
      <w:pPr>
        <w:pStyle w:val="Heading1"/>
        <w:ind w:left="225" w:hanging="240"/>
      </w:pPr>
      <w:bookmarkStart w:id="2" w:name="_Toc6680"/>
      <w:r>
        <w:t>Referencing, reflecting using the Gibbs reflectiv</w:t>
      </w:r>
      <w:r>
        <w:t>e cycle</w:t>
      </w:r>
      <w:bookmarkEnd w:id="2"/>
    </w:p>
    <w:p w14:paraId="20882999" w14:textId="71C686C1" w:rsidR="00EF7990" w:rsidRDefault="009703C4">
      <w:pPr>
        <w:spacing w:after="229"/>
        <w:ind w:left="-5"/>
      </w:pPr>
      <w:r>
        <w:t xml:space="preserve">Morgan (2017) </w:t>
      </w:r>
      <w:r w:rsidR="00A85D61">
        <w:t>suggests</w:t>
      </w:r>
      <w:r>
        <w:t xml:space="preserve"> that the process of avoiding academic misconduct will demand that all information gathered will need to be cite or referenced. </w:t>
      </w:r>
      <w:r w:rsidR="00A85D61">
        <w:t>Therefore,</w:t>
      </w:r>
      <w:r>
        <w:t xml:space="preserve"> the process of referencing is acknowledgment of the original writer of the information, s</w:t>
      </w:r>
      <w:r>
        <w:t xml:space="preserve">uch as the writer’s details, the year of publication and topic of the material.  </w:t>
      </w:r>
    </w:p>
    <w:p w14:paraId="22B09006" w14:textId="0E4C13AA" w:rsidR="00EF7990" w:rsidRDefault="009703C4">
      <w:pPr>
        <w:numPr>
          <w:ilvl w:val="0"/>
          <w:numId w:val="2"/>
        </w:numPr>
        <w:spacing w:after="28"/>
        <w:ind w:hanging="360"/>
      </w:pPr>
      <w:r>
        <w:rPr>
          <w:b/>
        </w:rPr>
        <w:t xml:space="preserve">Description: </w:t>
      </w:r>
      <w:r w:rsidR="00A85D61">
        <w:t>On</w:t>
      </w:r>
      <w:r>
        <w:t xml:space="preserve"> many occasions I have been writing without paying too much attention to source of the information or even referencing it, but this topic gives me a clear unde</w:t>
      </w:r>
      <w:r>
        <w:t xml:space="preserve">rstanding for the need to reference any academic work. I also understand that it is academic misconduct not to reference an academic write up, while it also shows professionalism when the work is adequately referenced. </w:t>
      </w:r>
    </w:p>
    <w:p w14:paraId="6A920DEB" w14:textId="449FCB18" w:rsidR="00EF7990" w:rsidRDefault="009703C4">
      <w:pPr>
        <w:numPr>
          <w:ilvl w:val="0"/>
          <w:numId w:val="2"/>
        </w:numPr>
        <w:spacing w:after="28"/>
        <w:ind w:hanging="360"/>
      </w:pPr>
      <w:r>
        <w:rPr>
          <w:b/>
        </w:rPr>
        <w:t xml:space="preserve">Feelings: </w:t>
      </w:r>
      <w:r>
        <w:t xml:space="preserve">At the initial part I was </w:t>
      </w:r>
      <w:r>
        <w:t xml:space="preserve">a little nervous because it something I have not really paid too much attention to it, but to gain an understanding that it is a requirement. Learning through the virtual platform was a challenge because many </w:t>
      </w:r>
      <w:r w:rsidR="00A85D61">
        <w:t>occasions</w:t>
      </w:r>
      <w:r>
        <w:t xml:space="preserve"> without actual step by step view of th</w:t>
      </w:r>
      <w:r>
        <w:t xml:space="preserve">e process of referencing could mean missing some details. </w:t>
      </w:r>
    </w:p>
    <w:p w14:paraId="002CE51D" w14:textId="77777777" w:rsidR="00EF7990" w:rsidRDefault="009703C4">
      <w:pPr>
        <w:numPr>
          <w:ilvl w:val="0"/>
          <w:numId w:val="2"/>
        </w:numPr>
        <w:spacing w:after="28"/>
        <w:ind w:hanging="360"/>
      </w:pPr>
      <w:r>
        <w:rPr>
          <w:b/>
        </w:rPr>
        <w:t xml:space="preserve">Evaluation: </w:t>
      </w:r>
      <w:r>
        <w:t>Referencing is different from citation these two becomes much clearer to my understanding as both of them carries the same legal implication as academic misconduct (Morgan, 2017). In-te</w:t>
      </w:r>
      <w:r>
        <w:t>xt citation is different from drafting a reference list of the number of materials used in a piece of academic work (Saunders et al. 2012). Understanding the important of adequate referencing becomes very relevant to writing academic materials and this has</w:t>
      </w:r>
      <w:r>
        <w:t xml:space="preserve"> guided my writings since getting the knowledge. </w:t>
      </w:r>
    </w:p>
    <w:p w14:paraId="555E3CDC" w14:textId="77777777" w:rsidR="00EF7990" w:rsidRDefault="009703C4">
      <w:pPr>
        <w:numPr>
          <w:ilvl w:val="0"/>
          <w:numId w:val="2"/>
        </w:numPr>
        <w:ind w:hanging="360"/>
      </w:pPr>
      <w:r>
        <w:rPr>
          <w:b/>
        </w:rPr>
        <w:lastRenderedPageBreak/>
        <w:t xml:space="preserve">Analysis: </w:t>
      </w:r>
      <w:r>
        <w:t>There are many types of referencing style that is applicable in academic writing from Oxford referencing, Harvard referencing style, American psychological association, Modern language association</w:t>
      </w:r>
      <w:r>
        <w:t xml:space="preserve"> and Chicago/ Turabian style (Saunders et </w:t>
      </w:r>
    </w:p>
    <w:p w14:paraId="1B51AE06" w14:textId="68BC37A8" w:rsidR="00EF7990" w:rsidRDefault="009703C4">
      <w:pPr>
        <w:spacing w:after="29"/>
        <w:ind w:left="730"/>
      </w:pPr>
      <w:r>
        <w:t xml:space="preserve">al. 2012). With the different approach to </w:t>
      </w:r>
      <w:r w:rsidR="00A85D61">
        <w:t>referencing,</w:t>
      </w:r>
      <w:r>
        <w:t xml:space="preserve"> I discover that the most used format is the Harvard and is the one that is also applicable by the University of Wales. Learning the different forms of referenc</w:t>
      </w:r>
      <w:r>
        <w:t xml:space="preserve">ing is appropriate as some lecturer will prefer a particular form referencing and therefore it is very essential to learn all of them. Although most times I rely mostly on information from the internet without having to referencing them or paraphrasing to </w:t>
      </w:r>
      <w:r>
        <w:t xml:space="preserve">avoid plagiarism. But this topic gives me a better understanding of the important of referencing and paraphrasing while avoiding copy and paste as it academic misconduct.   </w:t>
      </w:r>
    </w:p>
    <w:p w14:paraId="278DE5D6" w14:textId="77777777" w:rsidR="00EF7990" w:rsidRDefault="009703C4">
      <w:pPr>
        <w:numPr>
          <w:ilvl w:val="0"/>
          <w:numId w:val="2"/>
        </w:numPr>
        <w:spacing w:after="28"/>
        <w:ind w:hanging="360"/>
      </w:pPr>
      <w:r>
        <w:rPr>
          <w:b/>
        </w:rPr>
        <w:t xml:space="preserve">Conclusion: </w:t>
      </w:r>
      <w:r>
        <w:t>In conclusion it becomes very imperative that referencing is a vital p</w:t>
      </w:r>
      <w:r>
        <w:t>art of academic writing which is needed to be professional. I become much more aware of the significant of not referencing my work adequately as I could be invited to face the University disciplinary committee. I have learnt to be more cautious with the ap</w:t>
      </w:r>
      <w:r>
        <w:t xml:space="preserve">plication of in-text citation in my academic writing while also putting together the reference list.   </w:t>
      </w:r>
    </w:p>
    <w:p w14:paraId="09B70B6D" w14:textId="57C2E87B" w:rsidR="00EF7990" w:rsidRDefault="009703C4">
      <w:pPr>
        <w:numPr>
          <w:ilvl w:val="0"/>
          <w:numId w:val="2"/>
        </w:numPr>
        <w:ind w:hanging="360"/>
      </w:pPr>
      <w:r>
        <w:rPr>
          <w:b/>
        </w:rPr>
        <w:t xml:space="preserve">Action plan: </w:t>
      </w:r>
      <w:r>
        <w:t xml:space="preserve">Part of the plans for future is to ensure that every academic </w:t>
      </w:r>
      <w:r w:rsidR="00A85D61">
        <w:t>writing</w:t>
      </w:r>
      <w:r>
        <w:t xml:space="preserve"> will need to be adequately referenced to avoid any form of academic </w:t>
      </w:r>
      <w:r>
        <w:t xml:space="preserve">misconduct. The list of references used during academic writing needs to follow sequences of alphabetical order, years of publication and the surname of the writers. </w:t>
      </w:r>
    </w:p>
    <w:p w14:paraId="4E3E0F6A" w14:textId="77777777" w:rsidR="00EF7990" w:rsidRDefault="009703C4">
      <w:pPr>
        <w:pStyle w:val="Heading1"/>
        <w:ind w:left="225" w:hanging="240"/>
      </w:pPr>
      <w:bookmarkStart w:id="3" w:name="_Toc6681"/>
      <w:r>
        <w:t>Paraphrasing, reflecting using the Gibbs reflective cycle</w:t>
      </w:r>
      <w:bookmarkEnd w:id="3"/>
    </w:p>
    <w:p w14:paraId="3DE245E7" w14:textId="4CB672E8" w:rsidR="00EF7990" w:rsidRDefault="009703C4">
      <w:pPr>
        <w:ind w:left="-5"/>
      </w:pPr>
      <w:r>
        <w:t>The process of changing the tex</w:t>
      </w:r>
      <w:r>
        <w:t>t of an article, journal and books without missing the context of the material, the essence of paraphrasing is to avoid plagiarism (</w:t>
      </w:r>
      <w:proofErr w:type="spellStart"/>
      <w:r>
        <w:t>Selingo</w:t>
      </w:r>
      <w:proofErr w:type="spellEnd"/>
      <w:r>
        <w:t xml:space="preserve">, 2015). Within the context of academic </w:t>
      </w:r>
      <w:r w:rsidR="00A85D61">
        <w:t>writing,</w:t>
      </w:r>
      <w:r>
        <w:t xml:space="preserve"> it is essential to paraphrase the information gathered as it will hel</w:t>
      </w:r>
      <w:r>
        <w:t xml:space="preserve">p to reduce plagiarism once it is put in the </w:t>
      </w:r>
      <w:proofErr w:type="spellStart"/>
      <w:r>
        <w:t>turnitin</w:t>
      </w:r>
      <w:proofErr w:type="spellEnd"/>
      <w:r>
        <w:t xml:space="preserve"> link of the university.  </w:t>
      </w:r>
    </w:p>
    <w:p w14:paraId="2CA07414" w14:textId="77777777" w:rsidR="00EF7990" w:rsidRDefault="009703C4">
      <w:pPr>
        <w:ind w:left="-5"/>
      </w:pPr>
      <w:r>
        <w:rPr>
          <w:b/>
        </w:rPr>
        <w:t xml:space="preserve">Description: </w:t>
      </w:r>
      <w:r>
        <w:t>The initial understanding of paraphrasing was a bit difficult because      changing the wordings could sometimes change the context of the material. Taking the imp</w:t>
      </w:r>
      <w:r>
        <w:t xml:space="preserve">ortant points enables me to adequately paraphrase the information gathered. </w:t>
      </w:r>
    </w:p>
    <w:p w14:paraId="2291EFD8" w14:textId="77777777" w:rsidR="00EF7990" w:rsidRDefault="009703C4">
      <w:pPr>
        <w:ind w:left="-5"/>
      </w:pPr>
      <w:r>
        <w:rPr>
          <w:b/>
        </w:rPr>
        <w:lastRenderedPageBreak/>
        <w:t xml:space="preserve">Feelings: </w:t>
      </w:r>
      <w:r>
        <w:t>The feelings within the concept of paraphrasing was challenging with adopting of different vocabulary without losing the main context of the writing. I gradually gain un</w:t>
      </w:r>
      <w:r>
        <w:t xml:space="preserve">derstanding of how to utilise the knowledge gain from the courses to apply it in writing well-structured chronological academic writing that is professionally inclined. </w:t>
      </w:r>
    </w:p>
    <w:p w14:paraId="53AAFD5F" w14:textId="77777777" w:rsidR="00EF7990" w:rsidRDefault="009703C4">
      <w:pPr>
        <w:ind w:left="-5"/>
      </w:pPr>
      <w:r>
        <w:rPr>
          <w:b/>
        </w:rPr>
        <w:t xml:space="preserve">Evaluation: </w:t>
      </w:r>
      <w:r>
        <w:t>The process of changing wordings alone might not be enough but adequate us</w:t>
      </w:r>
      <w:r>
        <w:t>age of the most appropriate words. I discover that the usage of synonyms becomes very essential in the paraphrasing process. Although changing the wordings will also require me to read the materials and create my own understanding.</w:t>
      </w:r>
    </w:p>
    <w:p w14:paraId="61C6FF6D" w14:textId="77777777" w:rsidR="00EF7990" w:rsidRDefault="009703C4">
      <w:pPr>
        <w:ind w:left="-5"/>
      </w:pPr>
      <w:r>
        <w:rPr>
          <w:b/>
        </w:rPr>
        <w:t xml:space="preserve">Analysis: </w:t>
      </w:r>
      <w:r>
        <w:t>Generally para</w:t>
      </w:r>
      <w:r>
        <w:t>phrasing is bit difficult for a beginner to avoid grammatical errors; the essential part of the learning is the ability to gradually understand that usage of words will need to be careful not to wrong meaning of the material. I also discover that it is not</w:t>
      </w:r>
      <w:r>
        <w:t xml:space="preserve"> easy to have the same number of words when paraphrasing because two or more words could mean the same thing. </w:t>
      </w:r>
    </w:p>
    <w:p w14:paraId="2A41D13D" w14:textId="77777777" w:rsidR="00EF7990" w:rsidRDefault="009703C4">
      <w:pPr>
        <w:ind w:left="-5"/>
      </w:pPr>
      <w:r>
        <w:rPr>
          <w:b/>
        </w:rPr>
        <w:t xml:space="preserve">Conclusion: </w:t>
      </w:r>
      <w:r>
        <w:t>In conclusion, one of the most important aspects of this topic is the ability to be careful with selection of words when paraphrasing</w:t>
      </w:r>
      <w:r>
        <w:t xml:space="preserve"> to avoid losing the context of the material. The better thing about this topic is dealing with combination of words that will be meaningful and still carrying positive information. </w:t>
      </w:r>
    </w:p>
    <w:p w14:paraId="3A04E66E" w14:textId="77777777" w:rsidR="00EF7990" w:rsidRDefault="009703C4">
      <w:pPr>
        <w:ind w:left="-5"/>
      </w:pPr>
      <w:r>
        <w:rPr>
          <w:b/>
        </w:rPr>
        <w:t xml:space="preserve">Action plan: </w:t>
      </w:r>
      <w:r>
        <w:t xml:space="preserve">Will need to have adequate vocabulary to fill up words to be changed. Using the dictionary always will also help me to identify, assemble and use the words most appropriately. </w:t>
      </w:r>
    </w:p>
    <w:p w14:paraId="6908D88F" w14:textId="77777777" w:rsidR="00EF7990" w:rsidRDefault="009703C4">
      <w:pPr>
        <w:pStyle w:val="Heading1"/>
        <w:ind w:left="225" w:hanging="240"/>
      </w:pPr>
      <w:bookmarkStart w:id="4" w:name="_Toc6682"/>
      <w:r>
        <w:t>Summary, reflecting using Gibbs reflective cycle</w:t>
      </w:r>
      <w:bookmarkEnd w:id="4"/>
    </w:p>
    <w:p w14:paraId="1368D48C" w14:textId="77777777" w:rsidR="00EF7990" w:rsidRDefault="009703C4">
      <w:pPr>
        <w:ind w:left="-5"/>
      </w:pPr>
      <w:r>
        <w:t>According to Watton et al. (20</w:t>
      </w:r>
      <w:r>
        <w:t xml:space="preserve">11), the process of shortening words from information gathered to arrive at a particular conclusion. Summarising could be attributed to the ability to bring up the most appropriate points without missing the main context of the write up.  </w:t>
      </w:r>
    </w:p>
    <w:p w14:paraId="37AEB63B" w14:textId="77777777" w:rsidR="00EF7990" w:rsidRDefault="009703C4">
      <w:pPr>
        <w:ind w:left="-5"/>
      </w:pPr>
      <w:r>
        <w:rPr>
          <w:b/>
        </w:rPr>
        <w:t xml:space="preserve">Description: </w:t>
      </w:r>
      <w:r>
        <w:t>The process of summarising becomes very clear for me, because within the academic cycle it is needed to aid in individuals capabilities. Although the process of summarising another individuals work could be challenging but after this classes a</w:t>
      </w:r>
      <w:r>
        <w:t xml:space="preserve"> clear understanding of the requirements and what is needed. </w:t>
      </w:r>
    </w:p>
    <w:p w14:paraId="4491D830" w14:textId="77777777" w:rsidR="00EF7990" w:rsidRDefault="009703C4">
      <w:pPr>
        <w:ind w:left="-5"/>
      </w:pPr>
      <w:r>
        <w:rPr>
          <w:b/>
        </w:rPr>
        <w:lastRenderedPageBreak/>
        <w:t xml:space="preserve">Feelings: </w:t>
      </w:r>
      <w:r>
        <w:t xml:space="preserve">The feelings I have as an individual dealing with the concept of summarising a written piece of materials. The challenge about this topic was missing first person language with second </w:t>
      </w:r>
      <w:r>
        <w:t xml:space="preserve">person. </w:t>
      </w:r>
    </w:p>
    <w:p w14:paraId="2A1F92B7" w14:textId="77777777" w:rsidR="00EF7990" w:rsidRDefault="009703C4">
      <w:pPr>
        <w:ind w:left="-5"/>
      </w:pPr>
      <w:r>
        <w:rPr>
          <w:b/>
        </w:rPr>
        <w:t xml:space="preserve">Evaluation: </w:t>
      </w:r>
      <w:r>
        <w:t>Summarising involves the process of gathering information and shortening it to meet the purpose. It will very helpful in the employability scale because it is needed to summarise and interpret information effective for both internal an</w:t>
      </w:r>
      <w:r>
        <w:t xml:space="preserve">d external usage. </w:t>
      </w:r>
    </w:p>
    <w:p w14:paraId="184C31D4" w14:textId="77777777" w:rsidR="00EF7990" w:rsidRDefault="009703C4">
      <w:pPr>
        <w:ind w:left="-5"/>
      </w:pPr>
      <w:r>
        <w:rPr>
          <w:b/>
        </w:rPr>
        <w:t xml:space="preserve">Analysis: </w:t>
      </w:r>
      <w:r>
        <w:t>Within this topic I discover that summary is different from conclusion although it requires the same principles but because usage is in different context. Although at the initial point I was confused within the two but after th</w:t>
      </w:r>
      <w:r>
        <w:t xml:space="preserve">is course I have a clearer understanding of the difference and how to use them adequately.  </w:t>
      </w:r>
    </w:p>
    <w:p w14:paraId="3E204019" w14:textId="77777777" w:rsidR="00EF7990" w:rsidRDefault="009703C4">
      <w:pPr>
        <w:ind w:left="-5"/>
      </w:pPr>
      <w:r>
        <w:rPr>
          <w:b/>
        </w:rPr>
        <w:t xml:space="preserve">Conclusion: </w:t>
      </w:r>
      <w:r>
        <w:t>In conclusion, it is very imperative that summary of the materials will require the use of words that is conflicting with the original intentions of th</w:t>
      </w:r>
      <w:r>
        <w:t xml:space="preserve">e articles, journals and books. </w:t>
      </w:r>
    </w:p>
    <w:p w14:paraId="7647CDC1" w14:textId="77777777" w:rsidR="00EF7990" w:rsidRDefault="009703C4">
      <w:pPr>
        <w:ind w:left="-5"/>
      </w:pPr>
      <w:r>
        <w:rPr>
          <w:b/>
        </w:rPr>
        <w:t xml:space="preserve">Action plan: </w:t>
      </w:r>
      <w:r>
        <w:t xml:space="preserve">In future I will try to apply two stages in summarising as it will help to reduce the number of words to lowest minimum. Although this process will take much time but it will bring out the best outcomes. </w:t>
      </w:r>
    </w:p>
    <w:p w14:paraId="3BAD5AAD" w14:textId="77777777" w:rsidR="00EF7990" w:rsidRDefault="009703C4">
      <w:pPr>
        <w:pStyle w:val="Heading1"/>
        <w:ind w:left="225" w:hanging="240"/>
      </w:pPr>
      <w:bookmarkStart w:id="5" w:name="_Toc6683"/>
      <w:r>
        <w:t>Refle</w:t>
      </w:r>
      <w:r>
        <w:t>ctive writing, reflecting using Gibbs reflective cycle</w:t>
      </w:r>
      <w:bookmarkEnd w:id="5"/>
    </w:p>
    <w:p w14:paraId="047C788A" w14:textId="77777777" w:rsidR="00EF7990" w:rsidRDefault="009703C4">
      <w:pPr>
        <w:ind w:left="-5"/>
      </w:pPr>
      <w:r>
        <w:t xml:space="preserve">According to Hampton (2010), reflective writing is the process of re-evaluating the outcomes from a completed task with the intention of drawing up the positives and negatives from the task.   </w:t>
      </w:r>
    </w:p>
    <w:p w14:paraId="362909DE" w14:textId="77777777" w:rsidR="00EF7990" w:rsidRDefault="009703C4">
      <w:pPr>
        <w:ind w:left="-5"/>
      </w:pPr>
      <w:r>
        <w:rPr>
          <w:b/>
        </w:rPr>
        <w:t>Descrip</w:t>
      </w:r>
      <w:r>
        <w:rPr>
          <w:b/>
        </w:rPr>
        <w:t xml:space="preserve">tion: </w:t>
      </w:r>
      <w:r>
        <w:t>The process of learning how reflects on the different topics and other materials were very interesting as I was able to identify the loopholes and where I need to improve in the future. Although this process will require a complete recap of the impor</w:t>
      </w:r>
      <w:r>
        <w:t xml:space="preserve">tant and unimportant things learnt. Discussion with the lecturer on several topics was helpful as I was able to ask question concerning some topics that was not really clear to my understanding. </w:t>
      </w:r>
    </w:p>
    <w:p w14:paraId="5F6C6B47" w14:textId="77777777" w:rsidR="00EF7990" w:rsidRDefault="009703C4">
      <w:pPr>
        <w:ind w:left="-5"/>
      </w:pPr>
      <w:r>
        <w:rPr>
          <w:b/>
        </w:rPr>
        <w:t xml:space="preserve">Feelings: </w:t>
      </w:r>
      <w:r>
        <w:t>The understanding within reflective writing is the</w:t>
      </w:r>
      <w:r>
        <w:t xml:space="preserve"> ability to give account of ones experiences during a particular task completion. Although, sometimes I find myself confused with some vital points while reflecting because too many information that needs to be </w:t>
      </w:r>
      <w:r>
        <w:lastRenderedPageBreak/>
        <w:t>communicated. It is highly imperative that wr</w:t>
      </w:r>
      <w:r>
        <w:t xml:space="preserve">iting a reflective report will need a structure to avoid missing the vital points. </w:t>
      </w:r>
    </w:p>
    <w:p w14:paraId="5D5C76A1" w14:textId="77777777" w:rsidR="00EF7990" w:rsidRDefault="009703C4">
      <w:pPr>
        <w:ind w:left="-5"/>
      </w:pPr>
      <w:r>
        <w:rPr>
          <w:b/>
        </w:rPr>
        <w:t xml:space="preserve">Evaluation: </w:t>
      </w:r>
      <w:r>
        <w:t>Getting an understanding of the different forms of reflective writing was very important in my academic pursuit because it gives me variety of options that will</w:t>
      </w:r>
      <w:r>
        <w:t xml:space="preserve"> guide the writing process. </w:t>
      </w:r>
    </w:p>
    <w:p w14:paraId="3F3FF7A6" w14:textId="77777777" w:rsidR="00EF7990" w:rsidRDefault="009703C4">
      <w:pPr>
        <w:ind w:left="-5"/>
      </w:pPr>
      <w:r>
        <w:rPr>
          <w:b/>
        </w:rPr>
        <w:t xml:space="preserve">Analysis: </w:t>
      </w:r>
      <w:r>
        <w:t xml:space="preserve">Outside Gibbs reflective cycles format other forms of reflective writing are also very important. I understand that Kolb’s experiential learning cycle is also effective in reporting a task that was completed. </w:t>
      </w:r>
      <w:proofErr w:type="spellStart"/>
      <w:r>
        <w:t>Dricoll,</w:t>
      </w:r>
      <w:r>
        <w:t>s</w:t>
      </w:r>
      <w:proofErr w:type="spellEnd"/>
      <w:r>
        <w:t xml:space="preserve"> model was another reflective writing that is also educational and add value to my ability to reflect on task completed while evaluating the positives and negatives. </w:t>
      </w:r>
    </w:p>
    <w:p w14:paraId="140C6A22" w14:textId="77777777" w:rsidR="00EF7990" w:rsidRDefault="009703C4">
      <w:pPr>
        <w:ind w:left="-5"/>
      </w:pPr>
      <w:r>
        <w:rPr>
          <w:b/>
        </w:rPr>
        <w:t xml:space="preserve">Conclusion: </w:t>
      </w:r>
      <w:r>
        <w:t xml:space="preserve">I discover that reflective writing is very essential in academic process as </w:t>
      </w:r>
      <w:r>
        <w:t>it afford the opportunity to take account of the activities carried out in terms of what went well and what went bad. I have a better understanding of the process of reflecting and using the right tone and languages, which will help me in the future.</w:t>
      </w:r>
    </w:p>
    <w:p w14:paraId="3B505120" w14:textId="77777777" w:rsidR="00EF7990" w:rsidRDefault="009703C4">
      <w:pPr>
        <w:ind w:left="-5"/>
      </w:pPr>
      <w:r>
        <w:rPr>
          <w:b/>
        </w:rPr>
        <w:t>Actio</w:t>
      </w:r>
      <w:r>
        <w:rPr>
          <w:b/>
        </w:rPr>
        <w:t xml:space="preserve">n plan: </w:t>
      </w:r>
      <w:r>
        <w:t xml:space="preserve">In the future it is imperative that this learning outcome will play an important role in my academic ambition and in the secular work environment. As it will be needed to reflect on incidence and accidents. </w:t>
      </w:r>
    </w:p>
    <w:p w14:paraId="13450A00" w14:textId="77777777" w:rsidR="00EF7990" w:rsidRDefault="00EF7990">
      <w:pPr>
        <w:sectPr w:rsidR="00EF7990">
          <w:headerReference w:type="even" r:id="rId8"/>
          <w:headerReference w:type="default" r:id="rId9"/>
          <w:footerReference w:type="even" r:id="rId10"/>
          <w:footerReference w:type="default" r:id="rId11"/>
          <w:headerReference w:type="first" r:id="rId12"/>
          <w:footerReference w:type="first" r:id="rId13"/>
          <w:pgSz w:w="11900" w:h="16820"/>
          <w:pgMar w:top="1440" w:right="1436" w:bottom="1596" w:left="1440" w:header="480" w:footer="462" w:gutter="0"/>
          <w:cols w:space="720"/>
        </w:sectPr>
      </w:pPr>
    </w:p>
    <w:p w14:paraId="5A9D5F84" w14:textId="77777777" w:rsidR="00EF7990" w:rsidRDefault="009703C4">
      <w:pPr>
        <w:spacing w:after="215" w:line="259" w:lineRule="auto"/>
        <w:ind w:left="-5"/>
      </w:pPr>
      <w:r>
        <w:rPr>
          <w:b/>
        </w:rPr>
        <w:lastRenderedPageBreak/>
        <w:t xml:space="preserve">Conclusion </w:t>
      </w:r>
    </w:p>
    <w:p w14:paraId="626629A9" w14:textId="77777777" w:rsidR="00EF7990" w:rsidRDefault="009703C4">
      <w:pPr>
        <w:ind w:left="-5"/>
      </w:pPr>
      <w:r>
        <w:t xml:space="preserve">This course has been very helpful with adequate information that guides my understudying on how to deal accommodated information while reflecting on the importance on the employability skills. </w:t>
      </w:r>
      <w:r>
        <w:br w:type="page"/>
      </w:r>
    </w:p>
    <w:p w14:paraId="04592904" w14:textId="77777777" w:rsidR="00EF7990" w:rsidRDefault="009703C4">
      <w:pPr>
        <w:spacing w:after="215" w:line="259" w:lineRule="auto"/>
        <w:ind w:left="-5"/>
      </w:pPr>
      <w:r>
        <w:rPr>
          <w:b/>
        </w:rPr>
        <w:lastRenderedPageBreak/>
        <w:t xml:space="preserve">REFERNCE </w:t>
      </w:r>
    </w:p>
    <w:p w14:paraId="6B873227" w14:textId="77777777" w:rsidR="00EF7990" w:rsidRDefault="009703C4">
      <w:pPr>
        <w:ind w:left="-5"/>
      </w:pPr>
      <w:proofErr w:type="spellStart"/>
      <w:r>
        <w:t>Banyard</w:t>
      </w:r>
      <w:proofErr w:type="spellEnd"/>
      <w:r>
        <w:t>, P. (2007). Tyranny and the tyrant from Stanford to Abu Ghraib. The Psychologist, 20 (8), 494-495.</w:t>
      </w:r>
    </w:p>
    <w:p w14:paraId="3C9BE8BF" w14:textId="77777777" w:rsidR="00EF7990" w:rsidRDefault="009703C4">
      <w:pPr>
        <w:spacing w:after="114" w:line="259" w:lineRule="auto"/>
        <w:ind w:left="-5"/>
      </w:pPr>
      <w:r>
        <w:t xml:space="preserve">Carlson, S. (2013). How to Assess the Real Pay Off of a College Degree. Chronicle of Higher </w:t>
      </w:r>
    </w:p>
    <w:p w14:paraId="443CB47D" w14:textId="77777777" w:rsidR="00EF7990" w:rsidRDefault="009703C4">
      <w:pPr>
        <w:spacing w:after="200" w:line="357" w:lineRule="auto"/>
        <w:ind w:left="-5"/>
      </w:pPr>
      <w:r>
        <w:t xml:space="preserve">Education. Available at </w:t>
      </w:r>
      <w:hyperlink r:id="rId14">
        <w:r>
          <w:rPr>
            <w:color w:val="0000FF"/>
            <w:u w:val="single" w:color="0000FF"/>
          </w:rPr>
          <w:t>http://chronicle.com/article/Is-ROI-the-Right-Way-to-Judge/138665/</w:t>
        </w:r>
      </w:hyperlink>
      <w:r>
        <w:t xml:space="preserve">  (Accessed 3 December 2020).</w:t>
      </w:r>
    </w:p>
    <w:p w14:paraId="67E4F5BA" w14:textId="77777777" w:rsidR="00EF7990" w:rsidRDefault="009703C4">
      <w:pPr>
        <w:spacing w:after="0"/>
        <w:ind w:left="-5"/>
      </w:pPr>
      <w:r>
        <w:t>Carter, S, Greenberg, K. and Walker, M. (2017). The impact of computer usage on academic performance: Evid</w:t>
      </w:r>
      <w:r>
        <w:t xml:space="preserve">ence from a randomized trial at the United States Military Academy. Economics of Education Review, 56, 118-132. Available </w:t>
      </w:r>
    </w:p>
    <w:p w14:paraId="55B3C400" w14:textId="77777777" w:rsidR="00EF7990" w:rsidRDefault="009703C4">
      <w:pPr>
        <w:spacing w:after="314" w:line="259" w:lineRule="auto"/>
        <w:ind w:left="-5"/>
      </w:pPr>
      <w:r>
        <w:t xml:space="preserve">at </w:t>
      </w:r>
      <w:hyperlink r:id="rId15">
        <w:r>
          <w:rPr>
            <w:color w:val="0000FF"/>
            <w:u w:val="single" w:color="0000FF"/>
          </w:rPr>
          <w:t>https://doi.org/10.1016/j.econedurev.2016.12.005.</w:t>
        </w:r>
      </w:hyperlink>
      <w:r>
        <w:t xml:space="preserve">  [Accessed </w:t>
      </w:r>
      <w:r>
        <w:t>03 December  2020]</w:t>
      </w:r>
    </w:p>
    <w:p w14:paraId="6C730F43" w14:textId="77777777" w:rsidR="00EF7990" w:rsidRDefault="009703C4">
      <w:pPr>
        <w:ind w:left="-5"/>
      </w:pPr>
      <w:r>
        <w:t>Gaynor, A. (2013) Schön’s (1983) Reflection-in-action and reflection-on-action. Available at: https://hhs.hud.ac.uk/lqsu/Sessionsforall/supp/Sch%C3%B6n%20reflection-in%20and%20on%20action.pdf (Accessed at: 8th July 2019).</w:t>
      </w:r>
    </w:p>
    <w:p w14:paraId="151D6053" w14:textId="77777777" w:rsidR="00EF7990" w:rsidRDefault="009703C4">
      <w:pPr>
        <w:spacing w:after="114" w:line="259" w:lineRule="auto"/>
        <w:ind w:left="-5"/>
      </w:pPr>
      <w:r>
        <w:t>Gibbs, G. (1988</w:t>
      </w:r>
      <w:r>
        <w:t xml:space="preserve">) Learning by doing: a guide to teaching and learning methods. [London]: </w:t>
      </w:r>
    </w:p>
    <w:p w14:paraId="230501AF" w14:textId="77777777" w:rsidR="00EF7990" w:rsidRDefault="009703C4">
      <w:pPr>
        <w:spacing w:after="314" w:line="259" w:lineRule="auto"/>
        <w:ind w:left="-5"/>
      </w:pPr>
      <w:r>
        <w:t>FEU.</w:t>
      </w:r>
    </w:p>
    <w:p w14:paraId="121E4C87" w14:textId="77777777" w:rsidR="00EF7990" w:rsidRDefault="009703C4">
      <w:pPr>
        <w:spacing w:after="114" w:line="259" w:lineRule="auto"/>
        <w:ind w:left="-5"/>
      </w:pPr>
      <w:r>
        <w:t xml:space="preserve">Hampshire Online Learning (Year) Driscoll (by </w:t>
      </w:r>
      <w:proofErr w:type="spellStart"/>
      <w:r>
        <w:t>Borton</w:t>
      </w:r>
      <w:proofErr w:type="spellEnd"/>
      <w:r>
        <w:t xml:space="preserve">) Model of Reflection (1994). </w:t>
      </w:r>
    </w:p>
    <w:p w14:paraId="2F6A8221" w14:textId="77777777" w:rsidR="00EF7990" w:rsidRDefault="009703C4">
      <w:pPr>
        <w:spacing w:after="114" w:line="259" w:lineRule="auto"/>
        <w:ind w:left="-5"/>
      </w:pPr>
      <w:r>
        <w:t xml:space="preserve">Available at: </w:t>
      </w:r>
    </w:p>
    <w:p w14:paraId="240EF07A" w14:textId="77777777" w:rsidR="00EF7990" w:rsidRDefault="009703C4">
      <w:pPr>
        <w:ind w:left="-5"/>
      </w:pPr>
      <w:r>
        <w:t>https://www.hampshireonlinelearning.co.uk/pluginfile.php/4368/mod_resource/cont</w:t>
      </w:r>
      <w:r>
        <w:t>ent/6/Wh at%2C%20So%20What%2C%20Now%20What.pdf (Accessed: 8th December 2020).</w:t>
      </w:r>
    </w:p>
    <w:p w14:paraId="6C2C2C8B" w14:textId="77777777" w:rsidR="00EF7990" w:rsidRDefault="009703C4">
      <w:pPr>
        <w:spacing w:after="0"/>
        <w:ind w:left="-5"/>
      </w:pPr>
      <w:r>
        <w:t>Hampton, M. (2010). Reflective writing. A basic introduction. Available at: http://www2.port.ac.uk/media/contacts-and-departments/student-support-</w:t>
      </w:r>
    </w:p>
    <w:p w14:paraId="75B5C17C" w14:textId="77777777" w:rsidR="00EF7990" w:rsidRDefault="009703C4">
      <w:pPr>
        <w:ind w:left="-5"/>
      </w:pPr>
      <w:r>
        <w:t>services/ask/downloads/Reflecti</w:t>
      </w:r>
      <w:r>
        <w:t>ve-writing---a-basic-introduction.pdf (Accessed: 5th July 2019).</w:t>
      </w:r>
    </w:p>
    <w:p w14:paraId="58CCAEF3" w14:textId="77777777" w:rsidR="00EF7990" w:rsidRDefault="009703C4">
      <w:pPr>
        <w:ind w:left="-5"/>
      </w:pPr>
      <w:r>
        <w:t xml:space="preserve">Leeds Beckett University (2015). Content Preview: Models for structuring reflection. Available at: https://skillsforlearning.leedsbeckett.ac.uk/preview/content/models/02.shtml (Accessed: 8th </w:t>
      </w:r>
      <w:r>
        <w:t xml:space="preserve">July 2019). </w:t>
      </w:r>
    </w:p>
    <w:p w14:paraId="3F6098B0" w14:textId="77777777" w:rsidR="00EF7990" w:rsidRDefault="009703C4">
      <w:pPr>
        <w:spacing w:after="0"/>
        <w:ind w:left="-5"/>
      </w:pPr>
      <w:r>
        <w:t xml:space="preserve">McMillan, K. and Weyers, J. (2012). The Study Skills Book (Smarter Study Skills). 3rd edition. England: Pearson. Available </w:t>
      </w:r>
    </w:p>
    <w:p w14:paraId="77CE6DCD" w14:textId="77777777" w:rsidR="00EF7990" w:rsidRDefault="009703C4">
      <w:pPr>
        <w:spacing w:after="200" w:line="259" w:lineRule="auto"/>
        <w:ind w:left="-5"/>
      </w:pPr>
      <w:r>
        <w:lastRenderedPageBreak/>
        <w:t xml:space="preserve">at </w:t>
      </w:r>
      <w:hyperlink r:id="rId16">
        <w:r>
          <w:rPr>
            <w:color w:val="0000FF"/>
            <w:u w:val="single" w:color="0000FF"/>
          </w:rPr>
          <w:t>https://ebookcentral.proquest.com/lib/arden/reader.action?docID=5138399&amp;ppg=1</w:t>
        </w:r>
      </w:hyperlink>
    </w:p>
    <w:p w14:paraId="455757D2" w14:textId="77777777" w:rsidR="00EF7990" w:rsidRDefault="009703C4">
      <w:pPr>
        <w:ind w:left="-5"/>
      </w:pPr>
      <w:r>
        <w:t xml:space="preserve">Knight, P. and Yorke, M. (2004). </w:t>
      </w:r>
      <w:r>
        <w:rPr>
          <w:i/>
        </w:rPr>
        <w:t>Learning Curriculum and Employability in Higher Ed</w:t>
      </w:r>
      <w:r>
        <w:rPr>
          <w:i/>
        </w:rPr>
        <w:t>ucation</w:t>
      </w:r>
      <w:r>
        <w:t>. London: Routledge Falmer. This can be accessed from:</w:t>
      </w:r>
    </w:p>
    <w:p w14:paraId="42D0E0FD" w14:textId="77777777" w:rsidR="00EF7990" w:rsidRDefault="009703C4">
      <w:pPr>
        <w:spacing w:after="114" w:line="259" w:lineRule="auto"/>
        <w:ind w:left="-5"/>
      </w:pPr>
      <w:hyperlink r:id="rId17">
        <w:r>
          <w:rPr>
            <w:color w:val="0000FF"/>
            <w:u w:val="single" w:color="0000FF"/>
          </w:rPr>
          <w:t>https://books.google.co.uk/books?hl=en&amp;lr=&amp;id=4ttdrci-</w:t>
        </w:r>
      </w:hyperlink>
    </w:p>
    <w:p w14:paraId="6254319C" w14:textId="77777777" w:rsidR="00EF7990" w:rsidRDefault="009703C4">
      <w:pPr>
        <w:spacing w:after="0" w:line="357" w:lineRule="auto"/>
        <w:ind w:left="-5"/>
      </w:pPr>
      <w:hyperlink r:id="rId18">
        <w:r>
          <w:rPr>
            <w:color w:val="0000FF"/>
            <w:u w:val="single" w:color="0000FF"/>
          </w:rPr>
          <w:t xml:space="preserve">riQC&amp;oi=fnd&amp;pg=PR7&amp;dq=Knight,+P.+and+Yorke,+M.,+2004.+Learning+Curriculum+an </w:t>
        </w:r>
      </w:hyperlink>
      <w:hyperlink r:id="rId19">
        <w:r>
          <w:rPr>
            <w:color w:val="0000FF"/>
            <w:u w:val="single" w:color="0000FF"/>
          </w:rPr>
          <w:t>d+Employability+in+Higher+Education&amp;ots=za2VBoSIrO&amp;sig=Jj215-oSEy7zyYV</w:t>
        </w:r>
      </w:hyperlink>
      <w:hyperlink r:id="rId20">
        <w:r>
          <w:rPr>
            <w:color w:val="0000FF"/>
            <w:u w:val="single" w:color="0000FF"/>
          </w:rPr>
          <w:t>xN5naacxO00#v=onepage&amp;q=Knight%2C%20P.%20and%20Yorke%2C%20M.%2C%2020</w:t>
        </w:r>
      </w:hyperlink>
    </w:p>
    <w:p w14:paraId="5300167F" w14:textId="77777777" w:rsidR="00EF7990" w:rsidRDefault="009703C4">
      <w:pPr>
        <w:spacing w:after="114" w:line="259" w:lineRule="auto"/>
        <w:ind w:left="-5"/>
      </w:pPr>
      <w:hyperlink r:id="rId21">
        <w:r>
          <w:rPr>
            <w:color w:val="0000FF"/>
            <w:u w:val="single" w:color="0000FF"/>
          </w:rPr>
          <w:t>04.%20Learning%20Curriculum%20and%20Employa</w:t>
        </w:r>
        <w:r>
          <w:rPr>
            <w:color w:val="0000FF"/>
            <w:u w:val="single" w:color="0000FF"/>
          </w:rPr>
          <w:t>bility%20in%20Higher%20Education</w:t>
        </w:r>
      </w:hyperlink>
    </w:p>
    <w:p w14:paraId="456BE466" w14:textId="77777777" w:rsidR="00EF7990" w:rsidRDefault="009703C4">
      <w:pPr>
        <w:spacing w:after="314" w:line="259" w:lineRule="auto"/>
        <w:ind w:left="-5"/>
      </w:pPr>
      <w:hyperlink r:id="rId22">
        <w:r>
          <w:rPr>
            <w:color w:val="0000FF"/>
            <w:u w:val="single" w:color="0000FF"/>
          </w:rPr>
          <w:t>&amp;f=false</w:t>
        </w:r>
      </w:hyperlink>
      <w:r>
        <w:t xml:space="preserve">  [Accessed 27th November 2020]</w:t>
      </w:r>
    </w:p>
    <w:p w14:paraId="5725E3DC" w14:textId="77777777" w:rsidR="00EF7990" w:rsidRDefault="009703C4">
      <w:pPr>
        <w:ind w:left="-5"/>
      </w:pPr>
      <w:r>
        <w:t>Kolb, D. A. (1984) Experiential learning: experience as the source of learning and development. Englewood Cliffs; London: Prentice-Hall.</w:t>
      </w:r>
    </w:p>
    <w:p w14:paraId="63A361B6" w14:textId="77777777" w:rsidR="00EF7990" w:rsidRDefault="009703C4">
      <w:pPr>
        <w:ind w:left="-5"/>
      </w:pPr>
      <w:r>
        <w:t>McLeod, S. A. (2013). Kolb - Learning Styles. Available at: www.simplypsychology.org/learning-kolb.html (Accessed 8th J</w:t>
      </w:r>
      <w:r>
        <w:t>uly 2019)</w:t>
      </w:r>
    </w:p>
    <w:p w14:paraId="0DE86773" w14:textId="77777777" w:rsidR="00EF7990" w:rsidRDefault="009703C4">
      <w:pPr>
        <w:spacing w:after="0"/>
        <w:ind w:left="-5"/>
      </w:pPr>
      <w:r>
        <w:t xml:space="preserve">Moon, J. (2006). Learning Journals: A Handbook for Reflective Practice and Professional Development. London: </w:t>
      </w:r>
    </w:p>
    <w:p w14:paraId="27D56292" w14:textId="77777777" w:rsidR="00EF7990" w:rsidRDefault="009703C4">
      <w:pPr>
        <w:spacing w:after="200" w:line="357" w:lineRule="auto"/>
        <w:ind w:left="-5"/>
      </w:pPr>
      <w:r>
        <w:t xml:space="preserve">Routledge </w:t>
      </w:r>
      <w:hyperlink r:id="rId23">
        <w:r>
          <w:rPr>
            <w:color w:val="0000FF"/>
            <w:u w:val="single" w:color="0000FF"/>
          </w:rPr>
          <w:t>https://ebookcentral.proque</w:t>
        </w:r>
        <w:r>
          <w:rPr>
            <w:color w:val="0000FF"/>
            <w:u w:val="single" w:color="0000FF"/>
          </w:rPr>
          <w:t xml:space="preserve">st.com/lib/arden/reader.action?docID=5358649&amp;ppg= </w:t>
        </w:r>
      </w:hyperlink>
      <w:hyperlink r:id="rId24">
        <w:r>
          <w:rPr>
            <w:color w:val="0000FF"/>
            <w:u w:val="single" w:color="0000FF"/>
          </w:rPr>
          <w:t>160</w:t>
        </w:r>
      </w:hyperlink>
      <w:r>
        <w:t xml:space="preserve"> </w:t>
      </w:r>
    </w:p>
    <w:p w14:paraId="403352EE" w14:textId="77777777" w:rsidR="00EF7990" w:rsidRDefault="009703C4">
      <w:pPr>
        <w:spacing w:after="314" w:line="259" w:lineRule="auto"/>
        <w:ind w:left="-5"/>
      </w:pPr>
      <w:r>
        <w:t xml:space="preserve">Morgan, P. (2017). The Business Students’ Guide to Study and Employability. London: Sage. </w:t>
      </w:r>
    </w:p>
    <w:p w14:paraId="0C0150C7" w14:textId="77777777" w:rsidR="00EF7990" w:rsidRDefault="009703C4">
      <w:pPr>
        <w:ind w:left="-5"/>
      </w:pPr>
      <w:r>
        <w:t>Saunders, M</w:t>
      </w:r>
      <w:r>
        <w:t>., Lewis, P. and Thornhill, A. (2012). Research Methods for Business Students. 6th edition. Harlow: Pearson Education.</w:t>
      </w:r>
    </w:p>
    <w:p w14:paraId="29848D61" w14:textId="77777777" w:rsidR="00EF7990" w:rsidRDefault="009703C4">
      <w:pPr>
        <w:spacing w:after="200" w:line="357" w:lineRule="auto"/>
        <w:ind w:left="-5"/>
      </w:pPr>
      <w:proofErr w:type="spellStart"/>
      <w:r>
        <w:t>Selingo</w:t>
      </w:r>
      <w:proofErr w:type="spellEnd"/>
      <w:r>
        <w:t xml:space="preserve">, J. (2015). What’s the Purpose of College: A Job or an Education? The Washington Post, February 2. Available at </w:t>
      </w:r>
      <w:hyperlink r:id="rId25">
        <w:r>
          <w:rPr>
            <w:color w:val="0000FF"/>
            <w:u w:val="single" w:color="0000FF"/>
          </w:rPr>
          <w:t>https://www.washingtonpost.com/news/grade</w:t>
        </w:r>
      </w:hyperlink>
      <w:hyperlink r:id="rId26">
        <w:r>
          <w:rPr>
            <w:color w:val="0000FF"/>
            <w:u w:val="single" w:color="0000FF"/>
          </w:rPr>
          <w:t>point/wp/2015/02/02/whats-the-purpose-of-college-a-job-or-an</w:t>
        </w:r>
      </w:hyperlink>
      <w:hyperlink r:id="rId27">
        <w:r>
          <w:rPr>
            <w:color w:val="0000FF"/>
            <w:u w:val="single" w:color="0000FF"/>
          </w:rPr>
          <w:t>education/?noredirect=on&amp;utm_term=.ae98b19e46e3</w:t>
        </w:r>
      </w:hyperlink>
      <w:r>
        <w:t xml:space="preserve">  (Accessed 3 December 2020).</w:t>
      </w:r>
    </w:p>
    <w:p w14:paraId="5D3086B9" w14:textId="77777777" w:rsidR="00EF7990" w:rsidRDefault="009703C4">
      <w:pPr>
        <w:spacing w:after="114" w:line="259" w:lineRule="auto"/>
        <w:ind w:left="-5"/>
      </w:pPr>
      <w:r>
        <w:t xml:space="preserve">Schön, D. (1983). The reflective practitioner: how professionals think in action. New York: </w:t>
      </w:r>
    </w:p>
    <w:p w14:paraId="29AD41CC" w14:textId="77777777" w:rsidR="00EF7990" w:rsidRDefault="009703C4">
      <w:pPr>
        <w:spacing w:after="314" w:line="259" w:lineRule="auto"/>
        <w:ind w:left="-5"/>
      </w:pPr>
      <w:r>
        <w:t>Basi</w:t>
      </w:r>
      <w:r>
        <w:t>c Books.</w:t>
      </w:r>
    </w:p>
    <w:p w14:paraId="76C1F9BC" w14:textId="77777777" w:rsidR="00EF7990" w:rsidRDefault="009703C4">
      <w:pPr>
        <w:spacing w:after="0"/>
        <w:ind w:left="-5"/>
      </w:pPr>
      <w:r>
        <w:lastRenderedPageBreak/>
        <w:t xml:space="preserve">University of Leicester (2016). David Kolb. Available at: https://www2.le.ac.uk/departments/doctoralcollege/training/eresources/teaching/theories/kolb  </w:t>
      </w:r>
    </w:p>
    <w:p w14:paraId="0A969E35" w14:textId="77777777" w:rsidR="00EF7990" w:rsidRDefault="009703C4">
      <w:pPr>
        <w:spacing w:line="259" w:lineRule="auto"/>
        <w:ind w:left="-5"/>
      </w:pPr>
      <w:r>
        <w:t xml:space="preserve">(Accessed: 8th July 2019) </w:t>
      </w:r>
    </w:p>
    <w:p w14:paraId="4F4002F0" w14:textId="77777777" w:rsidR="00EF7990" w:rsidRDefault="009703C4">
      <w:pPr>
        <w:spacing w:after="0"/>
        <w:ind w:left="-5"/>
      </w:pPr>
      <w:r>
        <w:t>Watton, P., Collings, J. and Moon, J. (2001) Reflective writing. Gu</w:t>
      </w:r>
      <w:r>
        <w:t>idance notes for students. Available at: http://www.learnhigher.ac.uk/wp-</w:t>
      </w:r>
    </w:p>
    <w:p w14:paraId="65BD870E" w14:textId="77777777" w:rsidR="00EF7990" w:rsidRDefault="009703C4">
      <w:pPr>
        <w:spacing w:after="0"/>
        <w:ind w:left="-5"/>
      </w:pPr>
      <w:r>
        <w:t>content/uploads/Reflective_writing_The_Park_WattonCollingsMoon.pdf (Accessed: 8th July 2019)</w:t>
      </w:r>
    </w:p>
    <w:sectPr w:rsidR="00EF7990">
      <w:headerReference w:type="even" r:id="rId28"/>
      <w:headerReference w:type="default" r:id="rId29"/>
      <w:footerReference w:type="even" r:id="rId30"/>
      <w:footerReference w:type="default" r:id="rId31"/>
      <w:headerReference w:type="first" r:id="rId32"/>
      <w:footerReference w:type="first" r:id="rId33"/>
      <w:pgSz w:w="11900" w:h="16820"/>
      <w:pgMar w:top="1498" w:right="1436" w:bottom="1810" w:left="1440" w:header="480" w:footer="4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E28AC2" w14:textId="77777777" w:rsidR="009703C4" w:rsidRDefault="009703C4">
      <w:pPr>
        <w:spacing w:after="0" w:line="240" w:lineRule="auto"/>
      </w:pPr>
      <w:r>
        <w:separator/>
      </w:r>
    </w:p>
  </w:endnote>
  <w:endnote w:type="continuationSeparator" w:id="0">
    <w:p w14:paraId="103AD021" w14:textId="77777777" w:rsidR="009703C4" w:rsidRDefault="00970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B88464"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7EF79206" wp14:editId="7AA9FF5D">
              <wp:simplePos x="0" y="0"/>
              <wp:positionH relativeFrom="page">
                <wp:posOffset>304800</wp:posOffset>
              </wp:positionH>
              <wp:positionV relativeFrom="page">
                <wp:posOffset>10387330</wp:posOffset>
              </wp:positionV>
              <wp:extent cx="6950710" cy="6350"/>
              <wp:effectExtent l="0" t="0" r="0" b="0"/>
              <wp:wrapSquare wrapText="bothSides"/>
              <wp:docPr id="6499" name="Group 6499"/>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00" name="Shape 6500"/>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99" style="width:547.3pt;height:0.5pt;position:absolute;mso-position-horizontal-relative:page;mso-position-horizontal:absolute;margin-left:24pt;mso-position-vertical-relative:page;margin-top:817.9pt;" coordsize="69507,63">
              <v:shape id="Shape 6500"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B4896F"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66B6977B" wp14:editId="05DE3DE7">
              <wp:simplePos x="0" y="0"/>
              <wp:positionH relativeFrom="page">
                <wp:posOffset>304800</wp:posOffset>
              </wp:positionH>
              <wp:positionV relativeFrom="page">
                <wp:posOffset>10387330</wp:posOffset>
              </wp:positionV>
              <wp:extent cx="6950710" cy="6350"/>
              <wp:effectExtent l="0" t="0" r="0" b="0"/>
              <wp:wrapSquare wrapText="bothSides"/>
              <wp:docPr id="6475" name="Group 6475"/>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76" name="Shape 6476"/>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75" style="width:547.3pt;height:0.5pt;position:absolute;mso-position-horizontal-relative:page;mso-position-horizontal:absolute;margin-left:24pt;mso-position-vertical-relative:page;margin-top:817.9pt;" coordsize="69507,63">
              <v:shape id="Shape 6476"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AC1AB7"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50AD3654" wp14:editId="200A2489">
              <wp:simplePos x="0" y="0"/>
              <wp:positionH relativeFrom="page">
                <wp:posOffset>304800</wp:posOffset>
              </wp:positionH>
              <wp:positionV relativeFrom="page">
                <wp:posOffset>10387330</wp:posOffset>
              </wp:positionV>
              <wp:extent cx="6950710" cy="6350"/>
              <wp:effectExtent l="0" t="0" r="0" b="0"/>
              <wp:wrapSquare wrapText="bothSides"/>
              <wp:docPr id="6451" name="Group 6451"/>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52" name="Shape 6452"/>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51" style="width:547.3pt;height:0.5pt;position:absolute;mso-position-horizontal-relative:page;mso-position-horizontal:absolute;margin-left:24pt;mso-position-vertical-relative:page;margin-top:817.9pt;" coordsize="69507,63">
              <v:shape id="Shape 6452"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BC7B33"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0812AC6F" wp14:editId="4F6DCF54">
              <wp:simplePos x="0" y="0"/>
              <wp:positionH relativeFrom="page">
                <wp:posOffset>304800</wp:posOffset>
              </wp:positionH>
              <wp:positionV relativeFrom="page">
                <wp:posOffset>10387330</wp:posOffset>
              </wp:positionV>
              <wp:extent cx="6950710" cy="6350"/>
              <wp:effectExtent l="0" t="0" r="0" b="0"/>
              <wp:wrapSquare wrapText="bothSides"/>
              <wp:docPr id="6572" name="Group 6572"/>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73" name="Shape 6573"/>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2" style="width:547.3pt;height:0.5pt;position:absolute;mso-position-horizontal-relative:page;mso-position-horizontal:absolute;margin-left:24pt;mso-position-vertical-relative:page;margin-top:817.9pt;" coordsize="69507,63">
              <v:shape id="Shape 6573"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7EE4A0"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42B79B6A" wp14:editId="18D1F971">
              <wp:simplePos x="0" y="0"/>
              <wp:positionH relativeFrom="page">
                <wp:posOffset>304800</wp:posOffset>
              </wp:positionH>
              <wp:positionV relativeFrom="page">
                <wp:posOffset>10387330</wp:posOffset>
              </wp:positionV>
              <wp:extent cx="6950710" cy="6350"/>
              <wp:effectExtent l="0" t="0" r="0" b="0"/>
              <wp:wrapSquare wrapText="bothSides"/>
              <wp:docPr id="6548" name="Group 6548"/>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49" name="Shape 6549"/>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48" style="width:547.3pt;height:0.5pt;position:absolute;mso-position-horizontal-relative:page;mso-position-horizontal:absolute;margin-left:24pt;mso-position-vertical-relative:page;margin-top:817.9pt;" coordsize="69507,63">
              <v:shape id="Shape 6549"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FF3231" w14:textId="77777777" w:rsidR="00EF7990" w:rsidRDefault="009703C4">
    <w:pPr>
      <w:spacing w:after="0" w:line="259" w:lineRule="auto"/>
      <w:ind w:left="-1440" w:right="10464" w:firstLine="0"/>
    </w:pPr>
    <w:r>
      <w:rPr>
        <w:rFonts w:ascii="Calibri" w:eastAsia="Calibri" w:hAnsi="Calibri" w:cs="Calibri"/>
        <w:noProof/>
        <w:sz w:val="22"/>
      </w:rPr>
      <mc:AlternateContent>
        <mc:Choice Requires="wpg">
          <w:drawing>
            <wp:anchor distT="0" distB="0" distL="114300" distR="114300" simplePos="0" relativeHeight="251681792" behindDoc="0" locked="0" layoutInCell="1" allowOverlap="1" wp14:anchorId="0E892217" wp14:editId="3DED75B7">
              <wp:simplePos x="0" y="0"/>
              <wp:positionH relativeFrom="page">
                <wp:posOffset>304800</wp:posOffset>
              </wp:positionH>
              <wp:positionV relativeFrom="page">
                <wp:posOffset>10387330</wp:posOffset>
              </wp:positionV>
              <wp:extent cx="6950710" cy="6350"/>
              <wp:effectExtent l="0" t="0" r="0" b="0"/>
              <wp:wrapSquare wrapText="bothSides"/>
              <wp:docPr id="6524" name="Group 6524"/>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25" name="Shape 6525"/>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24" style="width:547.3pt;height:0.5pt;position:absolute;mso-position-horizontal-relative:page;mso-position-horizontal:absolute;margin-left:24pt;mso-position-vertical-relative:page;margin-top:817.9pt;" coordsize="69507,63">
              <v:shape id="Shape 6525" style="position:absolute;width:69507;height:0;left:0;top:0;" coordsize="6950710,0" path="m0,0l6950710,0">
                <v:stroke weight="0.5pt" endcap="flat" joinstyle="miter" miterlimit="4" on="true" color="#000000"/>
                <v:fill on="false" color="#000000" opacity="0"/>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2AE1B4" w14:textId="77777777" w:rsidR="009703C4" w:rsidRDefault="009703C4">
      <w:pPr>
        <w:spacing w:after="0" w:line="240" w:lineRule="auto"/>
      </w:pPr>
      <w:r>
        <w:separator/>
      </w:r>
    </w:p>
  </w:footnote>
  <w:footnote w:type="continuationSeparator" w:id="0">
    <w:p w14:paraId="5C70DE17" w14:textId="77777777" w:rsidR="009703C4" w:rsidRDefault="009703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1FA7E"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0686E46" wp14:editId="515B58CF">
              <wp:simplePos x="0" y="0"/>
              <wp:positionH relativeFrom="page">
                <wp:posOffset>914400</wp:posOffset>
              </wp:positionH>
              <wp:positionV relativeFrom="page">
                <wp:posOffset>635987</wp:posOffset>
              </wp:positionV>
              <wp:extent cx="5731510" cy="6350"/>
              <wp:effectExtent l="0" t="0" r="0" b="0"/>
              <wp:wrapSquare wrapText="bothSides"/>
              <wp:docPr id="6488" name="Group 6488"/>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89" name="Shape 6489"/>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88" style="width:451.3pt;height:0.5pt;position:absolute;mso-position-horizontal-relative:page;mso-position-horizontal:absolute;margin-left:72pt;mso-position-vertical-relative:page;margin-top:50.0777pt;" coordsize="57315,63">
              <v:shape id="Shape 6489"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86ACDD3" wp14:editId="7466DC35">
              <wp:simplePos x="0" y="0"/>
              <wp:positionH relativeFrom="page">
                <wp:posOffset>304800</wp:posOffset>
              </wp:positionH>
              <wp:positionV relativeFrom="page">
                <wp:posOffset>304800</wp:posOffset>
              </wp:positionV>
              <wp:extent cx="6950710" cy="6350"/>
              <wp:effectExtent l="0" t="0" r="0" b="0"/>
              <wp:wrapSquare wrapText="bothSides"/>
              <wp:docPr id="6490" name="Group 6490"/>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91" name="Shape 6491"/>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90" style="width:547.3pt;height:0.5pt;position:absolute;mso-position-horizontal-relative:page;mso-position-horizontal:absolute;margin-left:24pt;mso-position-vertical-relative:page;margin-top:24pt;" coordsize="69507,63">
              <v:shape id="Shape 6491"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48384C5" w14:textId="77777777" w:rsidR="00EF7990" w:rsidRDefault="009703C4">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291AE52D" wp14:editId="07D6B602">
              <wp:simplePos x="0" y="0"/>
              <wp:positionH relativeFrom="page">
                <wp:posOffset>304800</wp:posOffset>
              </wp:positionH>
              <wp:positionV relativeFrom="page">
                <wp:posOffset>304800</wp:posOffset>
              </wp:positionV>
              <wp:extent cx="6950710" cy="10082530"/>
              <wp:effectExtent l="0" t="0" r="0" b="0"/>
              <wp:wrapNone/>
              <wp:docPr id="6492" name="Group 6492"/>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93" name="Shape 6493"/>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94" name="Shape 6494"/>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92" style="width:547.3pt;height:793.9pt;position:absolute;z-index:-2147483648;mso-position-horizontal-relative:page;mso-position-horizontal:absolute;margin-left:24pt;mso-position-vertical-relative:page;margin-top:24pt;" coordsize="69507,100825">
              <v:shape id="Shape 6493" style="position:absolute;width:0;height:100825;left:0;top:0;" coordsize="0,10082530" path="m0,0l0,10082530">
                <v:stroke weight="0.5pt" endcap="flat" joinstyle="miter" miterlimit="4" on="true" color="#000000"/>
                <v:fill on="false" color="#000000" opacity="0"/>
              </v:shape>
              <v:shape id="Shape 6494"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59D70C"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3112937" wp14:editId="54670F8D">
              <wp:simplePos x="0" y="0"/>
              <wp:positionH relativeFrom="page">
                <wp:posOffset>914400</wp:posOffset>
              </wp:positionH>
              <wp:positionV relativeFrom="page">
                <wp:posOffset>635987</wp:posOffset>
              </wp:positionV>
              <wp:extent cx="5731510" cy="6350"/>
              <wp:effectExtent l="0" t="0" r="0" b="0"/>
              <wp:wrapSquare wrapText="bothSides"/>
              <wp:docPr id="6464" name="Group 6464"/>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65" name="Shape 6465"/>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64" style="width:451.3pt;height:0.5pt;position:absolute;mso-position-horizontal-relative:page;mso-position-horizontal:absolute;margin-left:72pt;mso-position-vertical-relative:page;margin-top:50.0777pt;" coordsize="57315,63">
              <v:shape id="Shape 6465"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10CC75A2" wp14:editId="0EC9806D">
              <wp:simplePos x="0" y="0"/>
              <wp:positionH relativeFrom="page">
                <wp:posOffset>304800</wp:posOffset>
              </wp:positionH>
              <wp:positionV relativeFrom="page">
                <wp:posOffset>304800</wp:posOffset>
              </wp:positionV>
              <wp:extent cx="6950710" cy="6350"/>
              <wp:effectExtent l="0" t="0" r="0" b="0"/>
              <wp:wrapSquare wrapText="bothSides"/>
              <wp:docPr id="6466" name="Group 6466"/>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67" name="Shape 6467"/>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66" style="width:547.3pt;height:0.5pt;position:absolute;mso-position-horizontal-relative:page;mso-position-horizontal:absolute;margin-left:24pt;mso-position-vertical-relative:page;margin-top:24pt;" coordsize="69507,63">
              <v:shape id="Shape 6467"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29BAFBD" w14:textId="77777777" w:rsidR="00EF7990" w:rsidRDefault="009703C4">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63508E64" wp14:editId="24738665">
              <wp:simplePos x="0" y="0"/>
              <wp:positionH relativeFrom="page">
                <wp:posOffset>304800</wp:posOffset>
              </wp:positionH>
              <wp:positionV relativeFrom="page">
                <wp:posOffset>304800</wp:posOffset>
              </wp:positionV>
              <wp:extent cx="6950710" cy="10082530"/>
              <wp:effectExtent l="0" t="0" r="0" b="0"/>
              <wp:wrapNone/>
              <wp:docPr id="6468" name="Group 6468"/>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69" name="Shape 6469"/>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70" name="Shape 6470"/>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68" style="width:547.3pt;height:793.9pt;position:absolute;z-index:-2147483648;mso-position-horizontal-relative:page;mso-position-horizontal:absolute;margin-left:24pt;mso-position-vertical-relative:page;margin-top:24pt;" coordsize="69507,100825">
              <v:shape id="Shape 6469" style="position:absolute;width:0;height:100825;left:0;top:0;" coordsize="0,10082530" path="m0,0l0,10082530">
                <v:stroke weight="0.5pt" endcap="flat" joinstyle="miter" miterlimit="4" on="true" color="#000000"/>
                <v:fill on="false" color="#000000" opacity="0"/>
              </v:shape>
              <v:shape id="Shape 6470"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E4DC21"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39F96FD4" wp14:editId="3143F899">
              <wp:simplePos x="0" y="0"/>
              <wp:positionH relativeFrom="page">
                <wp:posOffset>914400</wp:posOffset>
              </wp:positionH>
              <wp:positionV relativeFrom="page">
                <wp:posOffset>635987</wp:posOffset>
              </wp:positionV>
              <wp:extent cx="5731510" cy="6350"/>
              <wp:effectExtent l="0" t="0" r="0" b="0"/>
              <wp:wrapSquare wrapText="bothSides"/>
              <wp:docPr id="6440" name="Group 6440"/>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441" name="Shape 6441"/>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40" style="width:451.3pt;height:0.5pt;position:absolute;mso-position-horizontal-relative:page;mso-position-horizontal:absolute;margin-left:72pt;mso-position-vertical-relative:page;margin-top:50.0777pt;" coordsize="57315,63">
              <v:shape id="Shape 6441"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17A4E498" wp14:editId="2BE25AFC">
              <wp:simplePos x="0" y="0"/>
              <wp:positionH relativeFrom="page">
                <wp:posOffset>304800</wp:posOffset>
              </wp:positionH>
              <wp:positionV relativeFrom="page">
                <wp:posOffset>304800</wp:posOffset>
              </wp:positionV>
              <wp:extent cx="6950710" cy="6350"/>
              <wp:effectExtent l="0" t="0" r="0" b="0"/>
              <wp:wrapSquare wrapText="bothSides"/>
              <wp:docPr id="6442" name="Group 6442"/>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443" name="Shape 6443"/>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42" style="width:547.3pt;height:0.5pt;position:absolute;mso-position-horizontal-relative:page;mso-position-horizontal:absolute;margin-left:24pt;mso-position-vertical-relative:page;margin-top:24pt;" coordsize="69507,63">
              <v:shape id="Shape 6443"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27DDB0B6" w14:textId="77777777" w:rsidR="00EF7990" w:rsidRDefault="009703C4">
    <w:r>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25C93F21" wp14:editId="348796B4">
              <wp:simplePos x="0" y="0"/>
              <wp:positionH relativeFrom="page">
                <wp:posOffset>304800</wp:posOffset>
              </wp:positionH>
              <wp:positionV relativeFrom="page">
                <wp:posOffset>304800</wp:posOffset>
              </wp:positionV>
              <wp:extent cx="6950710" cy="10082530"/>
              <wp:effectExtent l="0" t="0" r="0" b="0"/>
              <wp:wrapNone/>
              <wp:docPr id="6444" name="Group 6444"/>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445" name="Shape 6445"/>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446" name="Shape 6446"/>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444" style="width:547.3pt;height:793.9pt;position:absolute;z-index:-2147483648;mso-position-horizontal-relative:page;mso-position-horizontal:absolute;margin-left:24pt;mso-position-vertical-relative:page;margin-top:24pt;" coordsize="69507,100825">
              <v:shape id="Shape 6445" style="position:absolute;width:0;height:100825;left:0;top:0;" coordsize="0,10082530" path="m0,0l0,10082530">
                <v:stroke weight="0.5pt" endcap="flat" joinstyle="miter" miterlimit="4" on="true" color="#000000"/>
                <v:fill on="false" color="#000000" opacity="0"/>
              </v:shape>
              <v:shape id="Shape 6446"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238277"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40286473" wp14:editId="68A270F5">
              <wp:simplePos x="0" y="0"/>
              <wp:positionH relativeFrom="page">
                <wp:posOffset>914400</wp:posOffset>
              </wp:positionH>
              <wp:positionV relativeFrom="page">
                <wp:posOffset>635987</wp:posOffset>
              </wp:positionV>
              <wp:extent cx="5731510" cy="6350"/>
              <wp:effectExtent l="0" t="0" r="0" b="0"/>
              <wp:wrapSquare wrapText="bothSides"/>
              <wp:docPr id="6561" name="Group 6561"/>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62" name="Shape 6562"/>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61" style="width:451.3pt;height:0.5pt;position:absolute;mso-position-horizontal-relative:page;mso-position-horizontal:absolute;margin-left:72pt;mso-position-vertical-relative:page;margin-top:50.0777pt;" coordsize="57315,63">
              <v:shape id="Shape 6562"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1552" behindDoc="0" locked="0" layoutInCell="1" allowOverlap="1" wp14:anchorId="3AD45766" wp14:editId="7F29A936">
              <wp:simplePos x="0" y="0"/>
              <wp:positionH relativeFrom="page">
                <wp:posOffset>304800</wp:posOffset>
              </wp:positionH>
              <wp:positionV relativeFrom="page">
                <wp:posOffset>304800</wp:posOffset>
              </wp:positionV>
              <wp:extent cx="6950710" cy="6350"/>
              <wp:effectExtent l="0" t="0" r="0" b="0"/>
              <wp:wrapSquare wrapText="bothSides"/>
              <wp:docPr id="6563" name="Group 6563"/>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64" name="Shape 6564"/>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63" style="width:547.3pt;height:0.5pt;position:absolute;mso-position-horizontal-relative:page;mso-position-horizontal:absolute;margin-left:24pt;mso-position-vertical-relative:page;margin-top:24pt;" coordsize="69507,63">
              <v:shape id="Shape 6564"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10</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D50D3F0" w14:textId="77777777" w:rsidR="00EF7990" w:rsidRDefault="009703C4">
    <w:r>
      <w:rPr>
        <w:rFonts w:ascii="Calibri" w:eastAsia="Calibri" w:hAnsi="Calibri" w:cs="Calibri"/>
        <w:noProof/>
        <w:sz w:val="22"/>
      </w:rPr>
      <mc:AlternateContent>
        <mc:Choice Requires="wpg">
          <w:drawing>
            <wp:anchor distT="0" distB="0" distL="114300" distR="114300" simplePos="0" relativeHeight="251672576" behindDoc="1" locked="0" layoutInCell="1" allowOverlap="1" wp14:anchorId="7C4D6F8E" wp14:editId="41BD8D00">
              <wp:simplePos x="0" y="0"/>
              <wp:positionH relativeFrom="page">
                <wp:posOffset>304800</wp:posOffset>
              </wp:positionH>
              <wp:positionV relativeFrom="page">
                <wp:posOffset>304800</wp:posOffset>
              </wp:positionV>
              <wp:extent cx="6950710" cy="10082530"/>
              <wp:effectExtent l="0" t="0" r="0" b="0"/>
              <wp:wrapNone/>
              <wp:docPr id="6565" name="Group 6565"/>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66" name="Shape 6566"/>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67" name="Shape 6567"/>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65" style="width:547.3pt;height:793.9pt;position:absolute;z-index:-2147483648;mso-position-horizontal-relative:page;mso-position-horizontal:absolute;margin-left:24pt;mso-position-vertical-relative:page;margin-top:24pt;" coordsize="69507,100825">
              <v:shape id="Shape 6566" style="position:absolute;width:0;height:100825;left:0;top:0;" coordsize="0,10082530" path="m0,0l0,10082530">
                <v:stroke weight="0.5pt" endcap="flat" joinstyle="miter" miterlimit="4" on="true" color="#000000"/>
                <v:fill on="false" color="#000000" opacity="0"/>
              </v:shape>
              <v:shape id="Shape 6567"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4B30D8"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1FD720EE" wp14:editId="1B16FB77">
              <wp:simplePos x="0" y="0"/>
              <wp:positionH relativeFrom="page">
                <wp:posOffset>914400</wp:posOffset>
              </wp:positionH>
              <wp:positionV relativeFrom="page">
                <wp:posOffset>635987</wp:posOffset>
              </wp:positionV>
              <wp:extent cx="5731510" cy="6350"/>
              <wp:effectExtent l="0" t="0" r="0" b="0"/>
              <wp:wrapSquare wrapText="bothSides"/>
              <wp:docPr id="6537" name="Group 6537"/>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38" name="Shape 6538"/>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7" style="width:451.3pt;height:0.5pt;position:absolute;mso-position-horizontal-relative:page;mso-position-horizontal:absolute;margin-left:72pt;mso-position-vertical-relative:page;margin-top:50.0777pt;" coordsize="57315,63">
              <v:shape id="Shape 6538"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5BB9D620" wp14:editId="035877EC">
              <wp:simplePos x="0" y="0"/>
              <wp:positionH relativeFrom="page">
                <wp:posOffset>304800</wp:posOffset>
              </wp:positionH>
              <wp:positionV relativeFrom="page">
                <wp:posOffset>304800</wp:posOffset>
              </wp:positionV>
              <wp:extent cx="6950710" cy="6350"/>
              <wp:effectExtent l="0" t="0" r="0" b="0"/>
              <wp:wrapSquare wrapText="bothSides"/>
              <wp:docPr id="6539" name="Group 6539"/>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40" name="Shape 6540"/>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7.3pt;height:0.5pt;position:absolute;mso-position-horizontal-relative:page;mso-position-horizontal:absolute;margin-left:24pt;mso-position-vertical-relative:page;margin-top:24pt;" coordsize="69507,63">
              <v:shape id="Shape 6540"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10</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2E9D7FC6" w14:textId="77777777" w:rsidR="00EF7990" w:rsidRDefault="009703C4">
    <w:r>
      <w:rPr>
        <w:rFonts w:ascii="Calibri" w:eastAsia="Calibri" w:hAnsi="Calibri" w:cs="Calibri"/>
        <w:noProof/>
        <w:sz w:val="22"/>
      </w:rPr>
      <mc:AlternateContent>
        <mc:Choice Requires="wpg">
          <w:drawing>
            <wp:anchor distT="0" distB="0" distL="114300" distR="114300" simplePos="0" relativeHeight="251675648" behindDoc="1" locked="0" layoutInCell="1" allowOverlap="1" wp14:anchorId="73FD5A98" wp14:editId="59896C75">
              <wp:simplePos x="0" y="0"/>
              <wp:positionH relativeFrom="page">
                <wp:posOffset>304800</wp:posOffset>
              </wp:positionH>
              <wp:positionV relativeFrom="page">
                <wp:posOffset>304800</wp:posOffset>
              </wp:positionV>
              <wp:extent cx="6950710" cy="10082530"/>
              <wp:effectExtent l="0" t="0" r="0" b="0"/>
              <wp:wrapNone/>
              <wp:docPr id="6541" name="Group 6541"/>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42" name="Shape 6542"/>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43" name="Shape 6543"/>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41" style="width:547.3pt;height:793.9pt;position:absolute;z-index:-2147483648;mso-position-horizontal-relative:page;mso-position-horizontal:absolute;margin-left:24pt;mso-position-vertical-relative:page;margin-top:24pt;" coordsize="69507,100825">
              <v:shape id="Shape 6542" style="position:absolute;width:0;height:100825;left:0;top:0;" coordsize="0,10082530" path="m0,0l0,10082530">
                <v:stroke weight="0.5pt" endcap="flat" joinstyle="miter" miterlimit="4" on="true" color="#000000"/>
                <v:fill on="false" color="#000000" opacity="0"/>
              </v:shape>
              <v:shape id="Shape 6543"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0DAB7" w14:textId="77777777" w:rsidR="00EF7990" w:rsidRDefault="009703C4">
    <w:pPr>
      <w:spacing w:after="0" w:line="259" w:lineRule="auto"/>
      <w:ind w:left="0" w:firstLine="0"/>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4A5B25EA" wp14:editId="25CA4EE3">
              <wp:simplePos x="0" y="0"/>
              <wp:positionH relativeFrom="page">
                <wp:posOffset>914400</wp:posOffset>
              </wp:positionH>
              <wp:positionV relativeFrom="page">
                <wp:posOffset>635987</wp:posOffset>
              </wp:positionV>
              <wp:extent cx="5731510" cy="6350"/>
              <wp:effectExtent l="0" t="0" r="0" b="0"/>
              <wp:wrapSquare wrapText="bothSides"/>
              <wp:docPr id="6513" name="Group 6513"/>
              <wp:cNvGraphicFramePr/>
              <a:graphic xmlns:a="http://schemas.openxmlformats.org/drawingml/2006/main">
                <a:graphicData uri="http://schemas.microsoft.com/office/word/2010/wordprocessingGroup">
                  <wpg:wgp>
                    <wpg:cNvGrpSpPr/>
                    <wpg:grpSpPr>
                      <a:xfrm>
                        <a:off x="0" y="0"/>
                        <a:ext cx="5731510" cy="6350"/>
                        <a:chOff x="0" y="0"/>
                        <a:chExt cx="5731510" cy="6350"/>
                      </a:xfrm>
                    </wpg:grpSpPr>
                    <wps:wsp>
                      <wps:cNvPr id="6514" name="Shape 6514"/>
                      <wps:cNvSpPr/>
                      <wps:spPr>
                        <a:xfrm>
                          <a:off x="0" y="0"/>
                          <a:ext cx="5731510" cy="0"/>
                        </a:xfrm>
                        <a:custGeom>
                          <a:avLst/>
                          <a:gdLst/>
                          <a:ahLst/>
                          <a:cxnLst/>
                          <a:rect l="0" t="0" r="0" b="0"/>
                          <a:pathLst>
                            <a:path w="5731510">
                              <a:moveTo>
                                <a:pt x="0" y="0"/>
                              </a:moveTo>
                              <a:lnTo>
                                <a:pt x="5731510" y="0"/>
                              </a:lnTo>
                            </a:path>
                          </a:pathLst>
                        </a:custGeom>
                        <a:ln w="6350" cap="flat">
                          <a:miter lim="100000"/>
                        </a:ln>
                      </wps:spPr>
                      <wps:style>
                        <a:lnRef idx="1">
                          <a:srgbClr val="D9D9D9"/>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13" style="width:451.3pt;height:0.5pt;position:absolute;mso-position-horizontal-relative:page;mso-position-horizontal:absolute;margin-left:72pt;mso-position-vertical-relative:page;margin-top:50.0777pt;" coordsize="57315,63">
              <v:shape id="Shape 6514" style="position:absolute;width:57315;height:0;left:0;top:0;" coordsize="5731510,0" path="m0,0l5731510,0">
                <v:stroke weight="0.5pt" endcap="flat" joinstyle="miter" miterlimit="4" on="true" color="#d9d9d9"/>
                <v:fill on="false" color="#000000" opacity="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7696" behindDoc="0" locked="0" layoutInCell="1" allowOverlap="1" wp14:anchorId="5D411BE0" wp14:editId="25D7502C">
              <wp:simplePos x="0" y="0"/>
              <wp:positionH relativeFrom="page">
                <wp:posOffset>304800</wp:posOffset>
              </wp:positionH>
              <wp:positionV relativeFrom="page">
                <wp:posOffset>304800</wp:posOffset>
              </wp:positionV>
              <wp:extent cx="6950710" cy="6350"/>
              <wp:effectExtent l="0" t="0" r="0" b="0"/>
              <wp:wrapSquare wrapText="bothSides"/>
              <wp:docPr id="6515" name="Group 6515"/>
              <wp:cNvGraphicFramePr/>
              <a:graphic xmlns:a="http://schemas.openxmlformats.org/drawingml/2006/main">
                <a:graphicData uri="http://schemas.microsoft.com/office/word/2010/wordprocessingGroup">
                  <wpg:wgp>
                    <wpg:cNvGrpSpPr/>
                    <wpg:grpSpPr>
                      <a:xfrm>
                        <a:off x="0" y="0"/>
                        <a:ext cx="6950710" cy="6350"/>
                        <a:chOff x="0" y="0"/>
                        <a:chExt cx="6950710" cy="6350"/>
                      </a:xfrm>
                    </wpg:grpSpPr>
                    <wps:wsp>
                      <wps:cNvPr id="6516" name="Shape 6516"/>
                      <wps:cNvSpPr/>
                      <wps:spPr>
                        <a:xfrm>
                          <a:off x="0" y="0"/>
                          <a:ext cx="6950710" cy="0"/>
                        </a:xfrm>
                        <a:custGeom>
                          <a:avLst/>
                          <a:gdLst/>
                          <a:ahLst/>
                          <a:cxnLst/>
                          <a:rect l="0" t="0" r="0" b="0"/>
                          <a:pathLst>
                            <a:path w="6950710">
                              <a:moveTo>
                                <a:pt x="0" y="0"/>
                              </a:moveTo>
                              <a:lnTo>
                                <a:pt x="6950710"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15" style="width:547.3pt;height:0.5pt;position:absolute;mso-position-horizontal-relative:page;mso-position-horizontal:absolute;margin-left:24pt;mso-position-vertical-relative:page;margin-top:24pt;" coordsize="69507,63">
              <v:shape id="Shape 6516" style="position:absolute;width:69507;height:0;left:0;top:0;" coordsize="6950710,0" path="m0,0l6950710,0">
                <v:stroke weight="0.5pt" endcap="flat" joinstyle="miter" miterlimit="4" on="true" color="#000000"/>
                <v:fill on="false" color="#000000" opacity="0"/>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10</w:t>
    </w:r>
    <w:r>
      <w:rPr>
        <w:rFonts w:ascii="Calibri" w:eastAsia="Calibri" w:hAnsi="Calibri" w:cs="Calibri"/>
        <w:sz w:val="22"/>
      </w:rPr>
      <w:fldChar w:fldCharType="end"/>
    </w:r>
    <w:r>
      <w:rPr>
        <w:rFonts w:ascii="Calibri" w:eastAsia="Calibri" w:hAnsi="Calibri" w:cs="Calibri"/>
        <w:b/>
        <w:sz w:val="22"/>
      </w:rPr>
      <w:t xml:space="preserve"> | </w:t>
    </w:r>
    <w:r>
      <w:rPr>
        <w:rFonts w:ascii="Calibri" w:eastAsia="Calibri" w:hAnsi="Calibri" w:cs="Calibri"/>
        <w:color w:val="808080"/>
        <w:sz w:val="22"/>
      </w:rPr>
      <w:t>Page</w:t>
    </w:r>
  </w:p>
  <w:p w14:paraId="527370D3" w14:textId="77777777" w:rsidR="00EF7990" w:rsidRDefault="009703C4">
    <w:r>
      <w:rPr>
        <w:rFonts w:ascii="Calibri" w:eastAsia="Calibri" w:hAnsi="Calibri" w:cs="Calibri"/>
        <w:noProof/>
        <w:sz w:val="22"/>
      </w:rPr>
      <mc:AlternateContent>
        <mc:Choice Requires="wpg">
          <w:drawing>
            <wp:anchor distT="0" distB="0" distL="114300" distR="114300" simplePos="0" relativeHeight="251678720" behindDoc="1" locked="0" layoutInCell="1" allowOverlap="1" wp14:anchorId="502B5BC2" wp14:editId="2A6C0F06">
              <wp:simplePos x="0" y="0"/>
              <wp:positionH relativeFrom="page">
                <wp:posOffset>304800</wp:posOffset>
              </wp:positionH>
              <wp:positionV relativeFrom="page">
                <wp:posOffset>304800</wp:posOffset>
              </wp:positionV>
              <wp:extent cx="6950710" cy="10082530"/>
              <wp:effectExtent l="0" t="0" r="0" b="0"/>
              <wp:wrapNone/>
              <wp:docPr id="6517" name="Group 6517"/>
              <wp:cNvGraphicFramePr/>
              <a:graphic xmlns:a="http://schemas.openxmlformats.org/drawingml/2006/main">
                <a:graphicData uri="http://schemas.microsoft.com/office/word/2010/wordprocessingGroup">
                  <wpg:wgp>
                    <wpg:cNvGrpSpPr/>
                    <wpg:grpSpPr>
                      <a:xfrm>
                        <a:off x="0" y="0"/>
                        <a:ext cx="6950710" cy="10082530"/>
                        <a:chOff x="0" y="0"/>
                        <a:chExt cx="6950710" cy="10082530"/>
                      </a:xfrm>
                    </wpg:grpSpPr>
                    <wps:wsp>
                      <wps:cNvPr id="6518" name="Shape 6518"/>
                      <wps:cNvSpPr/>
                      <wps:spPr>
                        <a:xfrm>
                          <a:off x="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s:wsp>
                      <wps:cNvPr id="6519" name="Shape 6519"/>
                      <wps:cNvSpPr/>
                      <wps:spPr>
                        <a:xfrm>
                          <a:off x="6950710" y="0"/>
                          <a:ext cx="0" cy="10082530"/>
                        </a:xfrm>
                        <a:custGeom>
                          <a:avLst/>
                          <a:gdLst/>
                          <a:ahLst/>
                          <a:cxnLst/>
                          <a:rect l="0" t="0" r="0" b="0"/>
                          <a:pathLst>
                            <a:path h="10082530">
                              <a:moveTo>
                                <a:pt x="0" y="0"/>
                              </a:moveTo>
                              <a:lnTo>
                                <a:pt x="0" y="1008253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17" style="width:547.3pt;height:793.9pt;position:absolute;z-index:-2147483648;mso-position-horizontal-relative:page;mso-position-horizontal:absolute;margin-left:24pt;mso-position-vertical-relative:page;margin-top:24pt;" coordsize="69507,100825">
              <v:shape id="Shape 6518" style="position:absolute;width:0;height:100825;left:0;top:0;" coordsize="0,10082530" path="m0,0l0,10082530">
                <v:stroke weight="0.5pt" endcap="flat" joinstyle="miter" miterlimit="4" on="true" color="#000000"/>
                <v:fill on="false" color="#000000" opacity="0"/>
              </v:shape>
              <v:shape id="Shape 6519" style="position:absolute;width:0;height:100825;left:69507;top:0;" coordsize="0,10082530" path="m0,0l0,10082530">
                <v:stroke weight="0.5pt" endcap="flat" joinstyle="miter" miterlimit="4" on="true" color="#000000"/>
                <v:fill on="false" color="#000000" opacity="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91FAC"/>
    <w:multiLevelType w:val="hybridMultilevel"/>
    <w:tmpl w:val="846235E6"/>
    <w:lvl w:ilvl="0" w:tplc="477247FA">
      <w:start w:val="2"/>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ACBAFCF6">
      <w:start w:val="1"/>
      <w:numFmt w:val="lowerLetter"/>
      <w:lvlText w:val="%2"/>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F1B2EFD4">
      <w:start w:val="1"/>
      <w:numFmt w:val="lowerRoman"/>
      <w:lvlText w:val="%3"/>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2E8ABB20">
      <w:start w:val="1"/>
      <w:numFmt w:val="decimal"/>
      <w:lvlText w:val="%4"/>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6E761BBA">
      <w:start w:val="1"/>
      <w:numFmt w:val="lowerLetter"/>
      <w:lvlText w:val="%5"/>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ED4AF742">
      <w:start w:val="1"/>
      <w:numFmt w:val="lowerRoman"/>
      <w:lvlText w:val="%6"/>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441447F8">
      <w:start w:val="1"/>
      <w:numFmt w:val="decimal"/>
      <w:lvlText w:val="%7"/>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7B40B4B4">
      <w:start w:val="1"/>
      <w:numFmt w:val="lowerLetter"/>
      <w:lvlText w:val="%8"/>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159C7790">
      <w:start w:val="1"/>
      <w:numFmt w:val="lowerRoman"/>
      <w:lvlText w:val="%9"/>
      <w:lvlJc w:val="left"/>
      <w:pPr>
        <w:ind w:left="61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A8762C7"/>
    <w:multiLevelType w:val="hybridMultilevel"/>
    <w:tmpl w:val="5ABC615A"/>
    <w:lvl w:ilvl="0" w:tplc="197ACCAC">
      <w:start w:val="1"/>
      <w:numFmt w:val="bullet"/>
      <w:lvlText w:val="-"/>
      <w:lvlJc w:val="left"/>
      <w:pPr>
        <w:ind w:left="6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3363118">
      <w:start w:val="1"/>
      <w:numFmt w:val="bullet"/>
      <w:lvlText w:val="o"/>
      <w:lvlJc w:val="left"/>
      <w:pPr>
        <w:ind w:left="13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2FE0F1E">
      <w:start w:val="1"/>
      <w:numFmt w:val="bullet"/>
      <w:lvlText w:val="▪"/>
      <w:lvlJc w:val="left"/>
      <w:pPr>
        <w:ind w:left="20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A982494">
      <w:start w:val="1"/>
      <w:numFmt w:val="bullet"/>
      <w:lvlText w:val="•"/>
      <w:lvlJc w:val="left"/>
      <w:pPr>
        <w:ind w:left="28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8E251FC">
      <w:start w:val="1"/>
      <w:numFmt w:val="bullet"/>
      <w:lvlText w:val="o"/>
      <w:lvlJc w:val="left"/>
      <w:pPr>
        <w:ind w:left="352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71A01B0">
      <w:start w:val="1"/>
      <w:numFmt w:val="bullet"/>
      <w:lvlText w:val="▪"/>
      <w:lvlJc w:val="left"/>
      <w:pPr>
        <w:ind w:left="42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20695CA">
      <w:start w:val="1"/>
      <w:numFmt w:val="bullet"/>
      <w:lvlText w:val="•"/>
      <w:lvlJc w:val="left"/>
      <w:pPr>
        <w:ind w:left="49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A8289B4">
      <w:start w:val="1"/>
      <w:numFmt w:val="bullet"/>
      <w:lvlText w:val="o"/>
      <w:lvlJc w:val="left"/>
      <w:pPr>
        <w:ind w:left="56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B64BD30">
      <w:start w:val="1"/>
      <w:numFmt w:val="bullet"/>
      <w:lvlText w:val="▪"/>
      <w:lvlJc w:val="left"/>
      <w:pPr>
        <w:ind w:left="64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B515CA5"/>
    <w:multiLevelType w:val="hybridMultilevel"/>
    <w:tmpl w:val="032AB9FE"/>
    <w:lvl w:ilvl="0" w:tplc="B6BA6CA8">
      <w:start w:val="1"/>
      <w:numFmt w:val="bullet"/>
      <w:lvlText w:val="-"/>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B06C7AA">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D5A5EA6">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74E85AA">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3C005F2">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D7A0F42">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AB4094C">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9AA1D08">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9F085F8">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990"/>
    <w:rsid w:val="009703C4"/>
    <w:rsid w:val="00A85D61"/>
    <w:rsid w:val="00E921B5"/>
    <w:rsid w:val="00EF7990"/>
    <w:rsid w:val="00F84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754E0"/>
  <w15:docId w15:val="{8C12C32B-C99E-41DE-B2FC-0EEC0A35A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59"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3"/>
      </w:numPr>
      <w:spacing w:after="215"/>
      <w:ind w:left="10" w:hanging="10"/>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215"/>
      <w:ind w:left="25" w:right="677" w:hanging="10"/>
    </w:pPr>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26" Type="http://schemas.openxmlformats.org/officeDocument/2006/relationships/hyperlink" Target="https://www.washingtonpost.com/news/grade-point/wp/2015/02/02/whats-the-purpose-of-college-a-job-or-an-education/?noredirect=on&amp;utm_term=.ae98b19e46e3" TargetMode="External"/><Relationship Id="rId3" Type="http://schemas.openxmlformats.org/officeDocument/2006/relationships/settings" Target="settings.xml"/><Relationship Id="rId21"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25" Type="http://schemas.openxmlformats.org/officeDocument/2006/relationships/hyperlink" Target="https://www.washingtonpost.com/news/grade-point/wp/2015/02/02/whats-the-purpose-of-college-a-job-or-an-education/?noredirect=on&amp;utm_term=.ae98b19e46e3" TargetMode="External"/><Relationship Id="rId33" Type="http://schemas.openxmlformats.org/officeDocument/2006/relationships/footer" Target="footer6.xml"/><Relationship Id="rId2" Type="http://schemas.openxmlformats.org/officeDocument/2006/relationships/styles" Target="styles.xml"/><Relationship Id="rId16" Type="http://schemas.openxmlformats.org/officeDocument/2006/relationships/hyperlink" Target="https://ebookcentral.proquest.com/lib/arden/reader.action?docID=5138399&amp;ppg=1" TargetMode="External"/><Relationship Id="rId20"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29"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ebookcentral.proquest.com/lib/arden/reader.action?docID=5358649&amp;ppg=160" TargetMode="External"/><Relationship Id="rId32" Type="http://schemas.openxmlformats.org/officeDocument/2006/relationships/header" Target="header6.xml"/><Relationship Id="rId5" Type="http://schemas.openxmlformats.org/officeDocument/2006/relationships/footnotes" Target="footnotes.xml"/><Relationship Id="rId15" Type="http://schemas.openxmlformats.org/officeDocument/2006/relationships/hyperlink" Target="https://doi.org/10.1016/j.econedurev.2016.12.005." TargetMode="External"/><Relationship Id="rId23" Type="http://schemas.openxmlformats.org/officeDocument/2006/relationships/hyperlink" Target="https://ebookcentral.proquest.com/lib/arden/reader.action?docID=5358649&amp;ppg=160" TargetMode="External"/><Relationship Id="rId28" Type="http://schemas.openxmlformats.org/officeDocument/2006/relationships/header" Target="header4.xml"/><Relationship Id="rId10" Type="http://schemas.openxmlformats.org/officeDocument/2006/relationships/footer" Target="footer1.xml"/><Relationship Id="rId19"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31"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chronicle.com/article/Is-ROI-the-Right-Way-to-Judge/138665/" TargetMode="External"/><Relationship Id="rId22" Type="http://schemas.openxmlformats.org/officeDocument/2006/relationships/hyperlink" Target="https://books.google.co.uk/books?hl=en&amp;lr=&amp;id=4ttdrci-riQC&amp;oi=fnd&amp;pg=PR7&amp;dq=Knight,+P.+and+Yorke,+M.,+2004.+Learning+Curriculum+and+Employability+in+Higher+Education&amp;ots=za2VBoSIrO&amp;sig=Jj215-oSEy7zyYV-xN5naacxO00" TargetMode="External"/><Relationship Id="rId27" Type="http://schemas.openxmlformats.org/officeDocument/2006/relationships/hyperlink" Target="https://www.washingtonpost.com/news/grade-point/wp/2015/02/02/whats-the-purpose-of-college-a-job-or-an-education/?noredirect=on&amp;utm_term=.ae98b19e46e3" TargetMode="External"/><Relationship Id="rId30" Type="http://schemas.openxmlformats.org/officeDocument/2006/relationships/footer" Target="footer4.xml"/><Relationship Id="rId35" Type="http://schemas.openxmlformats.org/officeDocument/2006/relationships/theme" Target="theme/theme1.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3102</Words>
  <Characters>17683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Chukwunonso Agwuenu</dc:creator>
  <cp:keywords/>
  <cp:lastModifiedBy>Anthony Chukwunonso Agwuenu</cp:lastModifiedBy>
  <cp:revision>3</cp:revision>
  <dcterms:created xsi:type="dcterms:W3CDTF">2021-01-04T04:47:00Z</dcterms:created>
  <dcterms:modified xsi:type="dcterms:W3CDTF">2021-01-04T04:52:00Z</dcterms:modified>
</cp:coreProperties>
</file>