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581B5C" w14:textId="77777777" w:rsidR="007D7C11" w:rsidRDefault="00CF2044" w:rsidP="00CF2044">
      <w:pPr>
        <w:jc w:val="center"/>
        <w:rPr>
          <w:u w:val="single"/>
        </w:rPr>
      </w:pPr>
      <w:r w:rsidRPr="00CF2044">
        <w:rPr>
          <w:u w:val="single"/>
        </w:rPr>
        <w:t>Identify the religious rituals your family must perform before and during the wedding and explain their religious significance.</w:t>
      </w:r>
    </w:p>
    <w:p w14:paraId="681E86C0" w14:textId="3F03C495" w:rsidR="00122201" w:rsidRPr="00122201" w:rsidRDefault="00122201" w:rsidP="00122201">
      <w:r>
        <w:t xml:space="preserve">I will be identifying the religious rituals a family would have to perform prior to and during a wedding in classical Athens. I will be explaining the religious significance of these rituals. I will be discussing the </w:t>
      </w:r>
      <w:proofErr w:type="spellStart"/>
      <w:r>
        <w:t>proteleia</w:t>
      </w:r>
      <w:proofErr w:type="spellEnd"/>
      <w:r>
        <w:t xml:space="preserve">, the ritual bathing and the </w:t>
      </w:r>
      <w:proofErr w:type="spellStart"/>
      <w:r w:rsidRPr="00122201">
        <w:t>anakalupteria</w:t>
      </w:r>
      <w:proofErr w:type="spellEnd"/>
      <w:r>
        <w:t>.</w:t>
      </w:r>
    </w:p>
    <w:p w14:paraId="67F42E29" w14:textId="679427CC" w:rsidR="00122201" w:rsidRDefault="00122201" w:rsidP="00122201">
      <w:r>
        <w:t xml:space="preserve">Prior to marriage the it was custom for women to give offering to various gods, this was known as the </w:t>
      </w:r>
      <w:proofErr w:type="spellStart"/>
      <w:r>
        <w:t>proteleia</w:t>
      </w:r>
      <w:proofErr w:type="spellEnd"/>
      <w:r>
        <w:t xml:space="preserve"> that would be overseen by the female priest of Athena Polis</w:t>
      </w:r>
      <w:r>
        <w:rPr>
          <w:rStyle w:val="EndnoteReference"/>
        </w:rPr>
        <w:endnoteReference w:id="1"/>
      </w:r>
      <w:r>
        <w:t>, in this offering of toys would usually be made to Artemis, this was to signify the transition from childhood into womanhood</w:t>
      </w:r>
      <w:r>
        <w:rPr>
          <w:rStyle w:val="EndnoteReference"/>
        </w:rPr>
        <w:endnoteReference w:id="2"/>
      </w:r>
      <w:r>
        <w:t>. Offerings would be made to Athena as gratitude for finding a husband or to Hera, I assume however that in Athens, Athena would be favoured</w:t>
      </w:r>
      <w:r>
        <w:rPr>
          <w:rStyle w:val="EndnoteReference"/>
        </w:rPr>
        <w:endnoteReference w:id="3"/>
      </w:r>
      <w:r>
        <w:t>. Part of the offering given would also be locks of hair</w:t>
      </w:r>
      <w:r>
        <w:rPr>
          <w:rStyle w:val="EndnoteReference"/>
        </w:rPr>
        <w:endnoteReference w:id="4"/>
      </w:r>
      <w:r>
        <w:t xml:space="preserve">. Much of the sources Dillon uses come from a collection of writing found in Alexandria, little is known of who wrote them and therefore the source is weak in this regard. However, this part of text shows us the types of offering and how the gods were worshiped. Aphrodite </w:t>
      </w:r>
      <w:proofErr w:type="spellStart"/>
      <w:r>
        <w:t>Ourania</w:t>
      </w:r>
      <w:proofErr w:type="spellEnd"/>
      <w:r>
        <w:t xml:space="preserve"> was also associated with marriage in Athens</w:t>
      </w:r>
      <w:r>
        <w:rPr>
          <w:rStyle w:val="EndnoteReference"/>
        </w:rPr>
        <w:endnoteReference w:id="5"/>
      </w:r>
      <w:r>
        <w:t>. An inscription on a treasury box found in Athens tells us that offerings need to be made to this goddess, who is associated with fertility in marriage.</w:t>
      </w:r>
      <w:r>
        <w:rPr>
          <w:rStyle w:val="EndnoteReference"/>
        </w:rPr>
        <w:endnoteReference w:id="6"/>
      </w:r>
      <w:r>
        <w:t xml:space="preserve"> </w:t>
      </w:r>
    </w:p>
    <w:p w14:paraId="39C7A077" w14:textId="55E127DA" w:rsidR="00122201" w:rsidRDefault="00122201" w:rsidP="00122201">
      <w:r>
        <w:t>The ritual bathing took place on the morning of the day of the wedding</w:t>
      </w:r>
      <w:r>
        <w:rPr>
          <w:rStyle w:val="EndnoteReference"/>
        </w:rPr>
        <w:endnoteReference w:id="7"/>
      </w:r>
      <w:r>
        <w:t>. The water would be poured from a ‘loutrophoros’ which was a vase used specifically for this ritual and for funerals</w:t>
      </w:r>
      <w:r>
        <w:rPr>
          <w:rStyle w:val="EndnoteReference"/>
        </w:rPr>
        <w:endnoteReference w:id="8"/>
      </w:r>
      <w:r>
        <w:t>, the water would also have had to have come from a specific source. Mason speculates a few reasons this could be. One of these is that the water was supposed to enhance the fertility of the bride, while another was that it was to protect the woman as she transitioned from ‘</w:t>
      </w:r>
      <w:proofErr w:type="spellStart"/>
      <w:r>
        <w:t>parthenos</w:t>
      </w:r>
      <w:proofErr w:type="spellEnd"/>
      <w:r>
        <w:t>’ to ‘</w:t>
      </w:r>
      <w:proofErr w:type="spellStart"/>
      <w:r>
        <w:t>nymphe</w:t>
      </w:r>
      <w:proofErr w:type="spellEnd"/>
      <w:r>
        <w:t>’</w:t>
      </w:r>
      <w:r>
        <w:rPr>
          <w:rStyle w:val="EndnoteReference"/>
        </w:rPr>
        <w:endnoteReference w:id="9"/>
      </w:r>
      <w:r>
        <w:t xml:space="preserve"> As Mason is relying on several ancient sources he cannot give a definitive answer. It is also possible that the purpose of the bath could have changed over time.</w:t>
      </w:r>
    </w:p>
    <w:p w14:paraId="2BCF0A19" w14:textId="39C2B043" w:rsidR="00122201" w:rsidRDefault="00122201" w:rsidP="00122201">
      <w:r>
        <w:t xml:space="preserve">The </w:t>
      </w:r>
      <w:proofErr w:type="spellStart"/>
      <w:r w:rsidRPr="00122201">
        <w:t>anakalupteria</w:t>
      </w:r>
      <w:proofErr w:type="spellEnd"/>
      <w:r>
        <w:t>, was the final major ritual of the wedding, this was the lifting of the veil and it is said to represent the final transfer of the bride over to the husband’s family</w:t>
      </w:r>
      <w:r>
        <w:rPr>
          <w:rStyle w:val="EndnoteReference"/>
        </w:rPr>
        <w:endnoteReference w:id="10"/>
      </w:r>
      <w:r>
        <w:t xml:space="preserve">. It is however a debated subject weather or not the unveiling took place before or after the wedding ceremony.  Mason however mentions that two ancient writers, </w:t>
      </w:r>
      <w:r w:rsidRPr="00122201">
        <w:t>Hesychius</w:t>
      </w:r>
      <w:r>
        <w:t xml:space="preserve"> and </w:t>
      </w:r>
      <w:proofErr w:type="spellStart"/>
      <w:r w:rsidRPr="00122201">
        <w:t>Pherekydes</w:t>
      </w:r>
      <w:proofErr w:type="spellEnd"/>
      <w:r>
        <w:t xml:space="preserve"> agree that the unveiling took place on the third day of the wedding</w:t>
      </w:r>
      <w:r>
        <w:rPr>
          <w:rStyle w:val="EndnoteReference"/>
        </w:rPr>
        <w:endnoteReference w:id="11"/>
      </w:r>
      <w:r>
        <w:t xml:space="preserve">. While the </w:t>
      </w:r>
      <w:proofErr w:type="spellStart"/>
      <w:r>
        <w:t>anakalupteria</w:t>
      </w:r>
      <w:proofErr w:type="spellEnd"/>
      <w:r>
        <w:t xml:space="preserve"> was not of most religious importance it was still considered to be one of the most pivotal moments of the entire wedding.</w:t>
      </w:r>
    </w:p>
    <w:p w14:paraId="7CF0C604" w14:textId="1272C365" w:rsidR="00122201" w:rsidRDefault="00122201" w:rsidP="00122201">
      <w:r>
        <w:t>Marriage held much significance for the Greeks, therefore it was important from them to perform these rituals and traditions. There are many arguments and varying sources describing these rituals however due the varying beliefs and cultures in Classical Greece at the time it is not possible to be able to find a definitive answer.</w:t>
      </w:r>
    </w:p>
    <w:p w14:paraId="6F567A2C" w14:textId="77777777" w:rsidR="00122201" w:rsidRDefault="00122201" w:rsidP="00122201"/>
    <w:p w14:paraId="4B66098F" w14:textId="20D993B8" w:rsidR="00122201" w:rsidRPr="00122201" w:rsidRDefault="00122201" w:rsidP="00122201"/>
    <w:p w14:paraId="6F532B61" w14:textId="73D103A7" w:rsidR="00CF2044" w:rsidRDefault="00CF2044" w:rsidP="00CF2044">
      <w:pPr>
        <w:jc w:val="center"/>
        <w:rPr>
          <w:u w:val="single"/>
        </w:rPr>
      </w:pPr>
    </w:p>
    <w:p w14:paraId="64B41D59" w14:textId="77777777" w:rsidR="00CF2044" w:rsidRPr="00CF2044" w:rsidRDefault="00CF2044" w:rsidP="00CF2044"/>
    <w:sectPr w:rsidR="00CF2044" w:rsidRPr="00CF20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8D2348" w14:textId="77777777" w:rsidR="007C7BC1" w:rsidRDefault="007C7BC1" w:rsidP="00122201">
      <w:pPr>
        <w:spacing w:after="0" w:line="240" w:lineRule="auto"/>
      </w:pPr>
      <w:r>
        <w:separator/>
      </w:r>
    </w:p>
  </w:endnote>
  <w:endnote w:type="continuationSeparator" w:id="0">
    <w:p w14:paraId="3D7A509C" w14:textId="77777777" w:rsidR="007C7BC1" w:rsidRDefault="007C7BC1" w:rsidP="00122201">
      <w:pPr>
        <w:spacing w:after="0" w:line="240" w:lineRule="auto"/>
      </w:pPr>
      <w:r>
        <w:continuationSeparator/>
      </w:r>
    </w:p>
  </w:endnote>
  <w:endnote w:id="1">
    <w:p w14:paraId="284A687C" w14:textId="494CCDF0" w:rsidR="00122201" w:rsidRDefault="00122201">
      <w:pPr>
        <w:pStyle w:val="EndnoteText"/>
      </w:pPr>
      <w:r>
        <w:rPr>
          <w:rStyle w:val="EndnoteReference"/>
        </w:rPr>
        <w:endnoteRef/>
      </w:r>
      <w:r>
        <w:t xml:space="preserve"> Dillon (2002)</w:t>
      </w:r>
    </w:p>
  </w:endnote>
  <w:endnote w:id="2">
    <w:p w14:paraId="11DC5821" w14:textId="7A4529CB" w:rsidR="00122201" w:rsidRDefault="00122201">
      <w:pPr>
        <w:pStyle w:val="EndnoteText"/>
      </w:pPr>
      <w:r>
        <w:rPr>
          <w:rStyle w:val="EndnoteReference"/>
        </w:rPr>
        <w:endnoteRef/>
      </w:r>
      <w:r>
        <w:t xml:space="preserve"> Dillon (2002)</w:t>
      </w:r>
    </w:p>
  </w:endnote>
  <w:endnote w:id="3">
    <w:p w14:paraId="5798BDC1" w14:textId="3E7F3DF1" w:rsidR="00122201" w:rsidRDefault="00122201">
      <w:pPr>
        <w:pStyle w:val="EndnoteText"/>
      </w:pPr>
      <w:r>
        <w:rPr>
          <w:rStyle w:val="EndnoteReference"/>
        </w:rPr>
        <w:endnoteRef/>
      </w:r>
      <w:r>
        <w:t xml:space="preserve"> Dillon (2002)</w:t>
      </w:r>
    </w:p>
  </w:endnote>
  <w:endnote w:id="4">
    <w:p w14:paraId="5D370458" w14:textId="093CA3B8" w:rsidR="00122201" w:rsidRDefault="00122201">
      <w:pPr>
        <w:pStyle w:val="EndnoteText"/>
      </w:pPr>
      <w:r>
        <w:rPr>
          <w:rStyle w:val="EndnoteReference"/>
        </w:rPr>
        <w:endnoteRef/>
      </w:r>
      <w:r>
        <w:t xml:space="preserve"> </w:t>
      </w:r>
      <w:proofErr w:type="spellStart"/>
      <w:r>
        <w:t>Anth</w:t>
      </w:r>
      <w:proofErr w:type="spellEnd"/>
      <w:r>
        <w:t>. Pol 6.277</w:t>
      </w:r>
    </w:p>
  </w:endnote>
  <w:endnote w:id="5">
    <w:p w14:paraId="48B88825" w14:textId="4BF1F5F2" w:rsidR="00122201" w:rsidRDefault="00122201">
      <w:pPr>
        <w:pStyle w:val="EndnoteText"/>
      </w:pPr>
      <w:r>
        <w:rPr>
          <w:rStyle w:val="EndnoteReference"/>
        </w:rPr>
        <w:endnoteRef/>
      </w:r>
      <w:r>
        <w:t xml:space="preserve"> Dillon (2002)</w:t>
      </w:r>
    </w:p>
  </w:endnote>
  <w:endnote w:id="6">
    <w:p w14:paraId="56F85D3E" w14:textId="6A33EA33" w:rsidR="00122201" w:rsidRDefault="00122201">
      <w:pPr>
        <w:pStyle w:val="EndnoteText"/>
      </w:pPr>
      <w:r>
        <w:rPr>
          <w:rStyle w:val="EndnoteReference"/>
        </w:rPr>
        <w:endnoteRef/>
      </w:r>
      <w:r>
        <w:t xml:space="preserve"> Dillon (2002)</w:t>
      </w:r>
    </w:p>
  </w:endnote>
  <w:endnote w:id="7">
    <w:p w14:paraId="01806458" w14:textId="68F01A7A" w:rsidR="00122201" w:rsidRDefault="00122201">
      <w:pPr>
        <w:pStyle w:val="EndnoteText"/>
      </w:pPr>
      <w:r>
        <w:rPr>
          <w:rStyle w:val="EndnoteReference"/>
        </w:rPr>
        <w:endnoteRef/>
      </w:r>
      <w:r>
        <w:t xml:space="preserve"> Mason (2006)</w:t>
      </w:r>
    </w:p>
  </w:endnote>
  <w:endnote w:id="8">
    <w:p w14:paraId="55DD8147" w14:textId="6E2DBAFF" w:rsidR="00122201" w:rsidRDefault="00122201">
      <w:pPr>
        <w:pStyle w:val="EndnoteText"/>
      </w:pPr>
      <w:r>
        <w:rPr>
          <w:rStyle w:val="EndnoteReference"/>
        </w:rPr>
        <w:endnoteRef/>
      </w:r>
      <w:r>
        <w:t xml:space="preserve"> Oxford dictionary ‘Art, Funerary’</w:t>
      </w:r>
    </w:p>
  </w:endnote>
  <w:endnote w:id="9">
    <w:p w14:paraId="21B626C6" w14:textId="0A4758FE" w:rsidR="00122201" w:rsidRDefault="00122201">
      <w:pPr>
        <w:pStyle w:val="EndnoteText"/>
      </w:pPr>
      <w:r>
        <w:rPr>
          <w:rStyle w:val="EndnoteReference"/>
        </w:rPr>
        <w:endnoteRef/>
      </w:r>
      <w:r>
        <w:t xml:space="preserve"> Mason (2006)</w:t>
      </w:r>
    </w:p>
  </w:endnote>
  <w:endnote w:id="10">
    <w:p w14:paraId="0294BE10" w14:textId="64B9B6A3" w:rsidR="00122201" w:rsidRDefault="00122201">
      <w:pPr>
        <w:pStyle w:val="EndnoteText"/>
      </w:pPr>
      <w:r>
        <w:rPr>
          <w:rStyle w:val="EndnoteReference"/>
        </w:rPr>
        <w:endnoteRef/>
      </w:r>
      <w:r>
        <w:t xml:space="preserve"> Mason (2006)</w:t>
      </w:r>
    </w:p>
  </w:endnote>
  <w:endnote w:id="11">
    <w:p w14:paraId="4FF27885" w14:textId="57BEB4CF" w:rsidR="00122201" w:rsidRDefault="00122201">
      <w:pPr>
        <w:pStyle w:val="EndnoteText"/>
      </w:pPr>
      <w:r>
        <w:rPr>
          <w:rStyle w:val="EndnoteReference"/>
        </w:rPr>
        <w:endnoteRef/>
      </w:r>
      <w:r>
        <w:t xml:space="preserve"> Mason (2006)</w:t>
      </w:r>
    </w:p>
    <w:p w14:paraId="4A2B4F1A" w14:textId="7A86737B" w:rsidR="00122201" w:rsidRDefault="00122201">
      <w:pPr>
        <w:pStyle w:val="EndnoteText"/>
      </w:pPr>
    </w:p>
    <w:p w14:paraId="13092A20" w14:textId="61A1CB97" w:rsidR="00122201" w:rsidRDefault="00122201">
      <w:pPr>
        <w:pStyle w:val="EndnoteText"/>
      </w:pPr>
    </w:p>
    <w:p w14:paraId="170C4204" w14:textId="4368B454" w:rsidR="00122201" w:rsidRDefault="00122201">
      <w:pPr>
        <w:pStyle w:val="EndnoteText"/>
        <w:rPr>
          <w:u w:val="single"/>
        </w:rPr>
      </w:pPr>
      <w:r>
        <w:rPr>
          <w:u w:val="single"/>
        </w:rPr>
        <w:t>Bibliography</w:t>
      </w:r>
    </w:p>
    <w:p w14:paraId="699DE262" w14:textId="048AE6ED" w:rsidR="00122201" w:rsidRDefault="00122201">
      <w:pPr>
        <w:pStyle w:val="EndnoteText"/>
        <w:rPr>
          <w:u w:val="single"/>
        </w:rPr>
      </w:pPr>
      <w:r w:rsidRPr="00122201">
        <w:rPr>
          <w:u w:val="single"/>
        </w:rPr>
        <w:t xml:space="preserve">Dillon, M., 2001. Girls and Women in Classical Greek Religion. Taylor &amp; Francis, </w:t>
      </w:r>
      <w:proofErr w:type="gramStart"/>
      <w:r w:rsidRPr="00122201">
        <w:rPr>
          <w:u w:val="single"/>
        </w:rPr>
        <w:t>Inc..</w:t>
      </w:r>
      <w:proofErr w:type="gramEnd"/>
    </w:p>
    <w:p w14:paraId="782CB205" w14:textId="77777777" w:rsidR="00122201" w:rsidRPr="00122201" w:rsidRDefault="00122201" w:rsidP="00122201">
      <w:pPr>
        <w:pStyle w:val="EndnoteText"/>
        <w:rPr>
          <w:u w:val="single"/>
        </w:rPr>
      </w:pPr>
      <w:r>
        <w:rPr>
          <w:u w:val="single"/>
        </w:rPr>
        <w:t xml:space="preserve">Mason, C, 2006. </w:t>
      </w:r>
      <w:r w:rsidRPr="00122201">
        <w:rPr>
          <w:u w:val="single"/>
        </w:rPr>
        <w:t>The Nuptial Ceremony of Ancient Greece and the</w:t>
      </w:r>
    </w:p>
    <w:p w14:paraId="5FC9C160" w14:textId="381A2DE8" w:rsidR="00122201" w:rsidRDefault="00122201" w:rsidP="00122201">
      <w:pPr>
        <w:pStyle w:val="EndnoteText"/>
        <w:rPr>
          <w:u w:val="single"/>
        </w:rPr>
      </w:pPr>
      <w:r w:rsidRPr="00122201">
        <w:rPr>
          <w:u w:val="single"/>
        </w:rPr>
        <w:t>Articulation of Male Control Through Ritual</w:t>
      </w:r>
      <w:r>
        <w:rPr>
          <w:u w:val="single"/>
        </w:rPr>
        <w:t>. Macalester college</w:t>
      </w:r>
    </w:p>
    <w:p w14:paraId="5F5FE79C" w14:textId="22E126A8" w:rsidR="00122201" w:rsidRDefault="00122201" w:rsidP="00122201">
      <w:pPr>
        <w:pStyle w:val="EndnoteText"/>
        <w:rPr>
          <w:u w:val="single"/>
        </w:rPr>
      </w:pPr>
      <w:r w:rsidRPr="00122201">
        <w:rPr>
          <w:u w:val="single"/>
        </w:rPr>
        <w:t>"art, funerary, Greek." Oxford Reference</w:t>
      </w:r>
      <w:proofErr w:type="gramStart"/>
      <w:r w:rsidRPr="00122201">
        <w:rPr>
          <w:u w:val="single"/>
        </w:rPr>
        <w:t>. .</w:t>
      </w:r>
      <w:proofErr w:type="gramEnd"/>
      <w:r w:rsidRPr="00122201">
        <w:rPr>
          <w:u w:val="single"/>
        </w:rPr>
        <w:t xml:space="preserve"> ,. Date of access 7 Oct. 2018, </w:t>
      </w:r>
      <w:hyperlink r:id="rId1" w:history="1">
        <w:r w:rsidRPr="00192D50">
          <w:rPr>
            <w:rStyle w:val="Hyperlink"/>
          </w:rPr>
          <w:t>http://www.oxfordreference.com.ezproxy.uwtsd.ac.uk/view/10.1093/oi/authority.20110803095426652</w:t>
        </w:r>
      </w:hyperlink>
    </w:p>
    <w:p w14:paraId="0C97941D" w14:textId="31F7F3BC" w:rsidR="00122201" w:rsidRPr="00122201" w:rsidRDefault="00122201" w:rsidP="00122201">
      <w:pPr>
        <w:pStyle w:val="EndnoteText"/>
        <w:rPr>
          <w:u w:val="single"/>
        </w:rPr>
      </w:pPr>
      <w:r w:rsidRPr="00122201">
        <w:rPr>
          <w:u w:val="single"/>
        </w:rPr>
        <w:t xml:space="preserve">R., W., 1916. Greek Anthology, Volume I: Book 1: Christian Epigrams. Book 2: </w:t>
      </w:r>
      <w:proofErr w:type="spellStart"/>
      <w:r w:rsidRPr="00122201">
        <w:rPr>
          <w:u w:val="single"/>
        </w:rPr>
        <w:t>Christodorus</w:t>
      </w:r>
      <w:proofErr w:type="spellEnd"/>
      <w:r w:rsidRPr="00122201">
        <w:rPr>
          <w:u w:val="single"/>
        </w:rPr>
        <w:t xml:space="preserve"> of Thebes in Egypt. Book 3: The Cyzicene Epigrams. Book 4: The Proems of the Different Anthologies. Book 5: The Amatory Epigrams. Book 6: The Dedicatory Epigrams. Harvard University Press.</w:t>
      </w:r>
      <w:bookmarkStart w:id="0" w:name="_GoBack"/>
      <w:bookmarkEnd w:id="0"/>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3C93D0" w14:textId="77777777" w:rsidR="007C7BC1" w:rsidRDefault="007C7BC1" w:rsidP="00122201">
      <w:pPr>
        <w:spacing w:after="0" w:line="240" w:lineRule="auto"/>
      </w:pPr>
      <w:r>
        <w:separator/>
      </w:r>
    </w:p>
  </w:footnote>
  <w:footnote w:type="continuationSeparator" w:id="0">
    <w:p w14:paraId="1CE80F63" w14:textId="77777777" w:rsidR="007C7BC1" w:rsidRDefault="007C7BC1" w:rsidP="001222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044"/>
    <w:rsid w:val="00122201"/>
    <w:rsid w:val="002B2ECF"/>
    <w:rsid w:val="007C7BC1"/>
    <w:rsid w:val="007D7C11"/>
    <w:rsid w:val="00CF2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45748"/>
  <w15:chartTrackingRefBased/>
  <w15:docId w15:val="{2FC6E6DD-221F-4CE1-BFBF-FA1B3AC37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12220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22201"/>
    <w:rPr>
      <w:sz w:val="20"/>
      <w:szCs w:val="20"/>
    </w:rPr>
  </w:style>
  <w:style w:type="character" w:styleId="EndnoteReference">
    <w:name w:val="endnote reference"/>
    <w:basedOn w:val="DefaultParagraphFont"/>
    <w:uiPriority w:val="99"/>
    <w:semiHidden/>
    <w:unhideWhenUsed/>
    <w:rsid w:val="00122201"/>
    <w:rPr>
      <w:vertAlign w:val="superscript"/>
    </w:rPr>
  </w:style>
  <w:style w:type="character" w:styleId="Hyperlink">
    <w:name w:val="Hyperlink"/>
    <w:basedOn w:val="DefaultParagraphFont"/>
    <w:uiPriority w:val="99"/>
    <w:unhideWhenUsed/>
    <w:rsid w:val="00122201"/>
    <w:rPr>
      <w:color w:val="0563C1" w:themeColor="hyperlink"/>
      <w:u w:val="single"/>
    </w:rPr>
  </w:style>
  <w:style w:type="character" w:styleId="UnresolvedMention">
    <w:name w:val="Unresolved Mention"/>
    <w:basedOn w:val="DefaultParagraphFont"/>
    <w:uiPriority w:val="99"/>
    <w:semiHidden/>
    <w:unhideWhenUsed/>
    <w:rsid w:val="001222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 Id="rId1" Type="http://schemas.openxmlformats.org/officeDocument/2006/relationships/hyperlink" Target="http://www.oxfordreference.com.ezproxy.uwtsd.ac.uk/view/10.1093/oi/authority.201108030954266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DDFE0-DFE7-46E9-AB86-19E585882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2</Pages>
  <Words>440</Words>
  <Characters>2508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sean kirkham</cp:lastModifiedBy>
  <cp:revision>1</cp:revision>
  <dcterms:created xsi:type="dcterms:W3CDTF">2018-10-07T15:13:00Z</dcterms:created>
  <dcterms:modified xsi:type="dcterms:W3CDTF">2018-10-07T19:13:00Z</dcterms:modified>
</cp:coreProperties>
</file>